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W w:w="9639" w:type="dxa"/>
      </w:tblPr>
      <w:tblGrid>
        <w:gridCol w:w="9638"/>
      </w:tblGrid>
      <w:tr>
        <w:tc>
          <w:tcPr>
            <w:tcW w:type="dxa" w:w="9638"/>
            <w:shd w:fill="280001" w:val="clear"/>
            <w:tcBorders>
              <w:top w:val="single" w:sz="0" w:space="0" w:color="280001"/>
              <w:left w:val="single" w:sz="0" w:space="0" w:color="280001"/>
              <w:bottom w:val="single" w:sz="0" w:space="0" w:color="280001"/>
              <w:right w:val="single" w:sz="0" w:space="0" w:color="280001"/>
            </w:tcBorders>
            <w:tcMar>
              <w:top w:w="280" w:type="dxa"/>
              <w:left w:w="220" w:type="dxa"/>
              <w:bottom w:w="280" w:type="dxa"/>
              <w:right w:w="22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5B5B8"/>
                <w:sz w:val="22"/>
              </w:rPr>
              <w:t>PROPOSTA COMERCIAL</w:t>
            </w:r>
          </w:p>
          <w:p>
            <w:pPr>
              <w:spacing w:before="200"/>
            </w:pPr>
            <w:r>
              <w:rPr>
                <w:rFonts w:ascii="Calibri" w:hAnsi="Calibri" w:eastAsia="Calibri"/>
                <w:b/>
                <w:i w:val="0"/>
                <w:color w:val="FFFFFF"/>
                <w:sz w:val="64"/>
              </w:rPr>
              <w:t>Estruturação Comercial</w:t>
            </w:r>
          </w:p>
          <w:p>
            <w:pPr>
              <w:spacing w:after="240"/>
            </w:pPr>
            <w:r>
              <w:rPr>
                <w:rFonts w:ascii="Calibri" w:hAnsi="Calibri" w:eastAsia="Calibri"/>
                <w:b w:val="0"/>
                <w:i w:val="0"/>
                <w:color w:val="FFD0D0"/>
                <w:sz w:val="32"/>
              </w:rPr>
              <w:t>G6 Internet  ×  V4 Company</w:t>
            </w:r>
          </w:p>
          <w:p>
            <w:r>
              <w:rPr>
                <w:rFonts w:ascii="Calibri" w:hAnsi="Calibri" w:eastAsia="Calibri"/>
                <w:b w:val="0"/>
                <w:i w:val="0"/>
                <w:color w:val="E8D0D0"/>
                <w:sz w:val="24"/>
              </w:rPr>
              <w:t>Projeto para instalar a fundação comercial da G6: processo, CRM em uso, gestão e rotina — loja e porta a porta — em 12 semanas.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Calibri" w:hAnsi="Calibri" w:eastAsia="Calibri"/>
          <w:b w:val="0"/>
          <w:i w:val="0"/>
          <w:color w:val="1A1A1A"/>
          <w:sz w:val="1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4819"/>
        <w:gridCol w:w="4819"/>
      </w:tblGrid>
      <w:tr>
        <w:trPr>
          <w:cantSplit/>
        </w:trPr>
        <w:tc>
          <w:tcPr>
            <w:tcW w:type="dxa" w:w="2494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Campo</w:t>
            </w:r>
          </w:p>
        </w:tc>
        <w:tc>
          <w:tcPr>
            <w:tcW w:type="dxa" w:w="6860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Informação</w:t>
            </w:r>
          </w:p>
        </w:tc>
      </w:tr>
      <w:tr>
        <w:trPr>
          <w:cantSplit/>
        </w:trPr>
        <w:tc>
          <w:tcPr>
            <w:tcW w:type="dxa" w:w="249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Cliente</w:t>
            </w:r>
          </w:p>
        </w:tc>
        <w:tc>
          <w:tcPr>
            <w:tcW w:type="dxa" w:w="6860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G6 Internet</w:t>
            </w:r>
          </w:p>
        </w:tc>
      </w:tr>
      <w:tr>
        <w:trPr>
          <w:cantSplit/>
        </w:trPr>
        <w:tc>
          <w:tcPr>
            <w:tcW w:type="dxa" w:w="249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Produto</w:t>
            </w:r>
          </w:p>
        </w:tc>
        <w:tc>
          <w:tcPr>
            <w:tcW w:type="dxa" w:w="6860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Estruturação Comercial (Sales V4) — projeto fechado com implementação assistida</w:t>
            </w:r>
          </w:p>
        </w:tc>
      </w:tr>
      <w:tr>
        <w:trPr>
          <w:cantSplit/>
        </w:trPr>
        <w:tc>
          <w:tcPr>
            <w:tcW w:type="dxa" w:w="249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Prazo</w:t>
            </w:r>
          </w:p>
        </w:tc>
        <w:tc>
          <w:tcPr>
            <w:tcW w:type="dxa" w:w="6860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12 semanas  ·  106,5 horas  ·  dual-track loja × porta a porta</w:t>
            </w:r>
          </w:p>
        </w:tc>
      </w:tr>
      <w:tr>
        <w:trPr>
          <w:cantSplit/>
        </w:trPr>
        <w:tc>
          <w:tcPr>
            <w:tcW w:type="dxa" w:w="249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Investimento</w:t>
            </w:r>
          </w:p>
        </w:tc>
        <w:tc>
          <w:tcPr>
            <w:tcW w:type="dxa" w:w="6860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R$ 71.582,32  (referência: R$ 89.635,85)  ·  12 parcelas recorrentes</w:t>
            </w:r>
          </w:p>
        </w:tc>
      </w:tr>
      <w:tr>
        <w:trPr>
          <w:cantSplit/>
        </w:trPr>
        <w:tc>
          <w:tcPr>
            <w:tcW w:type="dxa" w:w="249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Condução</w:t>
            </w:r>
          </w:p>
        </w:tc>
        <w:tc>
          <w:tcPr>
            <w:tcW w:type="dxa" w:w="6860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V4 Company  ·  Denis Orosco (receita / Sales)  ·  Brian (CRM)</w:t>
            </w:r>
          </w:p>
        </w:tc>
      </w:tr>
      <w:tr>
        <w:trPr>
          <w:cantSplit/>
        </w:trPr>
        <w:tc>
          <w:tcPr>
            <w:tcW w:type="dxa" w:w="249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Sponsor G6</w:t>
            </w:r>
          </w:p>
        </w:tc>
        <w:tc>
          <w:tcPr>
            <w:tcW w:type="dxa" w:w="6860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Laurelise Santos  ·  validação societária com Geraldo</w:t>
            </w:r>
          </w:p>
        </w:tc>
      </w:tr>
      <w:tr>
        <w:trPr>
          <w:cantSplit/>
        </w:trPr>
        <w:tc>
          <w:tcPr>
            <w:tcW w:type="dxa" w:w="249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Gestor comercial</w:t>
            </w:r>
          </w:p>
        </w:tc>
        <w:tc>
          <w:tcPr>
            <w:tcW w:type="dxa" w:w="6860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Mateus — entrada prevista em cerca de 30 dias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9638"/>
      </w:tblGrid>
      <w:tr>
        <w:tc>
          <w:tcPr>
            <w:tcW w:type="dxa" w:w="9638"/>
            <w:shd w:fill="F8EFEF" w:val="clear"/>
            <w:tcBorders>
              <w:top w:val="single" w:sz="12" w:space="0" w:color="A10F14"/>
              <w:left w:val="single" w:sz="12" w:space="0" w:color="A10F14"/>
              <w:bottom w:val="single" w:sz="12" w:space="0" w:color="A10F14"/>
              <w:right w:val="single" w:sz="12" w:space="0" w:color="A10F14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i w:val="0"/>
                <w:color w:val="A10F14"/>
                <w:sz w:val="18"/>
              </w:rPr>
              <w:t>LEITURA CENTRAL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i w:val="0"/>
                <w:color w:val="1A1A1A"/>
                <w:sz w:val="22"/>
              </w:rPr>
              <w:t>A G6 não tem problema de lead. Tem um comercial reativo, sem sistema. A demanda entra; o processo não segura. Esta proposta instala a máquina para vender, ativar e reter com previsibilidade — e entrega essa máquina pronta para o novo gestor operar.</w:t>
            </w:r>
          </w:p>
        </w:tc>
      </w:tr>
    </w:tbl>
    <w:p>
      <w:pPr>
        <w:spacing w:after="120"/>
      </w:pP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1. Objetivo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Construir e instalar a fundação comercial da G6 Internet em um projeto fechado de 12 semanas: diagnóstico presencial, arquitetura de processo, CRM como painel de receita, camada estratégica (playbook, comissão e breakeven), imersão/treino do time e handover com plano de continuidade de 60 dias.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O resultado esperado não é um documento para a gaveta. É a operação rodando: loja e porta a porta com método, rituais de gestão e o Mateus herdando uma máquina pronta — em vez de improvisar processo, troca de peça e meta ao mesmo tempo.</w:t>
      </w: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2. Diagnóstico da operação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A G6 gera demanda. Meta Forms entregou 1.269 leads no ano com CPL de R$ 7,51. O WhatsApp responde em cerca de 1 minuto. A operação cita cerca de 1.000 ativações por mês. O que falta é sistema para converter, ativar, seguir e reter.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4819"/>
        <w:gridCol w:w="4819"/>
      </w:tblGrid>
      <w:tr>
        <w:trPr>
          <w:cantSplit/>
        </w:trPr>
        <w:tc>
          <w:tcPr>
            <w:tcW w:type="dxa" w:w="2948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Sintoma</w:t>
            </w:r>
          </w:p>
        </w:tc>
        <w:tc>
          <w:tcPr>
            <w:tcW w:type="dxa" w:w="6406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Efeito na operação</w:t>
            </w:r>
          </w:p>
        </w:tc>
      </w:tr>
      <w:tr>
        <w:trPr>
          <w:cantSplit/>
        </w:trPr>
        <w:tc>
          <w:tcPr>
            <w:tcW w:type="dxa" w:w="294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Volume alto, retenção frágil</w:t>
            </w:r>
          </w:p>
        </w:tc>
        <w:tc>
          <w:tcPr>
            <w:tcW w:type="dxa" w:w="6406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Entra cerca de 1.000 clientes e sai uma faixa próxima de 800. O crescimento líquido vaza todo mês.</w:t>
            </w:r>
          </w:p>
        </w:tc>
      </w:tr>
      <w:tr>
        <w:trPr>
          <w:cantSplit/>
        </w:trPr>
        <w:tc>
          <w:tcPr>
            <w:tcW w:type="dxa" w:w="294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CRM existe, mas não governa</w:t>
            </w:r>
          </w:p>
        </w:tc>
        <w:tc>
          <w:tcPr>
            <w:tcW w:type="dxa" w:w="6406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Sem motivo de perda, sem próximo passo, sem previsibilidade de pipeline. Não funciona como painel de receita.</w:t>
            </w:r>
          </w:p>
        </w:tc>
      </w:tr>
      <w:tr>
        <w:trPr>
          <w:cantSplit/>
        </w:trPr>
        <w:tc>
          <w:tcPr>
            <w:tcW w:type="dxa" w:w="294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Meta vira comodidade</w:t>
            </w:r>
          </w:p>
        </w:tc>
        <w:tc>
          <w:tcPr>
            <w:tcW w:type="dxa" w:w="6406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Quando aperta, a meta desce para o time “bater” e receber comissão. A liderança cascateia acomodação.</w:t>
            </w:r>
          </w:p>
        </w:tc>
      </w:tr>
      <w:tr>
        <w:trPr>
          <w:cantSplit/>
        </w:trPr>
        <w:tc>
          <w:tcPr>
            <w:tcW w:type="dxa" w:w="294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Loja e PAP sem padrão</w:t>
            </w:r>
          </w:p>
        </w:tc>
        <w:tc>
          <w:tcPr>
            <w:tcW w:type="dxa" w:w="6406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5 internos + 2 porta a porta. Cada canal vende de um jeito, sem playbook, deparo nem objeção mapeada.</w:t>
            </w:r>
          </w:p>
        </w:tc>
      </w:tr>
      <w:tr>
        <w:trPr>
          <w:cantSplit/>
        </w:trPr>
        <w:tc>
          <w:tcPr>
            <w:tcW w:type="dxa" w:w="294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Pós-venda solto</w:t>
            </w:r>
          </w:p>
        </w:tc>
        <w:tc>
          <w:tcPr>
            <w:tcW w:type="dxa" w:w="6406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Vendeu e acabou. Ativação, save, follow-up e upsell na base ficam fora do processo.</w:t>
            </w:r>
          </w:p>
        </w:tc>
      </w:tr>
      <w:tr>
        <w:trPr>
          <w:cantSplit/>
        </w:trPr>
        <w:tc>
          <w:tcPr>
            <w:tcW w:type="dxa" w:w="294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Gestão sem ritual pronto</w:t>
            </w:r>
          </w:p>
        </w:tc>
        <w:tc>
          <w:tcPr>
            <w:tcW w:type="dxa" w:w="6406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O novo gestor precisa herdar reunião comercial, indicadores e critérios — não inventar do zero.</w:t>
            </w:r>
          </w:p>
        </w:tc>
      </w:tr>
    </w:tbl>
    <w:p>
      <w:pPr>
        <w:spacing w:after="160"/>
      </w:pPr>
    </w:p>
    <w:p>
      <w:pPr>
        <w:spacing w:before="80" w:after="160" w:line="276" w:lineRule="auto"/>
        <w:jc w:val="left"/>
      </w:pPr>
      <w:r>
        <w:rPr>
          <w:rFonts w:ascii="Calibri" w:hAnsi="Calibri" w:eastAsia="Calibri"/>
          <w:b/>
          <w:i w:val="0"/>
          <w:color w:val="E50914"/>
          <w:sz w:val="24"/>
        </w:rPr>
        <w:t>Pontos da operação que o projeto precisa endereçar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Time comercial de 7 pessoas, mais o Mateus na chegada.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Porta a porta sem deparo: região, oportunidades, o que trouxe, o que não trouxe, objeções.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Atendimento inicial longo demais para um produto de alta intenção (primeiro plano de internet).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Base instalada sem jornada de upgrade — o time olha só a venda nova.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Casos de instalação sem pagamento/ativação: comissão apagada e receita nenhuma.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Cultura de atendimento forte; o comercial herdou o ritmo do atendimento e ficou reativo.</w:t>
      </w:r>
    </w:p>
    <w:p>
      <w:pPr>
        <w:pStyle w:val="ListBullet"/>
        <w:spacing w:before="20" w:after="60"/>
        <w:ind w:left="425"/>
      </w:pPr>
      <w:r>
        <w:rPr>
          <w:rFonts w:ascii="Calibri" w:hAnsi="Calibri" w:eastAsia="Calibri"/>
          <w:b w:val="0"/>
          <w:i w:val="0"/>
          <w:color w:val="4A4A4A"/>
          <w:sz w:val="22"/>
        </w:rPr>
        <w:t>Chegada do serviço móvel/chip: sem time treinado para vender na base, a G6 gasta de novo para ofertar um produto à carteira que já pagou para entrar.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9638"/>
      </w:tblGrid>
      <w:tr>
        <w:tc>
          <w:tcPr>
            <w:tcW w:type="dxa" w:w="9638"/>
            <w:shd w:fill="F8EFEF" w:val="clear"/>
            <w:tcBorders>
              <w:top w:val="single" w:sz="12" w:space="0" w:color="A10F14"/>
              <w:left w:val="single" w:sz="12" w:space="0" w:color="A10F14"/>
              <w:bottom w:val="single" w:sz="12" w:space="0" w:color="A10F14"/>
              <w:right w:val="single" w:sz="12" w:space="0" w:color="A10F14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i w:val="0"/>
                <w:color w:val="A10F14"/>
                <w:sz w:val="18"/>
              </w:rPr>
              <w:t>POR QUE O DIAGNÓSTICO É PRESENCIAL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i w:val="0"/>
                <w:color w:val="1A1A1A"/>
                <w:sz w:val="22"/>
              </w:rPr>
              <w:t>A Fase 1 acontece in loco (18 horas) para mapear cultura, resistência à mudança, loja, porta a porta e o dia a dia da unidade. Sem isso, o plano fica genérico e não cola na G6.</w:t>
            </w:r>
          </w:p>
        </w:tc>
      </w:tr>
    </w:tbl>
    <w:p>
      <w:pPr>
        <w:spacing w:after="120"/>
      </w:pP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3. Impacto financeiro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A G6 tem capacidade de vender. O que a operação ainda não tem é capacidade de segurar — nem de medir, com rigor, por que perde.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E50914"/>
          <w:sz w:val="26"/>
        </w:rPr>
        <w:t>3.1 Cancelamentos no 1º semestre de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677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Mês</w:t>
            </w:r>
          </w:p>
        </w:tc>
        <w:tc>
          <w:tcPr>
            <w:tcW w:type="dxa" w:w="4677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Cancelamentos</w:t>
            </w:r>
          </w:p>
        </w:tc>
      </w:tr>
      <w:tr>
        <w:trPr>
          <w:cantSplit/>
        </w:trPr>
        <w:tc>
          <w:tcPr>
            <w:tcW w:type="dxa" w:w="467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Janeiro</w:t>
            </w:r>
          </w:p>
        </w:tc>
        <w:tc>
          <w:tcPr>
            <w:tcW w:type="dxa" w:w="467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415</w:t>
            </w:r>
          </w:p>
        </w:tc>
      </w:tr>
      <w:tr>
        <w:trPr>
          <w:cantSplit/>
        </w:trPr>
        <w:tc>
          <w:tcPr>
            <w:tcW w:type="dxa" w:w="467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Fevereiro</w:t>
            </w:r>
          </w:p>
        </w:tc>
        <w:tc>
          <w:tcPr>
            <w:tcW w:type="dxa" w:w="467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560</w:t>
            </w:r>
          </w:p>
        </w:tc>
      </w:tr>
      <w:tr>
        <w:trPr>
          <w:cantSplit/>
        </w:trPr>
        <w:tc>
          <w:tcPr>
            <w:tcW w:type="dxa" w:w="467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Março</w:t>
            </w:r>
          </w:p>
        </w:tc>
        <w:tc>
          <w:tcPr>
            <w:tcW w:type="dxa" w:w="467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614</w:t>
            </w:r>
          </w:p>
        </w:tc>
      </w:tr>
      <w:tr>
        <w:trPr>
          <w:cantSplit/>
        </w:trPr>
        <w:tc>
          <w:tcPr>
            <w:tcW w:type="dxa" w:w="467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Abril</w:t>
            </w:r>
          </w:p>
        </w:tc>
        <w:tc>
          <w:tcPr>
            <w:tcW w:type="dxa" w:w="467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746</w:t>
            </w:r>
          </w:p>
        </w:tc>
      </w:tr>
      <w:tr>
        <w:trPr>
          <w:cantSplit/>
        </w:trPr>
        <w:tc>
          <w:tcPr>
            <w:tcW w:type="dxa" w:w="467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Maio</w:t>
            </w:r>
          </w:p>
        </w:tc>
        <w:tc>
          <w:tcPr>
            <w:tcW w:type="dxa" w:w="467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715</w:t>
            </w:r>
          </w:p>
        </w:tc>
      </w:tr>
      <w:tr>
        <w:trPr>
          <w:cantSplit/>
        </w:trPr>
        <w:tc>
          <w:tcPr>
            <w:tcW w:type="dxa" w:w="467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Junho</w:t>
            </w:r>
          </w:p>
        </w:tc>
        <w:tc>
          <w:tcPr>
            <w:tcW w:type="dxa" w:w="467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705</w:t>
            </w:r>
          </w:p>
        </w:tc>
      </w:tr>
      <w:tr>
        <w:trPr>
          <w:cantSplit/>
        </w:trPr>
        <w:tc>
          <w:tcPr>
            <w:tcW w:type="dxa" w:w="467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Total jan–jun</w:t>
            </w:r>
          </w:p>
        </w:tc>
        <w:tc>
          <w:tcPr>
            <w:tcW w:type="dxa" w:w="467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3.755</w:t>
            </w:r>
          </w:p>
        </w:tc>
      </w:tr>
    </w:tbl>
    <w:p>
      <w:pPr>
        <w:spacing w:after="160"/>
      </w:pP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/>
          <w:color w:val="4A4A4A"/>
          <w:sz w:val="22"/>
        </w:rPr>
        <w:t>A taxa real de churn ainda não está conciliada. Falta carteira ativa no início de cada mês e o cancelamento por coorte, motivo, cidade e tempo de casa. Sem esse dado, decisão de investimento em retenção continua no escuro. O projeto instala essa inteligência no sistema.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E50914"/>
          <w:sz w:val="26"/>
        </w:rPr>
        <w:t>3.2 Conta de gestão (estimativa)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Premissas usadas para dimensionar o vazamento — estimativa de gestão, não conciliação contábil, justamente porque o tracking fino ainda não existe: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515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Premissa</w:t>
            </w:r>
          </w:p>
        </w:tc>
        <w:tc>
          <w:tcPr>
            <w:tcW w:type="dxa" w:w="2154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Número</w:t>
            </w:r>
          </w:p>
        </w:tc>
        <w:tc>
          <w:tcPr>
            <w:tcW w:type="dxa" w:w="3685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Leitura</w:t>
            </w:r>
          </w:p>
        </w:tc>
      </w:tr>
      <w:tr>
        <w:trPr>
          <w:cantSplit/>
        </w:trPr>
        <w:tc>
          <w:tcPr>
            <w:tcW w:type="dxa" w:w="351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CAC + instalação por cliente</w:t>
            </w:r>
          </w:p>
        </w:tc>
        <w:tc>
          <w:tcPr>
            <w:tcW w:type="dxa" w:w="215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≈ R$ 800</w:t>
            </w:r>
          </w:p>
        </w:tc>
        <w:tc>
          <w:tcPr>
            <w:tcW w:type="dxa" w:w="368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Custo médio para colocar o cliente dentro</w:t>
            </w:r>
          </w:p>
        </w:tc>
      </w:tr>
      <w:tr>
        <w:trPr>
          <w:cantSplit/>
        </w:trPr>
        <w:tc>
          <w:tcPr>
            <w:tcW w:type="dxa" w:w="351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Payback mínimo</w:t>
            </w:r>
          </w:p>
        </w:tc>
        <w:tc>
          <w:tcPr>
            <w:tcW w:type="dxa" w:w="215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8 meses</w:t>
            </w:r>
          </w:p>
        </w:tc>
        <w:tc>
          <w:tcPr>
            <w:tcW w:type="dxa" w:w="368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Tempo para o cliente se pagar</w:t>
            </w:r>
          </w:p>
        </w:tc>
      </w:tr>
      <w:tr>
        <w:trPr>
          <w:cantSplit/>
        </w:trPr>
        <w:tc>
          <w:tcPr>
            <w:tcW w:type="dxa" w:w="351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Cancelamentos em 6 meses</w:t>
            </w:r>
          </w:p>
        </w:tc>
        <w:tc>
          <w:tcPr>
            <w:tcW w:type="dxa" w:w="215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3.755</w:t>
            </w:r>
          </w:p>
        </w:tc>
        <w:tc>
          <w:tcPr>
            <w:tcW w:type="dxa" w:w="368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Série crescente no 1º semestre</w:t>
            </w:r>
          </w:p>
        </w:tc>
      </w:tr>
      <w:tr>
        <w:trPr>
          <w:cantSplit/>
        </w:trPr>
        <w:tc>
          <w:tcPr>
            <w:tcW w:type="dxa" w:w="351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Investimento queimado (3.755 × R$ 800)</w:t>
            </w:r>
          </w:p>
        </w:tc>
        <w:tc>
          <w:tcPr>
            <w:tcW w:type="dxa" w:w="215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≈ R$ 3 milhões</w:t>
            </w:r>
          </w:p>
        </w:tc>
        <w:tc>
          <w:tcPr>
            <w:tcW w:type="dxa" w:w="368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Aquisição + instalação já desembolsadas</w:t>
            </w:r>
          </w:p>
        </w:tc>
      </w:tr>
      <w:tr>
        <w:trPr>
          <w:cantSplit/>
        </w:trPr>
        <w:tc>
          <w:tcPr>
            <w:tcW w:type="dxa" w:w="351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Receita potencial não realizada</w:t>
            </w:r>
          </w:p>
        </w:tc>
        <w:tc>
          <w:tcPr>
            <w:tcW w:type="dxa" w:w="215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≈ R$ 4 milhões</w:t>
            </w:r>
          </w:p>
        </w:tc>
        <w:tc>
          <w:tcPr>
            <w:tcW w:type="dxa" w:w="368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O que esses clientes deixariam ao ano</w:t>
            </w:r>
          </w:p>
        </w:tc>
      </w:tr>
      <w:tr>
        <w:trPr>
          <w:cantSplit/>
        </w:trPr>
        <w:tc>
          <w:tcPr>
            <w:tcW w:type="dxa" w:w="351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Vazamento estimado em 6 meses</w:t>
            </w:r>
          </w:p>
        </w:tc>
        <w:tc>
          <w:tcPr>
            <w:tcW w:type="dxa" w:w="215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≈ R$ 7 milhões</w:t>
            </w:r>
          </w:p>
        </w:tc>
        <w:tc>
          <w:tcPr>
            <w:tcW w:type="dxa" w:w="368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Investimento perdido + receita deixada na mesa</w:t>
            </w:r>
          </w:p>
        </w:tc>
      </w:tr>
    </w:tbl>
    <w:p>
      <w:pPr>
        <w:spacing w:after="160"/>
      </w:pP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E50914"/>
          <w:sz w:val="26"/>
        </w:rPr>
        <w:t>3.3 Sensibilidade mínima (2%)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Se a estruturação retiver apenas 2% da perda — patamar conservador — a G6 segura cerca de 75 clientes. Isso equivale a aproximadamente R$ 60 mil de custo já investido que deixa de ser perdido e R$ 90 mil de receita em 12 meses: cerca de R$ 150 mil retidos, o suficiente para cobrir dois meses do contrato de marketing com a V4 e parte desta estruturação.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Enquanto o comercial não tiver processo, o gasto para colocar o cliente dentro continua exigindo no mínimo 8 meses de permanência — sem visibilidade de quantos saem antes de se pagar.</w:t>
      </w: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4. A solução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A ordem de construção é sistema → gestão → receita. Sem sistema, meta vira pressão. Com sistema, meta vira consequência.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4819"/>
        <w:gridCol w:w="4819"/>
      </w:tblGrid>
      <w:tr>
        <w:trPr>
          <w:cantSplit/>
        </w:trPr>
        <w:tc>
          <w:tcPr>
            <w:tcW w:type="dxa" w:w="2381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Pilar</w:t>
            </w:r>
          </w:p>
        </w:tc>
        <w:tc>
          <w:tcPr>
            <w:tcW w:type="dxa" w:w="6973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O que instala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01 · Sistema</w:t>
            </w:r>
          </w:p>
        </w:tc>
        <w:tc>
          <w:tcPr>
            <w:tcW w:type="dxa" w:w="6973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Processo, CRM e rituais transformam esforço individual em operação previsível.</w:t>
            </w:r>
          </w:p>
        </w:tc>
      </w:tr>
      <w:tr>
        <w:trPr>
          <w:cantSplit/>
        </w:trPr>
        <w:tc>
          <w:tcPr>
            <w:tcW w:type="dxa" w:w="2381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02 · Gestão</w:t>
            </w:r>
          </w:p>
        </w:tc>
        <w:tc>
          <w:tcPr>
            <w:tcW w:type="dxa" w:w="6973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Com a casa estruturada, a liderança cobra comportamento e conversão — não improvisa processo.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03 · Receita</w:t>
            </w:r>
          </w:p>
        </w:tc>
        <w:tc>
          <w:tcPr>
            <w:tcW w:type="dxa" w:w="6973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Ativação, follow-up e retenção entram no método. O CAC deixa de queimar no escuro.</w:t>
            </w:r>
          </w:p>
        </w:tc>
      </w:tr>
    </w:tbl>
    <w:p>
      <w:pPr>
        <w:spacing w:after="160"/>
      </w:pP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Três frentes andam juntas: sistemas (stack e CRM — manter ou trocar, com implementação inclusa), processos (jornada loja × PAP, SLA, passagem de bastão venda → operação) e pessoas (capacitação do time, do Mateus e da direção na nova forma de cobrar).</w:t>
      </w: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5. Escopo e entregas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677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Fundação operacional</w:t>
            </w:r>
          </w:p>
        </w:tc>
        <w:tc>
          <w:tcPr>
            <w:tcW w:type="dxa" w:w="4677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Controle e adesão</w:t>
            </w:r>
          </w:p>
        </w:tc>
      </w:tr>
      <w:tr>
        <w:trPr>
          <w:cantSplit/>
        </w:trPr>
        <w:tc>
          <w:tcPr>
            <w:tcW w:type="dxa" w:w="467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Arquitetura loja × PAP com critérios de etapa</w:t>
            </w:r>
          </w:p>
        </w:tc>
        <w:tc>
          <w:tcPr>
            <w:tcW w:type="dxa" w:w="467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CRM como painel de receita (não agenda)</w:t>
            </w:r>
          </w:p>
        </w:tc>
      </w:tr>
      <w:tr>
        <w:trPr>
          <w:cantSplit/>
        </w:trPr>
        <w:tc>
          <w:tcPr>
            <w:tcW w:type="dxa" w:w="467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Scripts, cadência e papéis claros por canal</w:t>
            </w:r>
          </w:p>
        </w:tc>
        <w:tc>
          <w:tcPr>
            <w:tcW w:type="dxa" w:w="467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Higiene, motivos de perda e dashboard de uso</w:t>
            </w:r>
          </w:p>
        </w:tc>
      </w:tr>
      <w:tr>
        <w:trPr>
          <w:cantSplit/>
        </w:trPr>
        <w:tc>
          <w:tcPr>
            <w:tcW w:type="dxa" w:w="467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Rituais de gestão (diária / semanal / pipeline review)</w:t>
            </w:r>
          </w:p>
        </w:tc>
        <w:tc>
          <w:tcPr>
            <w:tcW w:type="dxa" w:w="467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Treinamento com instalação assistida e roleplay</w:t>
            </w:r>
          </w:p>
        </w:tc>
      </w:tr>
      <w:tr>
        <w:trPr>
          <w:cantSplit/>
        </w:trPr>
        <w:tc>
          <w:tcPr>
            <w:tcW w:type="dxa" w:w="467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Onboarding operacional de vendedores</w:t>
            </w:r>
          </w:p>
        </w:tc>
        <w:tc>
          <w:tcPr>
            <w:tcW w:type="dxa" w:w="467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Rotinas de ativação, follow-up e save no processo</w:t>
            </w:r>
          </w:p>
        </w:tc>
      </w:tr>
    </w:tbl>
    <w:p>
      <w:pPr>
        <w:spacing w:after="160"/>
      </w:pP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O produto vende capacidade instalada no time. Artefato sem instalação assistida regride ao comportamento antigo — por isso as fases 1 e 5 são presenciais.</w:t>
      </w: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6. Fases do projeto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Seis fases, 100,5 horas de execução mais 6 horas de gestão de projeto, QA e alinhamentos internos. Total: 106,5 horas.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907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Fase</w:t>
            </w:r>
          </w:p>
        </w:tc>
        <w:tc>
          <w:tcPr>
            <w:tcW w:type="dxa" w:w="1134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Horas</w:t>
            </w:r>
          </w:p>
        </w:tc>
        <w:tc>
          <w:tcPr>
            <w:tcW w:type="dxa" w:w="2721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Nome</w:t>
            </w:r>
          </w:p>
        </w:tc>
        <w:tc>
          <w:tcPr>
            <w:tcW w:type="dxa" w:w="4592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Função</w:t>
            </w:r>
          </w:p>
        </w:tc>
      </w:tr>
      <w:tr>
        <w:trPr>
          <w:cantSplit/>
        </w:trPr>
        <w:tc>
          <w:tcPr>
            <w:tcW w:type="dxa" w:w="90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01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18h</w:t>
            </w:r>
          </w:p>
        </w:tc>
        <w:tc>
          <w:tcPr>
            <w:tcW w:type="dxa" w:w="2721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Diagnóstico operacional</w:t>
            </w:r>
          </w:p>
        </w:tc>
        <w:tc>
          <w:tcPr>
            <w:tcW w:type="dxa" w:w="4592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Operação real, presencial. Time fechado, loja + PAP.</w:t>
            </w:r>
          </w:p>
        </w:tc>
      </w:tr>
      <w:tr>
        <w:trPr>
          <w:cantSplit/>
        </w:trPr>
        <w:tc>
          <w:tcPr>
            <w:tcW w:type="dxa" w:w="90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02</w:t>
            </w:r>
          </w:p>
        </w:tc>
        <w:tc>
          <w:tcPr>
            <w:tcW w:type="dxa" w:w="113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15h</w:t>
            </w:r>
          </w:p>
        </w:tc>
        <w:tc>
          <w:tcPr>
            <w:tcW w:type="dxa" w:w="2721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Arquitetura comercial</w:t>
            </w:r>
          </w:p>
        </w:tc>
        <w:tc>
          <w:tcPr>
            <w:tcW w:type="dxa" w:w="4592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Sistema que o time consegue executar. Dual-track loja × PAP.</w:t>
            </w:r>
          </w:p>
        </w:tc>
      </w:tr>
      <w:tr>
        <w:trPr>
          <w:cantSplit/>
        </w:trPr>
        <w:tc>
          <w:tcPr>
            <w:tcW w:type="dxa" w:w="90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03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15,5h</w:t>
            </w:r>
          </w:p>
        </w:tc>
        <w:tc>
          <w:tcPr>
            <w:tcW w:type="dxa" w:w="2721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CRM e controle</w:t>
            </w:r>
          </w:p>
        </w:tc>
        <w:tc>
          <w:tcPr>
            <w:tcW w:type="dxa" w:w="4592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Paralelo à Fase 2. Método vira workflow. Brian entra aqui.</w:t>
            </w:r>
          </w:p>
        </w:tc>
      </w:tr>
      <w:tr>
        <w:trPr>
          <w:cantSplit/>
        </w:trPr>
        <w:tc>
          <w:tcPr>
            <w:tcW w:type="dxa" w:w="90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04</w:t>
            </w:r>
          </w:p>
        </w:tc>
        <w:tc>
          <w:tcPr>
            <w:tcW w:type="dxa" w:w="113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20h</w:t>
            </w:r>
          </w:p>
        </w:tc>
        <w:tc>
          <w:tcPr>
            <w:tcW w:type="dxa" w:w="2721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Camada estratégica</w:t>
            </w:r>
          </w:p>
        </w:tc>
        <w:tc>
          <w:tcPr>
            <w:tcW w:type="dxa" w:w="4592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Playbook, comissão e breakeven. Onboarding do Mateus (~9ª semana).</w:t>
            </w:r>
          </w:p>
        </w:tc>
      </w:tr>
      <w:tr>
        <w:trPr>
          <w:cantSplit/>
        </w:trPr>
        <w:tc>
          <w:tcPr>
            <w:tcW w:type="dxa" w:w="90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05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22h</w:t>
            </w:r>
          </w:p>
        </w:tc>
        <w:tc>
          <w:tcPr>
            <w:tcW w:type="dxa" w:w="2721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Instalação da rotina</w:t>
            </w:r>
          </w:p>
        </w:tc>
        <w:tc>
          <w:tcPr>
            <w:tcW w:type="dxa" w:w="4592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Presencial. Imersão, roleplay, rituais assistidos.</w:t>
            </w:r>
          </w:p>
        </w:tc>
      </w:tr>
      <w:tr>
        <w:trPr>
          <w:cantSplit/>
        </w:trPr>
        <w:tc>
          <w:tcPr>
            <w:tcW w:type="dxa" w:w="90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06</w:t>
            </w:r>
          </w:p>
        </w:tc>
        <w:tc>
          <w:tcPr>
            <w:tcW w:type="dxa" w:w="113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10h</w:t>
            </w:r>
          </w:p>
        </w:tc>
        <w:tc>
          <w:tcPr>
            <w:tcW w:type="dxa" w:w="2721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Handover 60 dias</w:t>
            </w:r>
          </w:p>
        </w:tc>
        <w:tc>
          <w:tcPr>
            <w:tcW w:type="dxa" w:w="4592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Continuidade, retenção e mapa de risco de regressão.</w:t>
            </w:r>
          </w:p>
        </w:tc>
      </w:tr>
    </w:tbl>
    <w:p>
      <w:pPr>
        <w:spacing w:after="160"/>
      </w:pP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E50914"/>
          <w:sz w:val="26"/>
        </w:rPr>
        <w:t>Fase 1 — Diagnóstico operacional · 18h · presencial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Mapear a operação real antes de desenhar playbook: entrevistas com sponsor, gestão, top e bottom performer; auditoria do CRM/RD; mapa de gargalos por etapa; priorização das dores que impedem venda previsível.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E50914"/>
          <w:sz w:val="26"/>
        </w:rPr>
        <w:t>Fase 2 — Arquitetura operacional comercial · 15h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Desenhar o sistema executável: ICP e segmentos, jornada-alvo, pipeline com critérios de etapa e papéis, SLA marketing ↔ comercial ↔ operação, metas de atividade, scripts, cadências, BPMN e matriz CHA. Dual-track loja × porta a porta.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E50914"/>
          <w:sz w:val="26"/>
        </w:rPr>
        <w:t>Fase 3 — CRM e controle · 15,5h · paralelo à Fase 2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Reorganizar o pipeline; campos obrigatórios e motivos de perda; atividades e próxima ação; dashboard de gestão e conversão (monitor do gestor); regras de higiene. Campos G6: origem, tempo de resposta, status, dor, capacidade, produto, próxima ação e motivo de perda. Se o diagnóstico concluir que o CRM atual não serve, a implementação de outro está inclusa (licenças por conta da G6).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E50914"/>
          <w:sz w:val="26"/>
        </w:rPr>
        <w:t>Fase 4 — Camada estratégica · 20h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Playbook orientado ao uso, política de comissionamento (loja ≠ PAP), meta como piso e breakeven amarrado a CAC, payback e retenção. O Mateus é onboardado na filosofia do projeto, não no jeito antigo.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E50914"/>
          <w:sz w:val="26"/>
        </w:rPr>
        <w:t>Fase 5 — Instalação da rotina · 22h · presencial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Imersão do time, treino do gestor no CRM, roleplay de loja e PAP, pipeline review e reunião semanal assistidas, checklist de desvios. Entrega também o pacote de onboarding para novas contratações.</w:t>
      </w: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E50914"/>
          <w:sz w:val="26"/>
        </w:rPr>
        <w:t>Fase 6 — Handover e continuidade · 10h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Transferência da documentação, score de maturidade antes/depois, rotinas de retenção e expansão, riscos de regressão e plano tático dos 60 dias seguintes — cobertura de operação até janeiro, com o Mateus já no comando da máquina.</w:t>
      </w: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7. Formato de execução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4819"/>
        <w:gridCol w:w="4819"/>
      </w:tblGrid>
      <w:tr>
        <w:trPr>
          <w:cantSplit/>
        </w:trPr>
        <w:tc>
          <w:tcPr>
            <w:tcW w:type="dxa" w:w="2154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7200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Definição</w:t>
            </w:r>
          </w:p>
        </w:tc>
      </w:tr>
      <w:tr>
        <w:trPr>
          <w:cantSplit/>
        </w:trPr>
        <w:tc>
          <w:tcPr>
            <w:tcW w:type="dxa" w:w="215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Duração</w:t>
            </w:r>
          </w:p>
        </w:tc>
        <w:tc>
          <w:tcPr>
            <w:tcW w:type="dxa" w:w="7200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12 semanas (diagnóstico, construção, instalação e handover).</w:t>
            </w:r>
          </w:p>
        </w:tc>
      </w:tr>
      <w:tr>
        <w:trPr>
          <w:cantSplit/>
        </w:trPr>
        <w:tc>
          <w:tcPr>
            <w:tcW w:type="dxa" w:w="215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Carga V4</w:t>
            </w:r>
          </w:p>
        </w:tc>
        <w:tc>
          <w:tcPr>
            <w:tcW w:type="dxa" w:w="7200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106,5 horas — análise, desenho, CRM, QA e instalação, não só calls.</w:t>
            </w:r>
          </w:p>
        </w:tc>
      </w:tr>
      <w:tr>
        <w:trPr>
          <w:cantSplit/>
        </w:trPr>
        <w:tc>
          <w:tcPr>
            <w:tcW w:type="dxa" w:w="215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Papéis</w:t>
            </w:r>
          </w:p>
        </w:tc>
        <w:tc>
          <w:tcPr>
            <w:tcW w:type="dxa" w:w="7200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 V4 constrói e conduz a instalação; o time G6 opera no dia a dia.</w:t>
            </w:r>
          </w:p>
        </w:tc>
      </w:tr>
      <w:tr>
        <w:trPr>
          <w:cantSplit/>
        </w:trPr>
        <w:tc>
          <w:tcPr>
            <w:tcW w:type="dxa" w:w="215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Ritmo</w:t>
            </w:r>
          </w:p>
        </w:tc>
        <w:tc>
          <w:tcPr>
            <w:tcW w:type="dxa" w:w="7200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Encontros semanais com sponsor/gestor e checkpoints com o time comercial.</w:t>
            </w:r>
          </w:p>
        </w:tc>
      </w:tr>
      <w:tr>
        <w:trPr>
          <w:cantSplit/>
        </w:trPr>
        <w:tc>
          <w:tcPr>
            <w:tcW w:type="dxa" w:w="215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Presencial</w:t>
            </w:r>
          </w:p>
        </w:tc>
        <w:tc>
          <w:tcPr>
            <w:tcW w:type="dxa" w:w="7200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Fases 1 e 5 — onde a adesão se decide.</w:t>
            </w:r>
          </w:p>
        </w:tc>
      </w:tr>
      <w:tr>
        <w:trPr>
          <w:cantSplit/>
        </w:trPr>
        <w:tc>
          <w:tcPr>
            <w:tcW w:type="dxa" w:w="2154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Janela</w:t>
            </w:r>
          </w:p>
        </w:tc>
        <w:tc>
          <w:tcPr>
            <w:tcW w:type="dxa" w:w="7200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Execução em setembro–novembro, mais plano de 60 dias; operação rodando em janeiro.</w:t>
            </w:r>
          </w:p>
        </w:tc>
      </w:tr>
      <w:tr>
        <w:trPr>
          <w:cantSplit/>
        </w:trPr>
        <w:tc>
          <w:tcPr>
            <w:tcW w:type="dxa" w:w="2154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Chegada do Mateus</w:t>
            </w:r>
          </w:p>
        </w:tc>
        <w:tc>
          <w:tcPr>
            <w:tcW w:type="dxa" w:w="7200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Os primeiros ~30 dias avançam diagnóstico e arquitetura. Ele entra no treino da máquina já desenhada.</w:t>
            </w:r>
          </w:p>
        </w:tc>
      </w:tr>
    </w:tbl>
    <w:p>
      <w:pPr>
        <w:spacing w:after="160"/>
      </w:pP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8. Critérios de sucesso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A fundação está instalada quando estes pontos estão em uso — não apenas documentados: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4819"/>
        <w:gridCol w:w="4819"/>
      </w:tblGrid>
      <w:tr>
        <w:trPr>
          <w:cantSplit/>
        </w:trPr>
        <w:tc>
          <w:tcPr>
            <w:tcW w:type="dxa" w:w="907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8447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Critério</w:t>
            </w:r>
          </w:p>
        </w:tc>
      </w:tr>
      <w:tr>
        <w:trPr>
          <w:cantSplit/>
        </w:trPr>
        <w:tc>
          <w:tcPr>
            <w:tcW w:type="dxa" w:w="90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844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Pipeline configurado e usado</w:t>
            </w:r>
          </w:p>
        </w:tc>
      </w:tr>
      <w:tr>
        <w:trPr>
          <w:cantSplit/>
        </w:trPr>
        <w:tc>
          <w:tcPr>
            <w:tcW w:type="dxa" w:w="90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2</w:t>
            </w:r>
          </w:p>
        </w:tc>
        <w:tc>
          <w:tcPr>
            <w:tcW w:type="dxa" w:w="844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Reunião comercial semanal acontecendo</w:t>
            </w:r>
          </w:p>
        </w:tc>
      </w:tr>
      <w:tr>
        <w:trPr>
          <w:cantSplit/>
        </w:trPr>
        <w:tc>
          <w:tcPr>
            <w:tcW w:type="dxa" w:w="90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3</w:t>
            </w:r>
          </w:p>
        </w:tc>
        <w:tc>
          <w:tcPr>
            <w:tcW w:type="dxa" w:w="844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Follow-up sendo executado</w:t>
            </w:r>
          </w:p>
        </w:tc>
      </w:tr>
      <w:tr>
        <w:trPr>
          <w:cantSplit/>
        </w:trPr>
        <w:tc>
          <w:tcPr>
            <w:tcW w:type="dxa" w:w="90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4</w:t>
            </w:r>
          </w:p>
        </w:tc>
        <w:tc>
          <w:tcPr>
            <w:tcW w:type="dxa" w:w="844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Gestor usando indicadores</w:t>
            </w:r>
          </w:p>
        </w:tc>
      </w:tr>
      <w:tr>
        <w:trPr>
          <w:cantSplit/>
        </w:trPr>
        <w:tc>
          <w:tcPr>
            <w:tcW w:type="dxa" w:w="90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5</w:t>
            </w:r>
          </w:p>
        </w:tc>
        <w:tc>
          <w:tcPr>
            <w:tcW w:type="dxa" w:w="844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Time nos scripts e critérios de etapa</w:t>
            </w:r>
          </w:p>
        </w:tc>
      </w:tr>
      <w:tr>
        <w:trPr>
          <w:cantSplit/>
        </w:trPr>
        <w:tc>
          <w:tcPr>
            <w:tcW w:type="dxa" w:w="90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6</w:t>
            </w:r>
          </w:p>
        </w:tc>
        <w:tc>
          <w:tcPr>
            <w:tcW w:type="dxa" w:w="844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Onboarding de vendedores documentado</w:t>
            </w:r>
          </w:p>
        </w:tc>
      </w:tr>
      <w:tr>
        <w:trPr>
          <w:cantSplit/>
        </w:trPr>
        <w:tc>
          <w:tcPr>
            <w:tcW w:type="dxa" w:w="90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7</w:t>
            </w:r>
          </w:p>
        </w:tc>
        <w:tc>
          <w:tcPr>
            <w:tcW w:type="dxa" w:w="8447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Rotinas de retenção em operação</w:t>
            </w:r>
          </w:p>
        </w:tc>
      </w:tr>
      <w:tr>
        <w:trPr>
          <w:cantSplit/>
        </w:trPr>
        <w:tc>
          <w:tcPr>
            <w:tcW w:type="dxa" w:w="90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8</w:t>
            </w:r>
          </w:p>
        </w:tc>
        <w:tc>
          <w:tcPr>
            <w:tcW w:type="dxa" w:w="8447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Sponsor com previsibilidade de receita</w:t>
            </w:r>
          </w:p>
        </w:tc>
      </w:tr>
    </w:tbl>
    <w:p>
      <w:pPr>
        <w:spacing w:after="160"/>
      </w:pP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9. Investimento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w="9355" w:type="dxa"/>
      </w:tblPr>
      <w:tblGrid>
        <w:gridCol w:w="4819"/>
        <w:gridCol w:w="4819"/>
      </w:tblGrid>
      <w:tr>
        <w:tc>
          <w:tcPr>
            <w:tcW w:type="dxa" w:w="4819"/>
            <w:shd w:fill="280001" w:val="clear"/>
            <w:tcBorders>
              <w:top w:val="single" w:sz="4" w:space="0" w:color="280001"/>
              <w:left w:val="single" w:sz="4" w:space="0" w:color="280001"/>
              <w:bottom w:val="single" w:sz="4" w:space="0" w:color="280001"/>
              <w:right w:val="single" w:sz="4" w:space="0" w:color="280001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5B5B8"/>
                <w:sz w:val="16"/>
              </w:rPr>
              <w:t>VALOR DE REFERÊNCIA</w:t>
            </w:r>
          </w:p>
          <w:p>
            <w:r>
              <w:rPr>
                <w:rFonts w:ascii="Calibri" w:hAnsi="Calibri" w:eastAsia="Calibri"/>
                <w:b w:val="0"/>
                <w:i w:val="0"/>
                <w:strike/>
                <w:color w:val="C9A0A0"/>
                <w:sz w:val="32"/>
              </w:rPr>
              <w:t>R$ 89.635,85</w:t>
            </w:r>
          </w:p>
          <w:p>
            <w:r>
              <w:rPr>
                <w:rFonts w:ascii="Calibri" w:hAnsi="Calibri" w:eastAsia="Calibri"/>
                <w:b/>
                <w:i w:val="0"/>
                <w:color w:val="F5B5B8"/>
                <w:sz w:val="16"/>
              </w:rPr>
              <w:t>CONDIÇÃO COMERCIAL G6</w:t>
            </w:r>
          </w:p>
          <w:p>
            <w:r>
              <w:rPr>
                <w:rFonts w:ascii="Calibri" w:hAnsi="Calibri" w:eastAsia="Calibri"/>
                <w:b/>
                <w:i w:val="0"/>
                <w:color w:val="FFFFFF"/>
                <w:sz w:val="52"/>
              </w:rPr>
              <w:t>R$ 71.582,32</w:t>
            </w:r>
          </w:p>
          <w:p>
            <w:r>
              <w:rPr>
                <w:rFonts w:ascii="Calibri" w:hAnsi="Calibri" w:eastAsia="Calibri"/>
                <w:b w:val="0"/>
                <w:i w:val="0"/>
                <w:color w:val="E8D0D0"/>
                <w:sz w:val="20"/>
              </w:rPr>
              <w:t>12 semanas · 106,5h · implementação assistida</w:t>
              <w:br/>
              <w:t>loja × PAP · presenciais nas fases 1 e 5</w:t>
            </w:r>
          </w:p>
        </w:tc>
        <w:tc>
          <w:tcPr>
            <w:tcW w:type="dxa" w:w="4819"/>
            <w:shd w:fill="F8EFEF" w:val="clear"/>
            <w:tcBorders>
              <w:top w:val="single" w:sz="8" w:space="0" w:color="A10F14"/>
              <w:left w:val="single" w:sz="8" w:space="0" w:color="A10F14"/>
              <w:bottom w:val="single" w:sz="8" w:space="0" w:color="A10F14"/>
              <w:right w:val="single" w:sz="8" w:space="0" w:color="A10F1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A10F14"/>
                <w:sz w:val="16"/>
              </w:rPr>
              <w:t>CONDIÇÕES</w:t>
            </w:r>
          </w:p>
          <w:p>
            <w:pPr>
              <w:spacing w:before="0" w:after="40"/>
            </w:pPr>
            <w:r>
              <w:rPr>
                <w:rFonts w:ascii="Calibri" w:hAnsi="Calibri" w:eastAsia="Calibri"/>
                <w:b/>
                <w:i w:val="0"/>
                <w:color w:val="1A1A1A"/>
                <w:sz w:val="28"/>
              </w:rPr>
              <w:t>12 recorrências de R$ 5.965,19</w:t>
            </w:r>
          </w:p>
          <w:p>
            <w:pPr>
              <w:spacing w:before="0" w:after="40"/>
            </w:pPr>
            <w:r>
              <w:rPr>
                <w:rFonts w:ascii="Calibri" w:hAnsi="Calibri" w:eastAsia="Calibri"/>
                <w:b w:val="0"/>
                <w:i w:val="0"/>
                <w:color w:val="4A4A4A"/>
                <w:sz w:val="20"/>
              </w:rPr>
              <w:t>Pagamento recorrente, sem cartão de crédito — para não competir com a liberação do cartão do contrato de marketing.</w:t>
            </w:r>
          </w:p>
          <w:p>
            <w:pPr>
              <w:spacing w:before="0" w:after="40"/>
            </w:pPr>
            <w:r>
              <w:rPr>
                <w:rFonts w:ascii="Calibri" w:hAnsi="Calibri" w:eastAsia="Calibri"/>
                <w:b w:val="0"/>
                <w:i w:val="0"/>
                <w:color w:val="4A4A4A"/>
                <w:sz w:val="20"/>
              </w:rPr>
              <w:t>Redução de R$ 18.053,53 sobre a referência, por a G6 ser cliente da base ativa.</w:t>
            </w:r>
          </w:p>
          <w:p>
            <w:pPr>
              <w:spacing w:before="0" w:after="40"/>
            </w:pPr>
            <w:r>
              <w:rPr>
                <w:rFonts w:ascii="Calibri" w:hAnsi="Calibri" w:eastAsia="Calibri"/>
                <w:b w:val="0"/>
                <w:i w:val="0"/>
                <w:color w:val="4A4A4A"/>
                <w:sz w:val="20"/>
              </w:rPr>
              <w:t>Custo único de implementação. Não se repete no ano 2. O acompanhamento comercial segue no executado de marketing, sem custo adicional desta frente.</w:t>
            </w:r>
          </w:p>
        </w:tc>
      </w:tr>
    </w:tbl>
    <w:p>
      <w:pPr>
        <w:spacing w:after="200"/>
      </w:pPr>
    </w:p>
    <w:p>
      <w:pPr>
        <w:spacing w:before="240" w:after="160"/>
      </w:pPr>
      <w:r>
        <w:rPr>
          <w:rFonts w:ascii="Calibri" w:hAnsi="Calibri" w:eastAsia="Calibri"/>
          <w:b/>
          <w:i w:val="0"/>
          <w:color w:val="E50914"/>
          <w:sz w:val="26"/>
        </w:rPr>
        <w:t>9.1 Enquadramento no ano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515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Linha</w:t>
            </w:r>
          </w:p>
        </w:tc>
        <w:tc>
          <w:tcPr>
            <w:tcW w:type="dxa" w:w="3005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type="dxa" w:w="2835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rPr>
          <w:cantSplit/>
        </w:trPr>
        <w:tc>
          <w:tcPr>
            <w:tcW w:type="dxa" w:w="351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Marketing V4 (já contratado)</w:t>
            </w:r>
          </w:p>
        </w:tc>
        <w:tc>
          <w:tcPr>
            <w:tcW w:type="dxa" w:w="300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12 × R$ 11.180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R$ 134.160</w:t>
            </w:r>
          </w:p>
        </w:tc>
      </w:tr>
      <w:tr>
        <w:trPr>
          <w:cantSplit/>
        </w:trPr>
        <w:tc>
          <w:tcPr>
            <w:tcW w:type="dxa" w:w="351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Estruturação Comercial (esta proposta)</w:t>
            </w:r>
          </w:p>
        </w:tc>
        <w:tc>
          <w:tcPr>
            <w:tcW w:type="dxa" w:w="300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12 × R$ 5.965,19</w:t>
            </w:r>
          </w:p>
        </w:tc>
        <w:tc>
          <w:tcPr>
            <w:tcW w:type="dxa" w:w="283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R$ 71.582,32</w:t>
            </w:r>
          </w:p>
        </w:tc>
      </w:tr>
      <w:tr>
        <w:trPr>
          <w:cantSplit/>
        </w:trPr>
        <w:tc>
          <w:tcPr>
            <w:tcW w:type="dxa" w:w="351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Pacote anual marketing + estruturação</w:t>
            </w:r>
          </w:p>
        </w:tc>
        <w:tc>
          <w:tcPr>
            <w:tcW w:type="dxa" w:w="300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≈ R$ 17.180 / mês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≈ R$ 205.700</w:t>
            </w:r>
          </w:p>
        </w:tc>
      </w:tr>
      <w:tr>
        <w:trPr>
          <w:cantSplit/>
        </w:trPr>
        <w:tc>
          <w:tcPr>
            <w:tcW w:type="dxa" w:w="351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+ mídia (~R$ 10 mil/mês)</w:t>
            </w:r>
          </w:p>
        </w:tc>
        <w:tc>
          <w:tcPr>
            <w:tcW w:type="dxa" w:w="300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R$ 120.000 no ano</w:t>
            </w:r>
          </w:p>
        </w:tc>
        <w:tc>
          <w:tcPr>
            <w:tcW w:type="dxa" w:w="283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≈ R$ 324.000</w:t>
            </w:r>
          </w:p>
        </w:tc>
      </w:tr>
      <w:tr>
        <w:trPr>
          <w:cantSplit/>
        </w:trPr>
        <w:tc>
          <w:tcPr>
            <w:tcW w:type="dxa" w:w="351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Vazamento estimado em 6 meses</w:t>
            </w:r>
          </w:p>
        </w:tc>
        <w:tc>
          <w:tcPr>
            <w:tcW w:type="dxa" w:w="300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Conta de gestão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≈ R$ 7.000.000</w:t>
            </w:r>
          </w:p>
        </w:tc>
      </w:tr>
      <w:tr>
        <w:trPr>
          <w:cantSplit/>
        </w:trPr>
        <w:tc>
          <w:tcPr>
            <w:tcW w:type="dxa" w:w="351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Investimento anual × vazamento</w:t>
            </w:r>
          </w:p>
        </w:tc>
        <w:tc>
          <w:tcPr>
            <w:tcW w:type="dxa" w:w="300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324 mil / 7 milhões</w:t>
            </w:r>
          </w:p>
        </w:tc>
        <w:tc>
          <w:tcPr>
            <w:tcW w:type="dxa" w:w="283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Menos de 5%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9638"/>
      </w:tblGrid>
      <w:tr>
        <w:tc>
          <w:tcPr>
            <w:tcW w:type="dxa" w:w="9638"/>
            <w:shd w:fill="F8EFEF" w:val="clear"/>
            <w:tcBorders>
              <w:top w:val="single" w:sz="12" w:space="0" w:color="A10F14"/>
              <w:left w:val="single" w:sz="12" w:space="0" w:color="A10F14"/>
              <w:bottom w:val="single" w:sz="12" w:space="0" w:color="A10F14"/>
              <w:right w:val="single" w:sz="12" w:space="0" w:color="A10F14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i w:val="0"/>
                <w:color w:val="A10F14"/>
                <w:sz w:val="18"/>
              </w:rPr>
              <w:t>LEITURA DE DECISÃO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i w:val="0"/>
                <w:color w:val="1A1A1A"/>
                <w:sz w:val="22"/>
              </w:rPr>
              <w:t>O investimento para instalar previsibilidade é menor do que um mês perdendo cerca de 800 clientes. Adiar a estruturação mantém o furo do balde: o marketing entrega lead qualificado e a conversão/retenção continua sem sistema.</w:t>
            </w:r>
          </w:p>
        </w:tc>
      </w:tr>
    </w:tbl>
    <w:p>
      <w:pPr>
        <w:spacing w:after="120"/>
      </w:pP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2"/>
        </w:rPr>
        <w:t>A Estruturação Comercial é etapa única. O marketing de execução (12 meses) renova ou não ao fim do ciclo. Negociação de valor desta proposta fica com Sara Pizzico.</w:t>
      </w:r>
    </w:p>
    <w:p>
      <w:pPr>
        <w:spacing w:before="320" w:after="160"/>
        <w:pBdr>
          <w:bottom w:val="single" w:sz="12" w:space="4" w:color="A10F14"/>
        </w:pBdr>
      </w:pPr>
      <w:r>
        <w:rPr>
          <w:rFonts w:ascii="Calibri" w:hAnsi="Calibri" w:eastAsia="Calibri"/>
          <w:b/>
          <w:i w:val="0"/>
          <w:color w:val="A10F14"/>
          <w:sz w:val="32"/>
        </w:rPr>
        <w:t>10. Próximos passos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4819"/>
        <w:gridCol w:w="4819"/>
      </w:tblGrid>
      <w:tr>
        <w:trPr>
          <w:cantSplit/>
        </w:trPr>
        <w:tc>
          <w:tcPr>
            <w:tcW w:type="dxa" w:w="2835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Responsável</w:t>
            </w:r>
          </w:p>
        </w:tc>
        <w:tc>
          <w:tcPr>
            <w:tcW w:type="dxa" w:w="6520"/>
            <w:shd w:fill="A10F14" w:val="clear"/>
            <w:tcBorders>
              <w:top w:val="single" w:sz="4" w:space="0" w:color="A10F14"/>
              <w:left w:val="single" w:sz="4" w:space="0" w:color="A10F14"/>
              <w:bottom w:val="single" w:sz="4" w:space="0" w:color="A10F14"/>
              <w:right w:val="single" w:sz="4" w:space="0" w:color="A10F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Ação</w:t>
            </w:r>
          </w:p>
        </w:tc>
      </w:tr>
      <w:tr>
        <w:trPr>
          <w:cantSplit/>
        </w:trPr>
        <w:tc>
          <w:tcPr>
            <w:tcW w:type="dxa" w:w="283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G6 (Laura / Geraldo)</w:t>
            </w:r>
          </w:p>
        </w:tc>
        <w:tc>
          <w:tcPr>
            <w:tcW w:type="dxa" w:w="6520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Validar a proposta e o investimento para formalizar o start.</w:t>
            </w:r>
          </w:p>
        </w:tc>
      </w:tr>
      <w:tr>
        <w:trPr>
          <w:cantSplit/>
        </w:trPr>
        <w:tc>
          <w:tcPr>
            <w:tcW w:type="dxa" w:w="283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V4 (Denis)</w:t>
            </w:r>
          </w:p>
        </w:tc>
        <w:tc>
          <w:tcPr>
            <w:tcW w:type="dxa" w:w="6520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Kickoff com o detalhamento da Fase 1 presencial (18h).</w:t>
            </w:r>
          </w:p>
        </w:tc>
      </w:tr>
      <w:tr>
        <w:trPr>
          <w:cantSplit/>
        </w:trPr>
        <w:tc>
          <w:tcPr>
            <w:tcW w:type="dxa" w:w="283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V4 (Denis + Brian)</w:t>
            </w:r>
          </w:p>
        </w:tc>
        <w:tc>
          <w:tcPr>
            <w:tcW w:type="dxa" w:w="6520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Executar as seis fases conforme o cronograma de 12 semanas.</w:t>
            </w:r>
          </w:p>
        </w:tc>
      </w:tr>
      <w:tr>
        <w:trPr>
          <w:cantSplit/>
        </w:trPr>
        <w:tc>
          <w:tcPr>
            <w:tcW w:type="dxa" w:w="283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V4 + G6</w:t>
            </w:r>
          </w:p>
        </w:tc>
        <w:tc>
          <w:tcPr>
            <w:tcW w:type="dxa" w:w="6520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Onboardar o Mateus na máquina já em construção.</w:t>
            </w:r>
          </w:p>
        </w:tc>
      </w:tr>
    </w:tbl>
    <w:p>
      <w:pPr>
        <w:spacing w:after="160"/>
      </w:pPr>
    </w:p>
    <w:p>
      <w:pPr>
        <w:spacing w:before="240" w:after="160" w:line="276" w:lineRule="auto"/>
        <w:jc w:val="left"/>
      </w:pPr>
      <w:r>
        <w:rPr>
          <w:rFonts w:ascii="Calibri" w:hAnsi="Calibri" w:eastAsia="Calibri"/>
          <w:b w:val="0"/>
          <w:i/>
          <w:color w:val="4A4A4A"/>
          <w:sz w:val="18"/>
        </w:rPr>
        <w:t>Documento elaborado pela V4 Company para a G6 Internet. Valores e prazos conforme condição comercial da base ativa. A conta de R$ 7 milhões é estimativa de gestão, apresentada assim porque o churn real ainda não está conciliado — exatamente o que este projeto se propõe a instalar no sistema.</w:t>
      </w:r>
    </w:p>
    <w:p>
      <w:pPr>
        <w:spacing w:before="160" w:after="160" w:line="276" w:lineRule="auto"/>
        <w:jc w:val="center"/>
      </w:pPr>
      <w:r>
        <w:rPr>
          <w:rFonts w:ascii="Calibri" w:hAnsi="Calibri" w:eastAsia="Calibri"/>
          <w:b/>
          <w:i w:val="0"/>
          <w:color w:val="A10F14"/>
          <w:sz w:val="18"/>
        </w:rPr>
        <w:t>G6 Internet × V4 Company  ·  Estruturação Comercial  ·  Confidencial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 w:eastAsia="Calibri"/>
        <w:b w:val="0"/>
        <w:i w:val="0"/>
        <w:color w:val="4A4A4A"/>
        <w:sz w:val="16"/>
      </w:rPr>
      <w:t xml:space="preserve">Estruturação Comercial  ·  Confidencial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/>
        <w:i w:val="0"/>
        <w:color w:val="A10F14"/>
        <w:sz w:val="16"/>
      </w:rPr>
      <w:t>G6 Internet  ×  V4 Company  ·  Proposta comercial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