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8"/>
          <w:szCs w:val="48"/>
        </w:rPr>
        <w:t xml:space="preserve">SAHC RiskLens</w:t>
      </w:r>
    </w:p>
    <w:p>
      <w:pPr>
        <w:spacing w:after="60"/>
      </w:pPr>
      <w:r>
        <w:rPr>
          <w:color w:val="2E75B6"/>
          <w:sz w:val="26"/>
          <w:szCs w:val="26"/>
        </w:rPr>
        <w:t xml:space="preserve">What the new tool is, and how it improves on SCORE</w:t>
      </w:r>
    </w:p>
    <w:p>
      <w:pPr>
        <w:spacing w:after="200"/>
      </w:pPr>
      <w:r>
        <w:rPr>
          <w:color w:val="595959"/>
          <w:sz w:val="20"/>
          <w:szCs w:val="20"/>
        </w:rPr>
        <w:t xml:space="preserve">A briefing for South Asian Heart Center clinicians  ·  June 2026</w:t>
      </w:r>
    </w:p>
    <w:p>
      <w:pPr>
        <w:pBdr>
          <w:top w:val="single" w:color="2E75B6" w:sz="4" w:space="6"/>
          <w:left w:val="single" w:color="2E75B6" w:sz="4" w:space="6"/>
          <w:bottom w:val="single" w:color="2E75B6" w:sz="4" w:space="6"/>
          <w:right w:val="single" w:color="2E75B6" w:sz="4" w:space="6"/>
        </w:pBdr>
        <w:shd w:fill="D9E2F3" w:val="clear"/>
        <w:spacing w:after="60" w:before="0"/>
      </w:pPr>
      <w:r>
        <w:rPr>
          <w:b/>
          <w:bCs/>
        </w:rPr>
        <w:t xml:space="preserve">What this is: </w:t>
      </w:r>
      <w:r>
        <w:t xml:space="preserve">an educational aid that helps a patient understand their own cardiometabolic lab values before an appointment. </w:t>
      </w:r>
      <w:r>
        <w:rPr>
          <w:b/>
          <w:bCs/>
        </w:rPr>
        <w:t xml:space="preserve">What it is not: </w:t>
      </w:r>
      <w:r>
        <w:t xml:space="preserve">a diagnostic tool, a risk calculator, a medical device, or anything that gives medical advice. Those boundaries are deliberate and built in.</w:t>
      </w:r>
    </w:p>
    <w:p>
      <w:pPr>
        <w:pStyle w:val="Heading1"/>
      </w:pPr>
      <w:r>
        <w:t xml:space="preserve">1.  In one paragraph</w:t>
      </w:r>
    </w:p>
    <w:p>
      <w:pPr>
        <w:spacing w:after="120" w:before="0" w:line="276"/>
      </w:pPr>
      <w:r>
        <w:t>SCORE — the South Asian Heart Center’s original comparison tool — let a patient see how their lipid and glucose markers compared with peers. RiskLens is its successor: the same core idea, rebuilt as a maintainable, safety-engineered application. It classifies each lab value against published guideline thresholds and names the guideline; it shows where the value sits within a reference population; it tracks values over time; and, for patients of South Asian descent, it surfaces the guideline-recognized risk context. The headline change for this center: RiskLens can now benchmark a patient against the South Asian Heart Center’s own de-identified patient population — a genuine South Asian cohort — and not only against a U.S. national-survey proxy. It stores nothing on a server, diagnoses nothing, and recommends no treatment.</w:t>
      </w:r>
    </w:p>
    <w:p>
      <w:pPr>
        <w:pStyle w:val="Heading1"/>
      </w:pPr>
      <w:r>
        <w:t xml:space="preserve">2.  The two tools at a glance</w:t>
      </w:r>
    </w:p>
    <w:p>
      <w:pPr>
        <w:spacing w:after="140" w:before="0" w:line="276"/>
      </w:pPr>
      <w:r>
        <w:t xml:space="preserve">This briefing compares the original SCORE tool with RiskLens. The point of the comparison is not that SCORE was wrong — it pioneered the idea — but that RiskLens makes the same idea safer, more transparent, and more clinically useful.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3500"/>
        <w:gridCol w:w="3960"/>
      </w:tblGrid>
      <w:tr>
        <w:trPr>
          <w:tblHeader/>
        </w:trPr>
        <w:tc>
          <w:tcPr>
            <w:tcW w:type="dxa" w:w="1900"/>
            <w:shd w:fill="1F3864" w:val="clear"/>
            <w:tcMar>
              <w:top w:type="dxa" w:w="70"/>
              <w:left w:type="dxa" w:w="110"/>
              <w:bottom w:type="dxa" w:w="70"/>
              <w:right w:type="dxa" w:w="110"/>
            </w:tcMar>
          </w:tcPr>
          <w:p>
            <w:pPr>
              <w:spacing w:after="0" w:line="264"/>
            </w:pPr>
            <w:r>
              <w:rPr>
                <w:b/>
                <w:bCs/>
                <w:color w:val="FFFFFF"/>
                <w:sz w:val="19"/>
                <w:szCs w:val="19"/>
              </w:rPr>
              <w:t xml:space="preserve">Dimension</w:t>
            </w:r>
          </w:p>
        </w:tc>
        <w:tc>
          <w:tcPr>
            <w:tcW w:type="dxa" w:w="3500"/>
            <w:shd w:fill="1F3864" w:val="clear"/>
            <w:tcMar>
              <w:top w:type="dxa" w:w="70"/>
              <w:left w:type="dxa" w:w="110"/>
              <w:bottom w:type="dxa" w:w="70"/>
              <w:right w:type="dxa" w:w="110"/>
            </w:tcMar>
          </w:tcPr>
          <w:p>
            <w:pPr>
              <w:spacing w:after="0" w:line="264"/>
            </w:pPr>
            <w:r>
              <w:rPr>
                <w:b/>
                <w:bCs/>
                <w:color w:val="FFFFFF"/>
                <w:sz w:val="19"/>
                <w:szCs w:val="19"/>
              </w:rPr>
              <w:t xml:space="preserve">SCORE (original)</w:t>
            </w:r>
          </w:p>
        </w:tc>
        <w:tc>
          <w:tcPr>
            <w:tcW w:type="dxa" w:w="3960"/>
            <w:shd w:fill="1F3864" w:val="clear"/>
            <w:tcMar>
              <w:top w:type="dxa" w:w="70"/>
              <w:left w:type="dxa" w:w="110"/>
              <w:bottom w:type="dxa" w:w="70"/>
              <w:right w:type="dxa" w:w="110"/>
            </w:tcMar>
          </w:tcPr>
          <w:p>
            <w:pPr>
              <w:spacing w:after="0" w:line="264"/>
            </w:pPr>
            <w:r>
              <w:rPr>
                <w:b/>
                <w:bCs/>
                <w:color w:val="FFFFFF"/>
                <w:sz w:val="19"/>
                <w:szCs w:val="19"/>
              </w:rPr>
              <w:t xml:space="preserve">RiskLens (new)</w:t>
            </w:r>
          </w:p>
        </w:tc>
      </w:tr>
      <w:tr>
        <w:tc>
          <w:tcPr>
            <w:tcW w:type="dxa" w:w="1900"/>
            <w:shd w:fill="FFFFFF" w:val="clear"/>
            <w:tcMar>
              <w:top w:type="dxa" w:w="70"/>
              <w:left w:type="dxa" w:w="110"/>
              <w:bottom w:type="dxa" w:w="70"/>
              <w:right w:type="dxa" w:w="110"/>
            </w:tcMar>
          </w:tcPr>
          <w:p>
            <w:pPr>
              <w:spacing w:after="0" w:line="264"/>
            </w:pPr>
            <w:r>
              <w:rPr>
                <w:b/>
                <w:bCs/>
                <w:color w:val="000000"/>
                <w:sz w:val="19"/>
                <w:szCs w:val="19"/>
              </w:rPr>
              <w:t xml:space="preserve">Form</w:t>
            </w:r>
          </w:p>
        </w:tc>
        <w:tc>
          <w:tcPr>
            <w:tcW w:type="dxa" w:w="3500"/>
            <w:shd w:fill="FFFFFF" w:val="clear"/>
            <w:tcMar>
              <w:top w:type="dxa" w:w="70"/>
              <w:left w:type="dxa" w:w="110"/>
              <w:bottom w:type="dxa" w:w="70"/>
              <w:right w:type="dxa" w:w="110"/>
            </w:tcMar>
          </w:tcPr>
          <w:p>
            <w:pPr>
              <w:spacing w:after="0" w:line="264"/>
            </w:pPr>
            <w:r>
              <w:rPr>
                <w:b w:val="false"/>
                <w:bCs w:val="false"/>
                <w:color w:val="000000"/>
                <w:sz w:val="19"/>
                <w:szCs w:val="19"/>
              </w:rPr>
              <w:t xml:space="preserve">Single Streamlit script with data and logic intermixed</w:t>
            </w:r>
          </w:p>
        </w:tc>
        <w:tc>
          <w:tcPr>
            <w:tcW w:type="dxa" w:w="3960"/>
            <w:shd w:fill="FFFFFF" w:val="clear"/>
            <w:tcMar>
              <w:top w:type="dxa" w:w="70"/>
              <w:left w:type="dxa" w:w="110"/>
              <w:bottom w:type="dxa" w:w="70"/>
              <w:right w:type="dxa" w:w="110"/>
            </w:tcMar>
          </w:tcPr>
          <w:p>
            <w:pPr>
              <w:spacing w:after="0" w:line="264"/>
            </w:pPr>
            <w:r>
              <w:rPr>
                <w:b w:val="false"/>
                <w:bCs w:val="false"/>
                <w:color w:val="000000"/>
                <w:sz w:val="19"/>
                <w:szCs w:val="19"/>
              </w:rPr>
              <w:t xml:space="preserve">Three separated tiers: clinical core, API, web interface</w:t>
            </w:r>
          </w:p>
        </w:tc>
      </w:tr>
      <w:tr>
        <w:tc>
          <w:tcPr>
            <w:tcW w:type="dxa" w:w="1900"/>
            <w:shd w:fill="F2F6FC" w:val="clear"/>
            <w:tcMar>
              <w:top w:type="dxa" w:w="70"/>
              <w:left w:type="dxa" w:w="110"/>
              <w:bottom w:type="dxa" w:w="70"/>
              <w:right w:type="dxa" w:w="110"/>
            </w:tcMar>
          </w:tcPr>
          <w:p>
            <w:pPr>
              <w:spacing w:after="0" w:line="264"/>
            </w:pPr>
            <w:r>
              <w:rPr>
                <w:b/>
                <w:bCs/>
                <w:color w:val="000000"/>
                <w:sz w:val="19"/>
                <w:szCs w:val="19"/>
              </w:rPr>
              <w:t xml:space="preserve">Reference population</w:t>
            </w:r>
          </w:p>
        </w:tc>
        <w:tc>
          <w:tcPr>
            <w:tcW w:type="dxa" w:w="3500"/>
            <w:shd w:fill="F2F6FC" w:val="clear"/>
            <w:tcMar>
              <w:top w:type="dxa" w:w="70"/>
              <w:left w:type="dxa" w:w="110"/>
              <w:bottom w:type="dxa" w:w="70"/>
              <w:right w:type="dxa" w:w="110"/>
            </w:tcMar>
          </w:tcPr>
          <w:p>
            <w:pPr>
              <w:spacing w:after="0" w:line="264"/>
            </w:pPr>
            <w:r>
              <w:rPr>
                <w:b w:val="false"/>
                <w:bCs w:val="false"/>
                <w:color w:val="000000"/>
                <w:sz w:val="19"/>
                <w:szCs w:val="19"/>
              </w:rPr>
              <w:t xml:space="preserve">South Asian clinic data and NHANES, mixed in one filter</w:t>
            </w:r>
          </w:p>
        </w:tc>
        <w:tc>
          <w:tcPr>
            <w:tcW w:type="dxa" w:w="3960"/>
            <w:shd w:fill="F2F6FC" w:val="clear"/>
            <w:tcMar>
              <w:top w:type="dxa" w:w="70"/>
              <w:left w:type="dxa" w:w="110"/>
              <w:bottom w:type="dxa" w:w="70"/>
              <w:right w:type="dxa" w:w="110"/>
            </w:tcMar>
          </w:tcPr>
          <w:p>
            <w:pPr>
              <w:spacing w:after="0" w:line="264"/>
            </w:pPr>
            <w:r>
              <w:rPr>
                <w:b w:val="false"/>
                <w:bCs w:val="false"/>
                <w:color w:val="000000"/>
                <w:sz w:val="19"/>
                <w:szCs w:val="19"/>
              </w:rPr>
              <w:t xml:space="preserve">Two clearly-labeled cohorts you choose between: NHANES Non-Hispanic Asian and the SAHC clinical cohort</w:t>
            </w:r>
          </w:p>
        </w:tc>
      </w:tr>
      <w:tr>
        <w:tc>
          <w:tcPr>
            <w:tcW w:type="dxa" w:w="1900"/>
            <w:shd w:fill="FFFFFF" w:val="clear"/>
            <w:tcMar>
              <w:top w:type="dxa" w:w="70"/>
              <w:left w:type="dxa" w:w="110"/>
              <w:bottom w:type="dxa" w:w="70"/>
              <w:right w:type="dxa" w:w="110"/>
            </w:tcMar>
          </w:tcPr>
          <w:p>
            <w:pPr>
              <w:spacing w:after="0" w:line="264"/>
            </w:pPr>
            <w:r>
              <w:rPr>
                <w:b/>
                <w:bCs/>
                <w:color w:val="000000"/>
                <w:sz w:val="19"/>
                <w:szCs w:val="19"/>
              </w:rPr>
              <w:t xml:space="preserve">Thresholds</w:t>
            </w:r>
          </w:p>
        </w:tc>
        <w:tc>
          <w:tcPr>
            <w:tcW w:type="dxa" w:w="3500"/>
            <w:shd w:fill="FFFFFF" w:val="clear"/>
            <w:tcMar>
              <w:top w:type="dxa" w:w="70"/>
              <w:left w:type="dxa" w:w="110"/>
              <w:bottom w:type="dxa" w:w="70"/>
              <w:right w:type="dxa" w:w="110"/>
            </w:tcMar>
          </w:tcPr>
          <w:p>
            <w:pPr>
              <w:spacing w:after="0" w:line="264"/>
            </w:pPr>
            <w:r>
              <w:rPr>
                <w:b w:val="false"/>
                <w:bCs w:val="false"/>
                <w:color w:val="000000"/>
                <w:sz w:val="19"/>
                <w:szCs w:val="19"/>
              </w:rPr>
              <w:t xml:space="preserve">Coarse bands (optimal / borderline / at-risk), inlined</w:t>
            </w:r>
          </w:p>
        </w:tc>
        <w:tc>
          <w:tcPr>
            <w:tcW w:type="dxa" w:w="3960"/>
            <w:shd w:fill="FFFFFF" w:val="clear"/>
            <w:tcMar>
              <w:top w:type="dxa" w:w="70"/>
              <w:left w:type="dxa" w:w="110"/>
              <w:bottom w:type="dxa" w:w="70"/>
              <w:right w:type="dxa" w:w="110"/>
            </w:tcMar>
          </w:tcPr>
          <w:p>
            <w:pPr>
              <w:spacing w:after="0" w:line="264"/>
            </w:pPr>
            <w:r>
              <w:rPr>
                <w:b w:val="false"/>
                <w:bCs w:val="false"/>
                <w:color w:val="000000"/>
                <w:sz w:val="19"/>
                <w:szCs w:val="19"/>
              </w:rPr>
              <w:t xml:space="preserve">Guideline-versioned bands, each cited, in one source-of-truth file</w:t>
            </w:r>
          </w:p>
        </w:tc>
      </w:tr>
      <w:tr>
        <w:tc>
          <w:tcPr>
            <w:tcW w:type="dxa" w:w="1900"/>
            <w:shd w:fill="F2F6FC" w:val="clear"/>
            <w:tcMar>
              <w:top w:type="dxa" w:w="70"/>
              <w:left w:type="dxa" w:w="110"/>
              <w:bottom w:type="dxa" w:w="70"/>
              <w:right w:type="dxa" w:w="110"/>
            </w:tcMar>
          </w:tcPr>
          <w:p>
            <w:pPr>
              <w:spacing w:after="0" w:line="264"/>
            </w:pPr>
            <w:r>
              <w:rPr>
                <w:b/>
                <w:bCs/>
                <w:color w:val="000000"/>
                <w:sz w:val="19"/>
                <w:szCs w:val="19"/>
              </w:rPr>
              <w:t xml:space="preserve">Over time</w:t>
            </w:r>
          </w:p>
        </w:tc>
        <w:tc>
          <w:tcPr>
            <w:tcW w:type="dxa" w:w="3500"/>
            <w:shd w:fill="F2F6FC" w:val="clear"/>
            <w:tcMar>
              <w:top w:type="dxa" w:w="70"/>
              <w:left w:type="dxa" w:w="110"/>
              <w:bottom w:type="dxa" w:w="70"/>
              <w:right w:type="dxa" w:w="110"/>
            </w:tcMar>
          </w:tcPr>
          <w:p>
            <w:pPr>
              <w:spacing w:after="0" w:line="264"/>
            </w:pPr>
            <w:r>
              <w:rPr>
                <w:b w:val="false"/>
                <w:bCs w:val="false"/>
                <w:color w:val="000000"/>
                <w:sz w:val="19"/>
                <w:szCs w:val="19"/>
              </w:rPr>
              <w:t xml:space="preserve">Single snapshot</w:t>
            </w:r>
          </w:p>
        </w:tc>
        <w:tc>
          <w:tcPr>
            <w:tcW w:type="dxa" w:w="3960"/>
            <w:shd w:fill="F2F6FC" w:val="clear"/>
            <w:tcMar>
              <w:top w:type="dxa" w:w="70"/>
              <w:left w:type="dxa" w:w="110"/>
              <w:bottom w:type="dxa" w:w="70"/>
              <w:right w:type="dxa" w:w="110"/>
            </w:tcMar>
          </w:tcPr>
          <w:p>
            <w:pPr>
              <w:spacing w:after="0" w:line="264"/>
            </w:pPr>
            <w:r>
              <w:rPr>
                <w:b w:val="false"/>
                <w:bCs w:val="false"/>
                <w:color w:val="000000"/>
                <w:sz w:val="19"/>
                <w:szCs w:val="19"/>
              </w:rPr>
              <w:t xml:space="preserve">Longitudinal trajectory across dated draws</w:t>
            </w:r>
          </w:p>
        </w:tc>
      </w:tr>
      <w:tr>
        <w:tc>
          <w:tcPr>
            <w:tcW w:type="dxa" w:w="1900"/>
            <w:shd w:fill="FFFFFF" w:val="clear"/>
            <w:tcMar>
              <w:top w:type="dxa" w:w="70"/>
              <w:left w:type="dxa" w:w="110"/>
              <w:bottom w:type="dxa" w:w="70"/>
              <w:right w:type="dxa" w:w="110"/>
            </w:tcMar>
          </w:tcPr>
          <w:p>
            <w:pPr>
              <w:spacing w:after="0" w:line="264"/>
            </w:pPr>
            <w:r>
              <w:rPr>
                <w:b/>
                <w:bCs/>
                <w:color w:val="000000"/>
                <w:sz w:val="19"/>
                <w:szCs w:val="19"/>
              </w:rPr>
              <w:t xml:space="preserve">Data handling</w:t>
            </w:r>
          </w:p>
        </w:tc>
        <w:tc>
          <w:tcPr>
            <w:tcW w:type="dxa" w:w="3500"/>
            <w:shd w:fill="FFFFFF" w:val="clear"/>
            <w:tcMar>
              <w:top w:type="dxa" w:w="70"/>
              <w:left w:type="dxa" w:w="110"/>
              <w:bottom w:type="dxa" w:w="70"/>
              <w:right w:type="dxa" w:w="110"/>
            </w:tcMar>
          </w:tcPr>
          <w:p>
            <w:pPr>
              <w:spacing w:after="0" w:line="264"/>
            </w:pPr>
            <w:r>
              <w:rPr>
                <w:b w:val="false"/>
                <w:bCs w:val="false"/>
                <w:color w:val="000000"/>
                <w:sz w:val="19"/>
                <w:szCs w:val="19"/>
              </w:rPr>
              <w:t xml:space="preserve">Patient data and usage stored in committed databases</w:t>
            </w:r>
          </w:p>
        </w:tc>
        <w:tc>
          <w:tcPr>
            <w:tcW w:type="dxa" w:w="3960"/>
            <w:shd w:fill="FFFFFF" w:val="clear"/>
            <w:tcMar>
              <w:top w:type="dxa" w:w="70"/>
              <w:left w:type="dxa" w:w="110"/>
              <w:bottom w:type="dxa" w:w="70"/>
              <w:right w:type="dxa" w:w="110"/>
            </w:tcMar>
          </w:tcPr>
          <w:p>
            <w:pPr>
              <w:spacing w:after="0" w:line="264"/>
            </w:pPr>
            <w:r>
              <w:rPr>
                <w:b w:val="false"/>
                <w:bCs w:val="false"/>
                <w:color w:val="000000"/>
                <w:sz w:val="19"/>
                <w:szCs w:val="19"/>
              </w:rPr>
              <w:t xml:space="preserve">Stateless server; patient owns an exportable health file</w:t>
            </w:r>
          </w:p>
        </w:tc>
      </w:tr>
      <w:tr>
        <w:tc>
          <w:tcPr>
            <w:tcW w:type="dxa" w:w="1900"/>
            <w:shd w:fill="F2F6FC" w:val="clear"/>
            <w:tcMar>
              <w:top w:type="dxa" w:w="70"/>
              <w:left w:type="dxa" w:w="110"/>
              <w:bottom w:type="dxa" w:w="70"/>
              <w:right w:type="dxa" w:w="110"/>
            </w:tcMar>
          </w:tcPr>
          <w:p>
            <w:pPr>
              <w:spacing w:after="0" w:line="264"/>
            </w:pPr>
            <w:r>
              <w:rPr>
                <w:b/>
                <w:bCs/>
                <w:color w:val="000000"/>
                <w:sz w:val="19"/>
                <w:szCs w:val="19"/>
              </w:rPr>
              <w:t xml:space="preserve">Safety</w:t>
            </w:r>
          </w:p>
        </w:tc>
        <w:tc>
          <w:tcPr>
            <w:tcW w:type="dxa" w:w="3500"/>
            <w:shd w:fill="F2F6FC" w:val="clear"/>
            <w:tcMar>
              <w:top w:type="dxa" w:w="70"/>
              <w:left w:type="dxa" w:w="110"/>
              <w:bottom w:type="dxa" w:w="70"/>
              <w:right w:type="dxa" w:w="110"/>
            </w:tcMar>
          </w:tcPr>
          <w:p>
            <w:pPr>
              <w:spacing w:after="0" w:line="264"/>
            </w:pPr>
            <w:r>
              <w:rPr>
                <w:b w:val="false"/>
                <w:bCs w:val="false"/>
                <w:color w:val="000000"/>
                <w:sz w:val="19"/>
                <w:szCs w:val="19"/>
              </w:rPr>
              <w:t xml:space="preserve">Standard disclaimer</w:t>
            </w:r>
          </w:p>
        </w:tc>
        <w:tc>
          <w:tcPr>
            <w:tcW w:type="dxa" w:w="3960"/>
            <w:shd w:fill="F2F6FC" w:val="clear"/>
            <w:tcMar>
              <w:top w:type="dxa" w:w="70"/>
              <w:left w:type="dxa" w:w="110"/>
              <w:bottom w:type="dxa" w:w="70"/>
              <w:right w:type="dxa" w:w="110"/>
            </w:tcMar>
          </w:tcPr>
          <w:p>
            <w:pPr>
              <w:spacing w:after="0" w:line="264"/>
            </w:pPr>
            <w:r>
              <w:rPr>
                <w:b w:val="false"/>
                <w:bCs w:val="false"/>
                <w:color w:val="000000"/>
                <w:sz w:val="19"/>
                <w:szCs w:val="19"/>
              </w:rPr>
              <w:t xml:space="preserve">Non-diagnostic by construction; automated language scans; a safety benchmark</w:t>
            </w:r>
          </w:p>
        </w:tc>
      </w:tr>
      <w:tr>
        <w:tc>
          <w:tcPr>
            <w:tcW w:type="dxa" w:w="1900"/>
            <w:shd w:fill="FFFFFF" w:val="clear"/>
            <w:tcMar>
              <w:top w:type="dxa" w:w="70"/>
              <w:left w:type="dxa" w:w="110"/>
              <w:bottom w:type="dxa" w:w="70"/>
              <w:right w:type="dxa" w:w="110"/>
            </w:tcMar>
          </w:tcPr>
          <w:p>
            <w:pPr>
              <w:spacing w:after="0" w:line="264"/>
            </w:pPr>
            <w:r>
              <w:rPr>
                <w:b/>
                <w:bCs/>
                <w:color w:val="000000"/>
                <w:sz w:val="19"/>
                <w:szCs w:val="19"/>
              </w:rPr>
              <w:t xml:space="preserve">Assurance</w:t>
            </w:r>
          </w:p>
        </w:tc>
        <w:tc>
          <w:tcPr>
            <w:tcW w:type="dxa" w:w="3500"/>
            <w:shd w:fill="FFFFFF" w:val="clear"/>
            <w:tcMar>
              <w:top w:type="dxa" w:w="70"/>
              <w:left w:type="dxa" w:w="110"/>
              <w:bottom w:type="dxa" w:w="70"/>
              <w:right w:type="dxa" w:w="110"/>
            </w:tcMar>
          </w:tcPr>
          <w:p>
            <w:pPr>
              <w:spacing w:after="0" w:line="264"/>
            </w:pPr>
            <w:r>
              <w:rPr>
                <w:b w:val="false"/>
                <w:bCs w:val="false"/>
                <w:color w:val="000000"/>
                <w:sz w:val="19"/>
                <w:szCs w:val="19"/>
              </w:rPr>
              <w:t xml:space="preserve">Manual</w:t>
            </w:r>
          </w:p>
        </w:tc>
        <w:tc>
          <w:tcPr>
            <w:tcW w:type="dxa" w:w="3960"/>
            <w:shd w:fill="FFFFFF" w:val="clear"/>
            <w:tcMar>
              <w:top w:type="dxa" w:w="70"/>
              <w:left w:type="dxa" w:w="110"/>
              <w:bottom w:type="dxa" w:w="70"/>
              <w:right w:type="dxa" w:w="110"/>
            </w:tcMar>
          </w:tcPr>
          <w:p>
            <w:pPr>
              <w:spacing w:after="0" w:line="264"/>
            </w:pPr>
            <w:r>
              <w:rPr>
                <w:b w:val="false"/>
                <w:bCs w:val="false"/>
                <w:color w:val="000000"/>
                <w:sz w:val="19"/>
                <w:szCs w:val="19"/>
              </w:rPr>
              <w:t xml:space="preserve">267 automated tests; a validation gate that must pass to ship</w:t>
            </w:r>
          </w:p>
        </w:tc>
      </w:tr>
    </w:tbl>
    <w:p>
      <w:pPr>
        <w:pStyle w:val="Heading1"/>
      </w:pPr>
      <w:r>
        <w:t xml:space="preserve">3.  What a patient actually sees</w:t>
      </w:r>
    </w:p>
    <w:p>
      <w:pPr>
        <w:spacing w:after="100" w:before="0" w:line="276"/>
      </w:pPr>
      <w:r>
        <w:t xml:space="preserve">Walking through a result, in order:</w:t>
      </w:r>
    </w:p>
    <w:p>
      <w:pPr>
        <w:pStyle w:val="ListParagraph"/>
        <w:numPr>
          <w:ilvl w:val="0"/>
          <w:numId w:val="2"/>
        </w:numPr>
        <w:spacing w:after="80" w:line="276"/>
      </w:pPr>
      <w:r>
        <w:rPr>
          <w:b/>
          <w:bCs/>
        </w:rPr>
        <w:t xml:space="preserve">A disclaimer</w:t>
      </w:r>
      <w:r>
        <w:t xml:space="preserve">, at the top, every time: educational only, not a diagnosis, discuss with your clinician.</w:t>
      </w:r>
    </w:p>
    <w:p>
      <w:pPr>
        <w:pStyle w:val="ListParagraph"/>
        <w:numPr>
          <w:ilvl w:val="0"/>
          <w:numId w:val="2"/>
        </w:numPr>
        <w:spacing w:after="80" w:line="276"/>
      </w:pPr>
      <w:r>
        <w:rPr>
          <w:b/>
          <w:bCs/>
        </w:rPr>
        <w:t xml:space="preserve">Threshold classification cards</w:t>
      </w:r>
      <w:r>
        <w:t xml:space="preserve"> — one per value, showing the category (e.g. LDL “High,” HbA1c “Prediabetes”) and the named guideline source. Missing values are shown as “not provided,” never imputed.</w:t>
      </w:r>
    </w:p>
    <w:p>
      <w:pPr>
        <w:pStyle w:val="ListParagraph"/>
        <w:numPr>
          <w:ilvl w:val="0"/>
          <w:numId w:val="2"/>
        </w:numPr>
        <w:spacing w:after="80" w:line="276"/>
      </w:pPr>
      <w:r>
        <w:rPr>
          <w:b/>
          <w:bCs/>
        </w:rPr>
        <w:t xml:space="preserve">A distribution view</w:t>
      </w:r>
      <w:r>
        <w:t xml:space="preserve"> — the patient’s value against the 10th–90th percentile of the chosen reference population, with the cohort name and sample size shown.</w:t>
      </w:r>
    </w:p>
    <w:p>
      <w:pPr>
        <w:pStyle w:val="ListParagraph"/>
        <w:numPr>
          <w:ilvl w:val="0"/>
          <w:numId w:val="2"/>
        </w:numPr>
        <w:spacing w:after="80" w:line="276"/>
      </w:pPr>
      <w:r>
        <w:rPr>
          <w:b/>
          <w:bCs/>
        </w:rPr>
        <w:t xml:space="preserve">South Asian context</w:t>
      </w:r>
      <w:r>
        <w:t xml:space="preserve"> (only if the patient indicates South Asian ancestry) — a qualitative panel explaining ancestry as a risk-enhancing factor and showing South Asian BMI action points alongside the standard ones. No risk percentage.</w:t>
      </w:r>
    </w:p>
    <w:p>
      <w:pPr>
        <w:pStyle w:val="ListParagraph"/>
        <w:numPr>
          <w:ilvl w:val="0"/>
          <w:numId w:val="2"/>
        </w:numPr>
        <w:spacing w:after="80" w:line="276"/>
      </w:pPr>
      <w:r>
        <w:rPr>
          <w:b/>
          <w:bCs/>
        </w:rPr>
        <w:t xml:space="preserve">A discussion guide</w:t>
      </w:r>
      <w:r>
        <w:t xml:space="preserve"> — plain-language questions for each non-normal value, each citing its guideline. Fixed template text, not AI-generated prose.</w:t>
      </w:r>
    </w:p>
    <w:p>
      <w:pPr>
        <w:pStyle w:val="ListParagraph"/>
        <w:numPr>
          <w:ilvl w:val="0"/>
          <w:numId w:val="2"/>
        </w:numPr>
        <w:spacing w:after="80" w:line="276"/>
      </w:pPr>
      <w:r>
        <w:rPr>
          <w:b/>
          <w:bCs/>
        </w:rPr>
        <w:t xml:space="preserve">A timeline and trend summary</w:t>
      </w:r>
      <w:r>
        <w:t xml:space="preserve"> — if the patient enters more than one dated draw, each value is plotted over time against the guideline bands, with a strictly descriptive trend note (direction and size of change, category crossings). No prediction, no risk score.</w:t>
      </w:r>
    </w:p>
    <w:p>
      <w:pPr>
        <w:pStyle w:val="ListParagraph"/>
        <w:numPr>
          <w:ilvl w:val="0"/>
          <w:numId w:val="2"/>
        </w:numPr>
        <w:spacing w:after="80" w:line="276"/>
      </w:pPr>
      <w:r>
        <w:rPr>
          <w:b/>
          <w:bCs/>
        </w:rPr>
        <w:t xml:space="preserve">A limitations panel</w:t>
      </w:r>
      <w:r>
        <w:t xml:space="preserve">, always visible, that cannot be hidden.</w:t>
      </w:r>
    </w:p>
    <w:p>
      <w:pPr>
        <w:pStyle w:val="Heading1"/>
      </w:pPr>
      <w:r>
        <w:t xml:space="preserve">4.  Incremental benefits over SCORE</w:t>
      </w:r>
    </w:p>
    <w:p>
      <w:pPr>
        <w:pStyle w:val="Heading2"/>
      </w:pPr>
      <w:r>
        <w:t xml:space="preserve">4a.  A genuine South Asian benchmark — now built in</w:t>
      </w:r>
    </w:p>
    <w:p>
      <w:pPr>
        <w:spacing w:after="120" w:before="0" w:line="276"/>
      </w:pPr>
      <w:r>
        <w:t>This is the most important change for this center, and it directly answers the limitation we flagged in the original clinician briefing. Previously, the population benchmark was NHANES, the U.S. national survey, which lumps South, East, and Southeast Asians into one “Non-Hispanic Asian” category — so the benchmark was honestly labeled Non-Hispanic Asian, not South Asian. RiskLens now adds a second, opt-in cohort built from the South Asian Heart Center’s own de-identified patient records (the data behind the original SCORE tool): a real South Asian population of roughly 9,700 patients for the lipid measures. A clinician or patient can now choose which population to compare against, and the differences are clinically meaningful.</w:t>
      </w:r>
    </w:p>
    <w:p>
      <w:pPr>
        <w:spacing w:after="100" w:before="0" w:line="276"/>
      </w:pPr>
      <w:r>
        <w:t xml:space="preserve">For example, comparing the SAHC South Asian cohort against NHANES Non-Hispanic Asian: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400"/>
        <w:gridCol w:w="2400"/>
        <w:gridCol w:w="2160"/>
      </w:tblGrid>
      <w:tr>
        <w:trPr>
          <w:tblHeader/>
        </w:trPr>
        <w:tc>
          <w:tcPr>
            <w:tcW w:type="dxa" w:w="2400"/>
            <w:shd w:fill="1F3864" w:val="clear"/>
            <w:tcMar>
              <w:top w:type="dxa" w:w="70"/>
              <w:left w:type="dxa" w:w="110"/>
              <w:bottom w:type="dxa" w:w="70"/>
              <w:right w:type="dxa" w:w="110"/>
            </w:tcMar>
          </w:tcPr>
          <w:p>
            <w:pPr>
              <w:spacing w:after="0" w:line="264"/>
            </w:pPr>
            <w:r>
              <w:rPr>
                <w:b/>
                <w:bCs/>
                <w:color w:val="FFFFFF"/>
                <w:sz w:val="19"/>
                <w:szCs w:val="19"/>
              </w:rPr>
              <w:t xml:space="preserve">Measure</w:t>
            </w:r>
          </w:p>
        </w:tc>
        <w:tc>
          <w:tcPr>
            <w:tcW w:type="dxa" w:w="2400"/>
            <w:shd w:fill="1F3864" w:val="clear"/>
            <w:tcMar>
              <w:top w:type="dxa" w:w="70"/>
              <w:left w:type="dxa" w:w="110"/>
              <w:bottom w:type="dxa" w:w="70"/>
              <w:right w:type="dxa" w:w="110"/>
            </w:tcMar>
          </w:tcPr>
          <w:p>
            <w:pPr>
              <w:spacing w:after="0" w:line="264"/>
            </w:pPr>
            <w:r>
              <w:rPr>
                <w:b/>
                <w:bCs/>
                <w:color w:val="FFFFFF"/>
                <w:sz w:val="19"/>
                <w:szCs w:val="19"/>
              </w:rPr>
              <w:t xml:space="preserve">SAHC cohort</w:t>
            </w:r>
          </w:p>
        </w:tc>
        <w:tc>
          <w:tcPr>
            <w:tcW w:type="dxa" w:w="2400"/>
            <w:shd w:fill="1F3864" w:val="clear"/>
            <w:tcMar>
              <w:top w:type="dxa" w:w="70"/>
              <w:left w:type="dxa" w:w="110"/>
              <w:bottom w:type="dxa" w:w="70"/>
              <w:right w:type="dxa" w:w="110"/>
            </w:tcMar>
          </w:tcPr>
          <w:p>
            <w:pPr>
              <w:spacing w:after="0" w:line="264"/>
            </w:pPr>
            <w:r>
              <w:rPr>
                <w:b/>
                <w:bCs/>
                <w:color w:val="FFFFFF"/>
                <w:sz w:val="19"/>
                <w:szCs w:val="19"/>
              </w:rPr>
              <w:t xml:space="preserve">NHANES NH-Asian</w:t>
            </w:r>
          </w:p>
        </w:tc>
        <w:tc>
          <w:tcPr>
            <w:tcW w:type="dxa" w:w="2160"/>
            <w:shd w:fill="1F3864" w:val="clear"/>
            <w:tcMar>
              <w:top w:type="dxa" w:w="70"/>
              <w:left w:type="dxa" w:w="110"/>
              <w:bottom w:type="dxa" w:w="70"/>
              <w:right w:type="dxa" w:w="110"/>
            </w:tcMar>
          </w:tcPr>
          <w:p>
            <w:pPr>
              <w:spacing w:after="0" w:line="264"/>
            </w:pPr>
            <w:r>
              <w:rPr>
                <w:b/>
                <w:bCs/>
                <w:color w:val="FFFFFF"/>
                <w:sz w:val="19"/>
                <w:szCs w:val="19"/>
              </w:rPr>
              <w:t xml:space="preserve">Reading</w:t>
            </w:r>
          </w:p>
        </w:tc>
      </w:tr>
      <w:tr>
        <w:tc>
          <w:tcPr>
            <w:tcW w:type="dxa" w:w="2400"/>
            <w:shd w:fill="FFFFFF" w:val="clear"/>
            <w:tcMar>
              <w:top w:type="dxa" w:w="70"/>
              <w:left w:type="dxa" w:w="110"/>
              <w:bottom w:type="dxa" w:w="70"/>
              <w:right w:type="dxa" w:w="110"/>
            </w:tcMar>
          </w:tcPr>
          <w:p>
            <w:pPr>
              <w:spacing w:after="0" w:line="264"/>
            </w:pPr>
            <w:r>
              <w:rPr>
                <w:b/>
                <w:bCs/>
                <w:color w:val="000000"/>
                <w:sz w:val="19"/>
                <w:szCs w:val="19"/>
              </w:rPr>
              <w:t xml:space="preserve">HDL (median)</w:t>
            </w:r>
          </w:p>
        </w:tc>
        <w:tc>
          <w:tcPr>
            <w:tcW w:type="dxa" w:w="2400"/>
            <w:shd w:fill="FFFFFF" w:val="clear"/>
            <w:tcMar>
              <w:top w:type="dxa" w:w="70"/>
              <w:left w:type="dxa" w:w="110"/>
              <w:bottom w:type="dxa" w:w="70"/>
              <w:right w:type="dxa" w:w="110"/>
            </w:tcMar>
          </w:tcPr>
          <w:p>
            <w:pPr>
              <w:spacing w:after="0" w:line="264"/>
            </w:pPr>
            <w:r>
              <w:rPr>
                <w:b w:val="false"/>
                <w:bCs w:val="false"/>
                <w:color w:val="000000"/>
                <w:sz w:val="19"/>
                <w:szCs w:val="19"/>
              </w:rPr>
              <w:t xml:space="preserve">45 mg/dL</w:t>
            </w:r>
          </w:p>
        </w:tc>
        <w:tc>
          <w:tcPr>
            <w:tcW w:type="dxa" w:w="2400"/>
            <w:shd w:fill="FFFFFF" w:val="clear"/>
            <w:tcMar>
              <w:top w:type="dxa" w:w="70"/>
              <w:left w:type="dxa" w:w="110"/>
              <w:bottom w:type="dxa" w:w="70"/>
              <w:right w:type="dxa" w:w="110"/>
            </w:tcMar>
          </w:tcPr>
          <w:p>
            <w:pPr>
              <w:spacing w:after="0" w:line="264"/>
            </w:pPr>
            <w:r>
              <w:rPr>
                <w:b w:val="false"/>
                <w:bCs w:val="false"/>
                <w:color w:val="000000"/>
                <w:sz w:val="19"/>
                <w:szCs w:val="19"/>
              </w:rPr>
              <w:t xml:space="preserve">52 mg/dL</w:t>
            </w:r>
          </w:p>
        </w:tc>
        <w:tc>
          <w:tcPr>
            <w:tcW w:type="dxa" w:w="2160"/>
            <w:shd w:fill="FFFFFF" w:val="clear"/>
            <w:tcMar>
              <w:top w:type="dxa" w:w="70"/>
              <w:left w:type="dxa" w:w="110"/>
              <w:bottom w:type="dxa" w:w="70"/>
              <w:right w:type="dxa" w:w="110"/>
            </w:tcMar>
          </w:tcPr>
          <w:p>
            <w:pPr>
              <w:spacing w:after="0" w:line="264"/>
            </w:pPr>
            <w:r>
              <w:rPr>
                <w:b w:val="false"/>
                <w:bCs w:val="false"/>
                <w:color w:val="000000"/>
                <w:sz w:val="19"/>
                <w:szCs w:val="19"/>
              </w:rPr>
              <w:t xml:space="preserve">Lower HDL — the expected South Asian pattern</w:t>
            </w:r>
          </w:p>
        </w:tc>
      </w:tr>
      <w:tr>
        <w:tc>
          <w:tcPr>
            <w:tcW w:type="dxa" w:w="2400"/>
            <w:shd w:fill="F2F6FC" w:val="clear"/>
            <w:tcMar>
              <w:top w:type="dxa" w:w="70"/>
              <w:left w:type="dxa" w:w="110"/>
              <w:bottom w:type="dxa" w:w="70"/>
              <w:right w:type="dxa" w:w="110"/>
            </w:tcMar>
          </w:tcPr>
          <w:p>
            <w:pPr>
              <w:spacing w:after="0" w:line="264"/>
            </w:pPr>
            <w:r>
              <w:rPr>
                <w:b/>
                <w:bCs/>
                <w:color w:val="000000"/>
                <w:sz w:val="19"/>
                <w:szCs w:val="19"/>
              </w:rPr>
              <w:t xml:space="preserve">Triglycerides (median)</w:t>
            </w:r>
          </w:p>
        </w:tc>
        <w:tc>
          <w:tcPr>
            <w:tcW w:type="dxa" w:w="2400"/>
            <w:shd w:fill="F2F6FC" w:val="clear"/>
            <w:tcMar>
              <w:top w:type="dxa" w:w="70"/>
              <w:left w:type="dxa" w:w="110"/>
              <w:bottom w:type="dxa" w:w="70"/>
              <w:right w:type="dxa" w:w="110"/>
            </w:tcMar>
          </w:tcPr>
          <w:p>
            <w:pPr>
              <w:spacing w:after="0" w:line="264"/>
            </w:pPr>
            <w:r>
              <w:rPr>
                <w:b w:val="false"/>
                <w:bCs w:val="false"/>
                <w:color w:val="000000"/>
                <w:sz w:val="19"/>
                <w:szCs w:val="19"/>
              </w:rPr>
              <w:t xml:space="preserve">118 mg/dL</w:t>
            </w:r>
          </w:p>
        </w:tc>
        <w:tc>
          <w:tcPr>
            <w:tcW w:type="dxa" w:w="2400"/>
            <w:shd w:fill="F2F6FC" w:val="clear"/>
            <w:tcMar>
              <w:top w:type="dxa" w:w="70"/>
              <w:left w:type="dxa" w:w="110"/>
              <w:bottom w:type="dxa" w:w="70"/>
              <w:right w:type="dxa" w:w="110"/>
            </w:tcMar>
          </w:tcPr>
          <w:p>
            <w:pPr>
              <w:spacing w:after="0" w:line="264"/>
            </w:pPr>
            <w:r>
              <w:rPr>
                <w:b w:val="false"/>
                <w:bCs w:val="false"/>
                <w:color w:val="000000"/>
                <w:sz w:val="19"/>
                <w:szCs w:val="19"/>
              </w:rPr>
              <w:t xml:space="preserve">91 mg/dL</w:t>
            </w:r>
          </w:p>
        </w:tc>
        <w:tc>
          <w:tcPr>
            <w:tcW w:type="dxa" w:w="2160"/>
            <w:shd w:fill="F2F6FC" w:val="clear"/>
            <w:tcMar>
              <w:top w:type="dxa" w:w="70"/>
              <w:left w:type="dxa" w:w="110"/>
              <w:bottom w:type="dxa" w:w="70"/>
              <w:right w:type="dxa" w:w="110"/>
            </w:tcMar>
          </w:tcPr>
          <w:p>
            <w:pPr>
              <w:spacing w:after="0" w:line="264"/>
            </w:pPr>
            <w:r>
              <w:rPr>
                <w:b w:val="false"/>
                <w:bCs w:val="false"/>
                <w:color w:val="000000"/>
                <w:sz w:val="19"/>
                <w:szCs w:val="19"/>
              </w:rPr>
              <w:t xml:space="preserve">Higher TG — also expected</w:t>
            </w:r>
          </w:p>
        </w:tc>
      </w:tr>
      <w:tr>
        <w:tc>
          <w:tcPr>
            <w:tcW w:type="dxa" w:w="2400"/>
            <w:shd w:fill="FFFFFF" w:val="clear"/>
            <w:tcMar>
              <w:top w:type="dxa" w:w="70"/>
              <w:left w:type="dxa" w:w="110"/>
              <w:bottom w:type="dxa" w:w="70"/>
              <w:right w:type="dxa" w:w="110"/>
            </w:tcMar>
          </w:tcPr>
          <w:p>
            <w:pPr>
              <w:spacing w:after="0" w:line="264"/>
            </w:pPr>
            <w:r>
              <w:rPr>
                <w:b/>
                <w:bCs/>
                <w:color w:val="000000"/>
                <w:sz w:val="19"/>
                <w:szCs w:val="19"/>
              </w:rPr>
              <w:t xml:space="preserve">Sample size (lipids)</w:t>
            </w:r>
          </w:p>
        </w:tc>
        <w:tc>
          <w:tcPr>
            <w:tcW w:type="dxa" w:w="2400"/>
            <w:shd w:fill="FFFFFF" w:val="clear"/>
            <w:tcMar>
              <w:top w:type="dxa" w:w="70"/>
              <w:left w:type="dxa" w:w="110"/>
              <w:bottom w:type="dxa" w:w="70"/>
              <w:right w:type="dxa" w:w="110"/>
            </w:tcMar>
          </w:tcPr>
          <w:p>
            <w:pPr>
              <w:spacing w:after="0" w:line="264"/>
            </w:pPr>
            <w:r>
              <w:rPr>
                <w:b w:val="false"/>
                <w:bCs w:val="false"/>
                <w:color w:val="000000"/>
                <w:sz w:val="19"/>
                <w:szCs w:val="19"/>
              </w:rPr>
              <w:t xml:space="preserve">~9,700</w:t>
            </w:r>
          </w:p>
        </w:tc>
        <w:tc>
          <w:tcPr>
            <w:tcW w:type="dxa" w:w="2400"/>
            <w:shd w:fill="FFFFFF" w:val="clear"/>
            <w:tcMar>
              <w:top w:type="dxa" w:w="70"/>
              <w:left w:type="dxa" w:w="110"/>
              <w:bottom w:type="dxa" w:w="70"/>
              <w:right w:type="dxa" w:w="110"/>
            </w:tcMar>
          </w:tcPr>
          <w:p>
            <w:pPr>
              <w:spacing w:after="0" w:line="264"/>
            </w:pPr>
            <w:r>
              <w:rPr>
                <w:b w:val="false"/>
                <w:bCs w:val="false"/>
                <w:color w:val="000000"/>
                <w:sz w:val="19"/>
                <w:szCs w:val="19"/>
              </w:rPr>
              <w:t xml:space="preserve">~390–890</w:t>
            </w:r>
          </w:p>
        </w:tc>
        <w:tc>
          <w:tcPr>
            <w:tcW w:type="dxa" w:w="2160"/>
            <w:shd w:fill="FFFFFF" w:val="clear"/>
            <w:tcMar>
              <w:top w:type="dxa" w:w="70"/>
              <w:left w:type="dxa" w:w="110"/>
              <w:bottom w:type="dxa" w:w="70"/>
              <w:right w:type="dxa" w:w="110"/>
            </w:tcMar>
          </w:tcPr>
          <w:p>
            <w:pPr>
              <w:spacing w:after="0" w:line="264"/>
            </w:pPr>
            <w:r>
              <w:rPr>
                <w:b w:val="false"/>
                <w:bCs w:val="false"/>
                <w:color w:val="000000"/>
                <w:sz w:val="19"/>
                <w:szCs w:val="19"/>
              </w:rPr>
              <w:t xml:space="preserve">10–25× larger, clinic-derived</w:t>
            </w:r>
          </w:p>
        </w:tc>
      </w:tr>
    </w:tbl>
    <w:p>
      <w:pPr>
        <w:spacing w:after="120" w:before="0" w:line="276"/>
      </w:pPr>
      <w:r>
        <w:rPr>
          <w:b/>
          <w:bCs/>
        </w:rPr>
        <w:t xml:space="preserve">Why this matters: </w:t>
      </w:r>
      <w:r>
        <w:t xml:space="preserve">a South Asian patient who looks “average” against a general Asian-American survey may sit quite differently against other South Asian patients. Showing the right peer group is the entire premise of the center’s tool, and RiskLens now does it with real data while keeping the honest distinction explicit.</w:t>
      </w:r>
    </w:p>
    <w:p>
      <w:pPr>
        <w:spacing w:after="120" w:before="0" w:line="276"/>
      </w:pPr>
      <w:r>
        <w:rPr>
          <w:b/>
          <w:bCs/>
        </w:rPr>
        <w:t xml:space="preserve">Honest labeling is enforced, not just intended. </w:t>
      </w:r>
      <w:r>
        <w:t xml:space="preserve">Each cohort always carries its own truthful name — the NHANES cohort is never relabeled “South Asian,” and the SAHC cohort is named the “South Asian Heart Center clinical cohort,” not the bare phrase “South Asian.” Automated tests fail the build if those labels are ever crossed.</w:t>
      </w:r>
    </w:p>
    <w:p>
      <w:pPr>
        <w:pStyle w:val="Heading2"/>
      </w:pPr>
      <w:r>
        <w:t xml:space="preserve">4b.  Verifiable, guideline-cited thresholds from a single source</w:t>
      </w:r>
    </w:p>
    <w:p>
      <w:pPr>
        <w:spacing w:after="120" w:before="0" w:line="276"/>
      </w:pPr>
      <w:r>
        <w:t xml:space="preserve">Every clinical cut-point lives in one reference file, each tagged with its guideline, and the web interface only renders what that logic returns — it cannot drift. The categories in use: LDL and Triglycerides (ACC/AHA 2018); HDL and Total Cholesterol (NCEP ATP III); HbA1c and Fasting Glucose (ADA 2024); Blood Pressure (ACC/AHA 2017); BMI standard (WHO) and BMI South Asian context (WHO Expert Consultation 2004, 23 / 27.5). RiskLens also uses finer, guideline-faithful bands than SCORE — for example five LDL categories and sex-specific HDL thresholds, rather than coarse optimal/borderline/at-risk bands.</w:t>
      </w:r>
    </w:p>
    <w:p>
      <w:pPr>
        <w:pStyle w:val="Heading2"/>
      </w:pPr>
      <w:r>
        <w:t xml:space="preserve">4c.  Trajectory over snapshot</w:t>
      </w:r>
    </w:p>
    <w:p>
      <w:pPr>
        <w:spacing w:after="120" w:before="0" w:line="276"/>
      </w:pPr>
      <w:r>
        <w:t xml:space="preserve">SCORE showed a single point in time. The clinical signal in cardiometabolic health is largely in the trend — rate of change and response to intervention. RiskLens tracks a patient’s values across multiple dated draws and describes the direction of travel, the size of the change, and when a value crossed a category line. It is deliberately descriptive only: it does not forecast future values, estimate time-to-threshold, or attribute causation to a medication, and automated tests scan the output to keep it that way.</w:t>
      </w:r>
    </w:p>
    <w:p>
      <w:pPr>
        <w:pStyle w:val="Heading2"/>
      </w:pPr>
      <w:r>
        <w:t xml:space="preserve">4d.  A stronger privacy posture</w:t>
      </w:r>
    </w:p>
    <w:p>
      <w:pPr>
        <w:spacing w:after="120" w:before="0" w:line="276"/>
      </w:pPr>
      <w:r>
        <w:t xml:space="preserve">The original tool stored patient inputs and usage in databases that travelled with the application. RiskLens stores nothing on a server — there is no database and no account. A patient who wants to track values over time owns their history as a file they export and re-import; any cache lives only on their own device. This keeps the privacy and regulatory surface deliberately small, and it is itself a better trust story to offer patients.</w:t>
      </w:r>
    </w:p>
    <w:p>
      <w:pPr>
        <w:pStyle w:val="Heading2"/>
      </w:pPr>
      <w:r>
        <w:t xml:space="preserve">4e.  Safety engineered in, and demonstrable</w:t>
      </w:r>
    </w:p>
    <w:p>
      <w:pPr>
        <w:spacing w:after="120" w:before="0" w:line="276"/>
      </w:pPr>
      <w:r>
        <w:t xml:space="preserve">RiskLens generates no free-form AI text in the patient-facing product — the discussion guide is fixed, reviewable template wording, so output is predictable and auditable. The build automatically scans for diagnostic, predictive, or treatment-advice phrasing and fails if any appears. A reproducible safety benchmark checks that the constrained interpreter avoids the failure modes open-ended interpretation is prone to (diagnosis, prediction, treatment advice, hallucination, and mislabeling the South Asian context). A validation gate of 267 automated tests must pass before any release.</w:t>
      </w:r>
    </w:p>
    <w:p>
      <w:pPr>
        <w:pStyle w:val="Heading1"/>
      </w:pPr>
      <w:r>
        <w:t xml:space="preserve">5.  The new South Asian cohort — method and caveats</w:t>
      </w:r>
    </w:p>
    <w:p>
      <w:pPr>
        <w:spacing w:after="100" w:before="0" w:line="276"/>
      </w:pPr>
      <w:r>
        <w:t xml:space="preserve">Because this cohort is the centerpiece of the change, here is exactly how it is built and what its limits are. We would rather you hear these from us than find them.</w:t>
      </w:r>
    </w:p>
    <w:p>
      <w:pPr>
        <w:pStyle w:val="ListParagraph"/>
        <w:numPr>
          <w:ilvl w:val="0"/>
          <w:numId w:val="3"/>
        </w:numPr>
        <w:spacing w:after="80" w:line="276"/>
      </w:pPr>
      <w:r>
        <w:rPr>
          <w:b/>
          <w:bCs/>
        </w:rPr>
        <w:t xml:space="preserve">Source: </w:t>
      </w:r>
      <w:r>
        <w:t xml:space="preserve">the South Asian Heart Center’s de-identified clinical records (the same data behind the original SCORE tool), filtered to the South Asian patients.</w:t>
      </w:r>
    </w:p>
    <w:p>
      <w:pPr>
        <w:pStyle w:val="ListParagraph"/>
        <w:numPr>
          <w:ilvl w:val="0"/>
          <w:numId w:val="3"/>
        </w:numPr>
        <w:spacing w:after="80" w:line="276"/>
      </w:pPr>
      <w:r>
        <w:rPr>
          <w:b/>
          <w:bCs/>
        </w:rPr>
        <w:t xml:space="preserve">Method: </w:t>
      </w:r>
      <w:r>
        <w:t xml:space="preserve">for each biomarker we compute the 10th/25th/median/75th/90th percentiles and the sample size, mirroring how the NHANES cohort is computed, so the two are directly comparable.</w:t>
      </w:r>
    </w:p>
    <w:p>
      <w:pPr>
        <w:pStyle w:val="ListParagraph"/>
        <w:numPr>
          <w:ilvl w:val="0"/>
          <w:numId w:val="3"/>
        </w:numPr>
        <w:spacing w:after="80" w:line="276"/>
      </w:pPr>
      <w:r>
        <w:rPr>
          <w:b/>
          <w:bCs/>
        </w:rPr>
        <w:t xml:space="preserve">Fasting glucose caveat: </w:t>
      </w:r>
      <w:r>
        <w:t xml:space="preserve">this extract has no fasting-hours field, so the fasting filter applied to NHANES fasting glucose cannot be applied here. The SAHC glucose percentiles therefore include non-fasting draws and should be read as “glucose,” not strictly “fasting glucose.”</w:t>
      </w:r>
    </w:p>
    <w:p>
      <w:pPr>
        <w:pStyle w:val="ListParagraph"/>
        <w:numPr>
          <w:ilvl w:val="0"/>
          <w:numId w:val="3"/>
        </w:numPr>
        <w:spacing w:after="80" w:line="276"/>
      </w:pPr>
      <w:r>
        <w:rPr>
          <w:b/>
          <w:bCs/>
        </w:rPr>
        <w:t xml:space="preserve">Blood pressure caveat: </w:t>
      </w:r>
      <w:r>
        <w:t xml:space="preserve">the extract carries a single reading per patient, not an average of repeated readings as in NHANES.</w:t>
      </w:r>
    </w:p>
    <w:p>
      <w:pPr>
        <w:pStyle w:val="ListParagraph"/>
        <w:numPr>
          <w:ilvl w:val="0"/>
          <w:numId w:val="3"/>
        </w:numPr>
        <w:spacing w:after="80" w:line="276"/>
      </w:pPr>
      <w:r>
        <w:rPr>
          <w:b/>
          <w:bCs/>
        </w:rPr>
        <w:t xml:space="preserve">Clinic vs. survey: </w:t>
      </w:r>
      <w:r>
        <w:t xml:space="preserve">this is a cardiometabolic-clinic population, so its distributions differ structurally from a general survey sample (most visibly, a much tighter low-BMI tail).</w:t>
      </w:r>
    </w:p>
    <w:p>
      <w:pPr>
        <w:pStyle w:val="ListParagraph"/>
        <w:numPr>
          <w:ilvl w:val="0"/>
          <w:numId w:val="3"/>
        </w:numPr>
        <w:spacing w:after="80" w:line="276"/>
      </w:pPr>
      <w:r>
        <w:rPr>
          <w:b/>
          <w:bCs/>
        </w:rPr>
        <w:t xml:space="preserve">Governance: </w:t>
      </w:r>
      <w:r>
        <w:t xml:space="preserve">the raw patient rows are never published or committed to the codebase; only the aggregate percentile summaries are. Any external use of these aggregates should be confirmed against the center’s data-use terms first.</w:t>
      </w:r>
    </w:p>
    <w:p>
      <w:pPr>
        <w:spacing w:after="120" w:before="60" w:line="276"/>
      </w:pPr>
      <w:r>
        <w:rPr>
          <w:b/>
          <w:bCs/>
        </w:rPr>
        <w:t xml:space="preserve">What did not change clinically: </w:t>
      </w:r>
      <w:r>
        <w:t xml:space="preserve">choosing a cohort changes only the comparison distribution. It never changes the guideline category a value falls into — classification is guideline-based and cohort-independent.</w:t>
      </w:r>
    </w:p>
    <w:p>
      <w:pPr>
        <w:pStyle w:val="Heading1"/>
      </w:pPr>
      <w:r>
        <w:t xml:space="preserve">6.  What has deliberately NOT changed</w:t>
      </w:r>
    </w:p>
    <w:p>
      <w:pPr>
        <w:pStyle w:val="ListParagraph"/>
        <w:numPr>
          <w:ilvl w:val="0"/>
          <w:numId w:val="3"/>
        </w:numPr>
        <w:spacing w:after="80" w:line="276"/>
      </w:pPr>
      <w:r>
        <w:t xml:space="preserve">No diagnosis, no individual risk prediction, no treatment advice — output is descriptive and routes every decision back to you.</w:t>
      </w:r>
    </w:p>
    <w:p>
      <w:pPr>
        <w:pStyle w:val="ListParagraph"/>
        <w:numPr>
          <w:ilvl w:val="0"/>
          <w:numId w:val="3"/>
        </w:numPr>
        <w:spacing w:after="80" w:line="276"/>
      </w:pPr>
      <w:r>
        <w:t xml:space="preserve">Disclaimers and a limitations panel are always visible and cannot be dismissed.</w:t>
      </w:r>
    </w:p>
    <w:p>
      <w:pPr>
        <w:pStyle w:val="ListParagraph"/>
        <w:numPr>
          <w:ilvl w:val="0"/>
          <w:numId w:val="3"/>
        </w:numPr>
        <w:spacing w:after="80" w:line="276"/>
      </w:pPr>
      <w:r>
        <w:t xml:space="preserve">South Asian ancestry is presented as a guideline-recognized risk-enhancing factor and qualitative context — never as a risk score.</w:t>
      </w:r>
    </w:p>
    <w:p>
      <w:pPr>
        <w:pStyle w:val="ListParagraph"/>
        <w:numPr>
          <w:ilvl w:val="0"/>
          <w:numId w:val="3"/>
        </w:numPr>
        <w:spacing w:after="80" w:line="276"/>
      </w:pPr>
      <w:r>
        <w:t xml:space="preserve">Missing values are shown as missing, never imputed; medication use is flagged but classifications are not silently adjusted.</w:t>
      </w:r>
    </w:p>
    <w:p>
      <w:pPr>
        <w:pStyle w:val="Heading1"/>
      </w:pPr>
      <w:r>
        <w:t xml:space="preserve">7.  What we are asking of you</w:t>
      </w:r>
    </w:p>
    <w:p>
      <w:pPr>
        <w:pStyle w:val="ListParagraph"/>
        <w:numPr>
          <w:ilvl w:val="0"/>
          <w:numId w:val="2"/>
        </w:numPr>
        <w:spacing w:after="80" w:line="276"/>
      </w:pPr>
      <w:r>
        <w:t xml:space="preserve">Confirm the threshold cut-points are the ones you would use today, or tell us what is out of date.</w:t>
      </w:r>
    </w:p>
    <w:p>
      <w:pPr>
        <w:pStyle w:val="ListParagraph"/>
        <w:numPr>
          <w:ilvl w:val="0"/>
          <w:numId w:val="2"/>
        </w:numPr>
        <w:spacing w:after="80" w:line="276"/>
      </w:pPr>
      <w:r>
        <w:t xml:space="preserve">Tell us whether presenting the SAHC cohort alongside NHANES is clarifying or confusing for a layperson — and whether the fasting-glucose and single-reading-BP caveats are stated strongly enough.</w:t>
      </w:r>
    </w:p>
    <w:p>
      <w:pPr>
        <w:pStyle w:val="ListParagraph"/>
        <w:numPr>
          <w:ilvl w:val="0"/>
          <w:numId w:val="2"/>
        </w:numPr>
        <w:spacing w:after="80" w:line="276"/>
      </w:pPr>
      <w:r>
        <w:t xml:space="preserve">Read a sample patient result and react to the framing and language: does anything read as diagnosis, prediction, or advice?</w:t>
      </w:r>
    </w:p>
    <w:p>
      <w:pPr>
        <w:pStyle w:val="ListParagraph"/>
        <w:numPr>
          <w:ilvl w:val="0"/>
          <w:numId w:val="2"/>
        </w:numPr>
        <w:spacing w:after="80" w:line="276"/>
      </w:pPr>
      <w:r>
        <w:t xml:space="preserve">On balance, would a patient arriving with this help your appointment or hinder it — and what would change your answer?</w:t>
      </w:r>
    </w:p>
    <w:p>
      <w:pPr>
        <w:pStyle w:val="Heading1"/>
      </w:pPr>
      <w:r>
        <w:t xml:space="preserve">8.  How to see it for yourself</w:t>
      </w:r>
    </w:p>
    <w:p>
      <w:pPr>
        <w:spacing w:after="120" w:before="0" w:line="276"/>
      </w:pPr>
      <w:r>
        <w:t xml:space="preserve">RiskLens runs as a single web application. On the input page, a new “Compare against” selector lets you choose the NHANES Non-Hispanic Asian population or the South Asian Heart Center cohort; the results page and distribution chart update to the chosen cohort, with its name and sample size shown on every chart. We are happy to walk through a live demonstration with example (synthetic) patients, or to provide a short screen recording on request.</w:t>
      </w:r>
    </w:p>
    <w:p>
      <w:pPr>
        <w:pBdr>
          <w:top w:val="single" w:color="2E75B6" w:sz="4" w:space="6"/>
        </w:pBdr>
        <w:spacing w:before="200"/>
      </w:pPr>
      <w:r>
        <w:rPr>
          <w:i/>
          <w:iCs/>
          <w:color w:val="595959"/>
        </w:rPr>
        <w:t xml:space="preserve">Your clinical judgment is the gate here, and we mean that literally. There is no wrong answer — including “not yet” or “not in this form.” We would rather learn it from you now than from a patient later.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Educational tool — not a diagnostic device.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SAHC RiskLens — Clinician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SAHC RiskLens — Clinician Briefing</dc:title>
  <dc:creator>South Asian Heart Center</dc:creator>
  <cp:lastModifiedBy>Un-named</cp:lastModifiedBy>
  <cp:revision>1</cp:revision>
  <dcterms:created xsi:type="dcterms:W3CDTF">2026-06-23T06:02:41.068Z</dcterms:created>
  <dcterms:modified xsi:type="dcterms:W3CDTF">2026-06-23T06:02:41.068Z</dcterms:modified>
</cp:coreProperties>
</file>

<file path=docProps/custom.xml><?xml version="1.0" encoding="utf-8"?>
<Properties xmlns="http://schemas.openxmlformats.org/officeDocument/2006/custom-properties" xmlns:vt="http://schemas.openxmlformats.org/officeDocument/2006/docPropsVTypes"/>
</file>