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057"/>
        </w:rPr>
        <w:t>Final Report</w:t>
      </w:r>
    </w:p>
    <w:p>
      <w:r>
        <w:rPr>
          <w:color w:val="666666"/>
          <w:sz w:val="24"/>
        </w:rPr>
        <w:t>FLC Portfolio Optimization Project — Comprehensive Strategic Analysis</w:t>
      </w:r>
    </w:p>
    <w:p>
      <w:r>
        <w:rPr>
          <w:color w:val="999999"/>
          <w:sz w:val="20"/>
        </w:rPr>
        <w:t>Fort Lewis College | Durango, Colorado | Public Liberal Arts</w:t>
      </w:r>
    </w:p>
    <w:p>
      <w:r>
        <w:t>____________________________________________________________</w:t>
      </w:r>
    </w:p>
    <w:p>
      <w:pPr>
        <w:pStyle w:val="Heading1"/>
      </w:pPr>
      <w:r>
        <w:rPr>
          <w:color w:val="003057"/>
        </w:rPr>
        <w:t>Section 1: Executive Summary</w:t>
      </w:r>
    </w:p>
    <w:p>
      <w:pPr>
        <w:pStyle w:val="Heading2"/>
      </w:pPr>
      <w:r>
        <w:rPr>
          <w:color w:val="003057"/>
        </w:rPr>
        <w:t>Project Overview</w:t>
      </w:r>
    </w:p>
    <w:p>
      <w:r>
        <w:rPr>
          <w:b w:val="0"/>
          <w:sz w:val="22"/>
        </w:rPr>
        <w:t>The Fort Lewis College Portfolio Optimization Project is a comprehensive strategic analysis of FLC's academic portfolio, designed to inform the 2025–2030 planning cycle. FLC enrolls 3,457 students in Durango, Colorado, with a 66.1% first-time full-time retention rate. As a small, public, rural institution with a Native American–serving mission, FLC faces unique competitive pressures alongside distinctive strengths.</w:t>
      </w:r>
    </w:p>
    <w:p>
      <w:r>
        <w:rPr>
          <w:b w:val="0"/>
          <w:sz w:val="22"/>
        </w:rPr>
        <w:t>The project applies a three-phase methodology: Phase 1 (Environmental Scanning) uses four frameworks—PESTLE, Porter's Five Forces, BCG Growth-Share Matrix, and Gray Associates Portfolio Analysis—to assess external conditions and internal portfolio health. Phase 2 (Strategic Synthesis) consolidates findings into a SWOT analysis. Phase 3 (Strategic Direction) applies the Zone to Win framework to produce three actionable scenarios with a strategic roadmap.</w:t>
      </w:r>
    </w:p>
    <w:p>
      <w:pPr>
        <w:pStyle w:val="Heading2"/>
      </w:pPr>
      <w:r>
        <w:rPr>
          <w:color w:val="003057"/>
        </w:rPr>
        <w:t>Environmental Scanning Findings</w:t>
      </w:r>
    </w:p>
    <w:p>
      <w:pPr>
        <w:pStyle w:val="Heading3"/>
      </w:pPr>
      <w:r>
        <w:rPr>
          <w:color w:val="003057"/>
        </w:rPr>
        <w:t>PESTLE Analysis</w:t>
      </w:r>
    </w:p>
    <w:p>
      <w:r>
        <w:rPr>
          <w:b w:val="0"/>
          <w:sz w:val="22"/>
        </w:rPr>
        <w:t>The PESTLE analysis assessed six external dimensions. Highest-impact categories: Political (5/5), Economic (5/5), Social (4/5). Federal DEI policy disruption threatens TRIO programs (120+ terminated nationally) and could misclassify FLC's statutory NATW mission. State funding is projected down for FY2026. The Durango housing crisis constrains faculty/staff recruitment. Online market is saturated—FLC's only defensible online strategy is the Indigenous niche (NATW tuition waiver moat).</w:t>
      </w:r>
    </w:p>
    <w:p>
      <w:pPr>
        <w:pStyle w:val="Heading3"/>
      </w:pPr>
      <w:r>
        <w:rPr>
          <w:color w:val="003057"/>
        </w:rPr>
        <w:t>Porter's Five Forces</w:t>
      </w:r>
    </w:p>
    <w:p>
      <w:r>
        <w:rPr>
          <w:b w:val="0"/>
          <w:sz w:val="22"/>
        </w:rPr>
        <w:t>Overall competitive intensity is HIGH (3.4/5 average across five forces). Competitive rivalry (4.0/5) and student bargaining power (4.0/5) are the strongest pressures. FLC's defensive moats include its Native American tuition waiver, Durango's outdoor lifestyle, and an intimate small-college experience.</w:t>
      </w:r>
    </w:p>
    <w:p>
      <w:pPr>
        <w:pStyle w:val="Heading3"/>
      </w:pPr>
      <w:r>
        <w:rPr>
          <w:color w:val="003057"/>
        </w:rPr>
        <w:t>BCG Growth-Share Matrix</w:t>
      </w:r>
    </w:p>
    <w:p>
      <w:r>
        <w:rPr>
          <w:b w:val="0"/>
          <w:sz w:val="22"/>
        </w:rPr>
        <w:t>The BCG analysis examines FLC at two levels. At the department level (SCH-based), 22 departments show 2 Stars, 9 Cash Cows, and 9 Concerns — Cash Cows generate bulk revenue but all face declining enrollment. At the major level (enrollment-based), 48 majors show 15 Stars, 9 Cash Cows, 7 Question Marks, and 17 Concerns. Programs with fewer than 20 students in 2022 are flagged as small-base.</w:t>
      </w:r>
    </w:p>
    <w:p>
      <w:pPr>
        <w:pStyle w:val="Heading3"/>
      </w:pPr>
      <w:r>
        <w:rPr>
          <w:color w:val="003057"/>
        </w:rPr>
        <w:t>Gray Associates Portfolio Analysis</w:t>
      </w:r>
    </w:p>
    <w:p>
      <w:r>
        <w:rPr>
          <w:b w:val="0"/>
          <w:sz w:val="22"/>
        </w:rPr>
        <w:t>The Gray Associates framework evaluated 23 degree programs on Market Score and Economics Score (note: applied with proxy data; scores are directional, not definitive): 7 Grow, 8 Sustain, 2 Transform, 4 Evaluate, 2 Sunset Review. Programs recommended to Grow (Engineering, Health Sciences, Business, Psychology) align with strong employment demand and student interest.</w:t>
      </w:r>
    </w:p>
    <w:p>
      <w:pPr>
        <w:pStyle w:val="Heading2"/>
      </w:pPr>
      <w:r>
        <w:rPr>
          <w:color w:val="003057"/>
        </w:rPr>
        <w:t>Strategic Synthesis (SWOT)</w:t>
      </w:r>
    </w:p>
    <w:p>
      <w:r>
        <w:rPr>
          <w:b w:val="0"/>
          <w:sz w:val="22"/>
        </w:rPr>
        <w:t>The SWOT analysis synthesized all Phase 1 findings: 7 Strengths, 7 Weaknesses, 7 Opportunities, and 7 Threats. Top strengths: statutory NATW mission (CRS 23-52-105) and 15 Star-quadrant majors. Critical tension reconciled: Indigenous education represents FLC's best growth opportunity but must be framed through statutory obligations (CRS 23-52-105), not DEI language, given current federal policy climate.</w:t>
      </w:r>
    </w:p>
    <w:p>
      <w:pPr>
        <w:pStyle w:val="Heading2"/>
      </w:pPr>
      <w:r>
        <w:rPr>
          <w:color w:val="003057"/>
        </w:rPr>
        <w:t>Strategic Direction: Zone to Win</w:t>
      </w:r>
    </w:p>
    <w:p>
      <w:r>
        <w:rPr>
          <w:b w:val="0"/>
          <w:sz w:val="22"/>
        </w:rPr>
        <w:t>The Zone to Win framework (Geoffrey Moore) is the culminating analytical step, translating all prior findings into four strategic investment zones—Performance, Productivity, Incubation, and Transformation—across three scenarios.</w:t>
      </w:r>
    </w:p>
    <w:p>
      <w:r>
        <w:rPr>
          <w:b/>
          <w:sz w:val="20"/>
        </w:rPr>
        <w:t>Performance Zone: Revenue maintenance and growth in proven programs. Focus on BCG Stars and Gray Associates GROW programs that drive enrollment.</w:t>
      </w:r>
    </w:p>
    <w:p>
      <w:r>
        <w:rPr>
          <w:b/>
          <w:sz w:val="20"/>
        </w:rPr>
        <w:t>Productivity Zone: Enabling investments for retention, efficiency, and operational excellence. Highest-priority revenue stream: retention improvement.</w:t>
      </w:r>
    </w:p>
    <w:p>
      <w:r>
        <w:rPr>
          <w:b/>
          <w:sz w:val="20"/>
        </w:rPr>
        <w:t>Incubation Zone: Disciplined experimentation with emerging opportunities. Online programs heavily constrained by saturated market and governance timelines.</w:t>
      </w:r>
    </w:p>
    <w:p>
      <w:r>
        <w:rPr>
          <w:b/>
          <w:sz w:val="20"/>
        </w:rPr>
        <w:t>Transformation Zone: Strategic bets that change institutional trajectory. Must be framed through statutory obligations (CRS 23-52-105) and sovereign agreements, not DEI. Governance timeline: 2–5 years.</w:t>
      </w:r>
    </w:p>
    <w:p>
      <w:pPr>
        <w:pStyle w:val="Heading3"/>
      </w:pPr>
      <w:r>
        <w:rPr>
          <w:color w:val="003057"/>
        </w:rPr>
        <w:t>Three Strategic Scenarios</w:t>
      </w:r>
    </w:p>
    <w:p>
      <w:r>
        <w:rPr>
          <w:b/>
          <w:sz w:val="22"/>
        </w:rPr>
        <w:t>Incremental Scenario</w:t>
      </w:r>
    </w:p>
    <w:p>
      <w:r>
        <w:rPr>
          <w:b w:val="0"/>
          <w:sz w:val="22"/>
        </w:rPr>
        <w:t>Low-risk strategy that builds on current strengths. Focuses on stabilizing enrollment through retention gains, protecting high-performing programs, and improving operational efficiency. No major new ventures. Enrollment target: 3,450. Retention target: 68.0%. Zone allocation: Performance 50%, Productivity 30%, Incubation 10%, Transformation 10%.</w:t>
      </w:r>
    </w:p>
    <w:p>
      <w:r>
        <w:rPr>
          <w:b/>
          <w:sz w:val="22"/>
        </w:rPr>
        <w:t>Moderate-Adaptive Scenario</w:t>
      </w:r>
    </w:p>
    <w:p>
      <w:r>
        <w:rPr>
          <w:b w:val="0"/>
          <w:sz w:val="22"/>
        </w:rPr>
        <w:t>Balanced strategy with selective investment in differentiated strengths. Invests in Indigenous education (statutorily grounded), experiential learning brand, and targeted workforce alignment while protecting core programs. Enrollment target: 3,550. Retention target: 70.0%. Zone allocation: Performance 45%, Productivity 25%, Incubation 15%, Transformation 15%.</w:t>
      </w:r>
    </w:p>
    <w:p>
      <w:r>
        <w:rPr>
          <w:b/>
          <w:sz w:val="22"/>
        </w:rPr>
        <w:t>Disruptive Scenario</w:t>
      </w:r>
    </w:p>
    <w:p>
      <w:r>
        <w:rPr>
          <w:b w:val="0"/>
          <w:sz w:val="22"/>
        </w:rPr>
        <w:t>Bold repositioning strategy that restructures FLC's academic portfolio and identity. Pursues Indigenous online niche nationally, workforce credentials, and significant program consolidation. Highest potential reward but requires substantial political capital and investment. Enrollment target: 3,700. Retention target: 72.0%. Zone allocation: Performance 35%, Productivity 20%, Incubation 20%, Transformation 25%.</w:t>
      </w:r>
    </w:p>
    <w:p>
      <w:pPr>
        <w:pStyle w:val="Heading2"/>
      </w:pPr>
      <w:r>
        <w:rPr>
          <w:color w:val="003057"/>
        </w:rPr>
        <w:t>Recommendations</w:t>
      </w:r>
    </w:p>
    <w:p>
      <w:pPr>
        <w:pStyle w:val="ListBullet"/>
      </w:pPr>
      <w:r>
        <w:t>Invest in Star-quadrant majors (Business Admin, Exercise Physiology, Psychology, Engineering) with capacity and pipeline growth</w:t>
      </w:r>
    </w:p>
    <w:p>
      <w:pPr>
        <w:pStyle w:val="ListBullet"/>
      </w:pPr>
      <w:r>
        <w:t>Initiate structured review of 17 Concern-quadrant majors, balancing enrollment data with mission alignment (protect NAIS regardless)</w:t>
      </w:r>
    </w:p>
    <w:p>
      <w:pPr>
        <w:pStyle w:val="ListBullet"/>
      </w:pPr>
      <w:r>
        <w:t>Prioritize retention improvement as most cost-effective enrollment strategy (Compass expansion, early-alert, advising redesign)</w:t>
      </w:r>
    </w:p>
    <w:p>
      <w:pPr>
        <w:pStyle w:val="ListBullet"/>
      </w:pPr>
      <w:r>
        <w:t>Pursue Indigenous education as a defensible national niche—frame through statutory/sovereign obligations, not DEI; invest in marketing for NATW online recruitment</w:t>
      </w:r>
    </w:p>
    <w:p>
      <w:pPr>
        <w:pStyle w:val="ListBullet"/>
      </w:pPr>
      <w:r>
        <w:t>Strengthen dual enrollment and transfer pipeline as a near-term enrollment stabilizer (3+ high school partnerships)</w:t>
      </w:r>
    </w:p>
    <w:p>
      <w:pPr>
        <w:pStyle w:val="ListBullet"/>
      </w:pPr>
      <w:r>
        <w:t>Address Durango housing crisis impact on faculty/staff recruitment through institutional housing partnerships</w:t>
      </w:r>
    </w:p>
    <w:p>
      <w:pPr>
        <w:pStyle w:val="ListBullet"/>
      </w:pPr>
      <w:r>
        <w:t>Navigate faculty governance deliberately—accept 12-18 month timelines for program restructuring; build evidence base with BCG and Gray data</w:t>
      </w:r>
    </w:p>
    <w:p>
      <w:pPr>
        <w:pStyle w:val="Heading1"/>
      </w:pPr>
      <w:r>
        <w:rPr>
          <w:color w:val="003057"/>
        </w:rPr>
        <w:t>Section 2: Detailed Analysis</w:t>
      </w:r>
    </w:p>
    <w:p>
      <w:r>
        <w:rPr>
          <w:b w:val="0"/>
          <w:sz w:val="22"/>
        </w:rPr>
        <w:t>This section presents 3–5 major takeaways from each Phase 1 framework and the Phase 2 SWOT synthesis. Zone to Win is excluded here as it is the culminating framework covered in the Executive Summary.</w:t>
      </w:r>
    </w:p>
    <w:p>
      <w:pPr>
        <w:pStyle w:val="Heading2"/>
      </w:pPr>
      <w:r>
        <w:rPr>
          <w:color w:val="003057"/>
        </w:rPr>
        <w:t>PESTLE Analysis</w:t>
      </w:r>
    </w:p>
    <w:p>
      <w:pPr>
        <w:pStyle w:val="Heading3"/>
      </w:pPr>
      <w:r>
        <w:rPr>
          <w:color w:val="003057"/>
        </w:rPr>
        <w:t>Political — Impact: High (5/5), Trend: Negative</w:t>
      </w:r>
    </w:p>
    <w:p>
      <w:pPr>
        <w:pStyle w:val="ListBullet"/>
      </w:pPr>
      <w:r>
        <w:t>Trump administration (2025–2029) reducing federal HE funding; 120 TRIO programs terminated</w:t>
      </w:r>
    </w:p>
    <w:p>
      <w:pPr>
        <w:pStyle w:val="ListBullet"/>
      </w:pPr>
      <w:r>
        <w:t>DEI programs under HIGH scrutiny — executive order targeting DEI in accreditation (Apr 2025)</w:t>
      </w:r>
    </w:p>
    <w:p>
      <w:pPr>
        <w:pStyle w:val="ListBullet"/>
      </w:pPr>
      <w:r>
        <w:t>Tribal education funding VOLATILE: 109% increase Sept 2025, but FY2026 proposes 24% cuts</w:t>
      </w:r>
    </w:p>
    <w:p>
      <w:pPr>
        <w:pStyle w:val="ListBullet2"/>
      </w:pPr>
      <w:r>
        <w:t>Opportunity: Reframe Indigenous programs through statutory obligations (CRS 23-52-105) and cultural preservation (legally safe)</w:t>
      </w:r>
    </w:p>
    <w:p>
      <w:pPr>
        <w:pStyle w:val="Heading3"/>
      </w:pPr>
      <w:r>
        <w:rPr>
          <w:color w:val="003057"/>
        </w:rPr>
        <w:t>Economic — Impact: High (5/5), Trend: Negative</w:t>
      </w:r>
    </w:p>
    <w:p>
      <w:pPr>
        <w:pStyle w:val="ListBullet"/>
      </w:pPr>
      <w:r>
        <w:t>Colorado shifts costs to students via tuition rather than state appropriations</w:t>
      </w:r>
    </w:p>
    <w:p>
      <w:pPr>
        <w:pStyle w:val="ListBullet"/>
      </w:pPr>
      <w:r>
        <w:t>Rising tuition sensitivity; students increasingly price-conscious and comparison-shopping</w:t>
      </w:r>
    </w:p>
    <w:p>
      <w:pPr>
        <w:pStyle w:val="ListBullet"/>
      </w:pPr>
      <w:r>
        <w:t>Durango housing crisis — major hidden barrier for student attendance AND faculty recruitment</w:t>
      </w:r>
    </w:p>
    <w:p>
      <w:pPr>
        <w:pStyle w:val="ListBullet2"/>
      </w:pPr>
      <w:r>
        <w:t>Opportunity: Healthcare/nursing programs (strong regional employer demand)</w:t>
      </w:r>
    </w:p>
    <w:p>
      <w:pPr>
        <w:pStyle w:val="Heading3"/>
      </w:pPr>
      <w:r>
        <w:rPr>
          <w:color w:val="003057"/>
        </w:rPr>
        <w:t>Social — Impact: Medium-High (4/5), Trend: Mixed</w:t>
      </w:r>
    </w:p>
    <w:p>
      <w:pPr>
        <w:pStyle w:val="ListBullet"/>
      </w:pPr>
      <w:r>
        <w:t>Declining college-going rates nationally and in Colorado</w:t>
      </w:r>
    </w:p>
    <w:p>
      <w:pPr>
        <w:pStyle w:val="ListBullet"/>
      </w:pPr>
      <w:r>
        <w:t>Career outcome expectations dominant ('What job will I get?')</w:t>
      </w:r>
    </w:p>
    <w:p>
      <w:pPr>
        <w:pStyle w:val="ListBullet"/>
      </w:pPr>
      <w:r>
        <w:t>Indigenous education opportunity IS REAL (166 tribes, 37% waiver, underserved nationally)</w:t>
      </w:r>
    </w:p>
    <w:p>
      <w:pPr>
        <w:pStyle w:val="ListBullet2"/>
      </w:pPr>
      <w:r>
        <w:t>Opportunity: Indigenous education leadership — reframe through statutory obligations (CRS 23-52-105), not DEI</w:t>
      </w:r>
    </w:p>
    <w:p>
      <w:pPr>
        <w:pStyle w:val="Heading3"/>
      </w:pPr>
      <w:r>
        <w:rPr>
          <w:color w:val="003057"/>
        </w:rPr>
        <w:t>Technological — Impact: High (4/5), Trend: Rapidly Changing</w:t>
      </w:r>
    </w:p>
    <w:p>
      <w:pPr>
        <w:pStyle w:val="ListBullet"/>
      </w:pPr>
      <w:r>
        <w:t>AI disruption transforming pedagogy, assessment, and student expectations</w:t>
      </w:r>
    </w:p>
    <w:p>
      <w:pPr>
        <w:pStyle w:val="ListBullet"/>
      </w:pPr>
      <w:r>
        <w:t>Online graduate market SATURATED — ASU, SNHU, Western Governors dominate ($50M+ marketing)</w:t>
      </w:r>
    </w:p>
    <w:p>
      <w:pPr>
        <w:pStyle w:val="ListBullet"/>
      </w:pPr>
      <w:r>
        <w:t>FLC has NO online brand nationally; ~25 online courses (~10% of offerings)</w:t>
      </w:r>
    </w:p>
    <w:p>
      <w:pPr>
        <w:pStyle w:val="ListBullet2"/>
      </w:pPr>
      <w:r>
        <w:t>Opportunity: AI Institute partnerships and curriculum integration</w:t>
      </w:r>
    </w:p>
    <w:p>
      <w:pPr>
        <w:pStyle w:val="Heading3"/>
      </w:pPr>
      <w:r>
        <w:rPr>
          <w:color w:val="003057"/>
        </w:rPr>
        <w:t>Legal — Impact: High (4/5), Trend: Deteriorating</w:t>
      </w:r>
    </w:p>
    <w:p>
      <w:pPr>
        <w:pStyle w:val="ListBullet"/>
      </w:pPr>
      <w:r>
        <w:t>Title VI scrutiny — 50+ universities under investigation for race-conscious programs</w:t>
      </w:r>
    </w:p>
    <w:p>
      <w:pPr>
        <w:pStyle w:val="ListBullet"/>
      </w:pPr>
      <w:r>
        <w:t>Native American Tuition Waiver has DISTINCT legal basis (CRS 23-52-105, since 1911)</w:t>
      </w:r>
    </w:p>
    <w:p>
      <w:pPr>
        <w:pStyle w:val="ListBullet"/>
      </w:pPr>
      <w:r>
        <w:t>HLC accreditation: federal pressure on DEI standards, but HLC offers flexibility</w:t>
      </w:r>
    </w:p>
    <w:p>
      <w:pPr>
        <w:pStyle w:val="ListBullet2"/>
      </w:pPr>
      <w:r>
        <w:t>Opportunity: NATW defensible under Title VI (statutory basis per CRS 23-52-105, not voluntary DEI)</w:t>
      </w:r>
    </w:p>
    <w:p>
      <w:pPr>
        <w:pStyle w:val="Heading3"/>
      </w:pPr>
      <w:r>
        <w:rPr>
          <w:color w:val="003057"/>
        </w:rPr>
        <w:t>Environmental — Impact: Medium (3/5), Trend: Negative</w:t>
      </w:r>
    </w:p>
    <w:p>
      <w:pPr>
        <w:pStyle w:val="ListBullet"/>
      </w:pPr>
      <w:r>
        <w:t>Southwest Colorado wildfire risk increasing — smoke impacts air quality and outdoor activities</w:t>
      </w:r>
    </w:p>
    <w:p>
      <w:pPr>
        <w:pStyle w:val="ListBullet"/>
      </w:pPr>
      <w:r>
        <w:t>Colorado River basin under long-term drought stress; water rights contentious</w:t>
      </w:r>
    </w:p>
    <w:p>
      <w:pPr>
        <w:pStyle w:val="ListBullet"/>
      </w:pPr>
      <w:r>
        <w:t>Snowpack variability affects regional economy (ski, rafting, outdoor recreation)</w:t>
      </w:r>
    </w:p>
    <w:p>
      <w:pPr>
        <w:pStyle w:val="ListBullet2"/>
      </w:pPr>
      <w:r>
        <w:t>Opportunity: Proactive sustainability initiatives to build brand beyond compliance</w:t>
      </w:r>
    </w:p>
    <w:p>
      <w:pPr>
        <w:pStyle w:val="Heading2"/>
      </w:pPr>
      <w:r>
        <w:rPr>
          <w:color w:val="003057"/>
        </w:rPr>
        <w:t>Porter's Five Forces</w:t>
      </w:r>
    </w:p>
    <w:p>
      <w:pPr>
        <w:pStyle w:val="Heading3"/>
      </w:pPr>
      <w:r>
        <w:rPr>
          <w:color w:val="003057"/>
        </w:rPr>
        <w:t>Competitive Rivalry: High (4.0/5)</w:t>
      </w:r>
    </w:p>
    <w:p>
      <w:r>
        <w:rPr>
          <w:b w:val="0"/>
          <w:sz w:val="22"/>
        </w:rPr>
        <w:t>Intense competition from CU system, CSU, Western Colorado; online threat assumed but unverified for FLC</w:t>
      </w:r>
    </w:p>
    <w:p>
      <w:pPr>
        <w:pStyle w:val="ListBullet"/>
      </w:pPr>
      <w:r>
        <w:t>Number of competing institutions in CO: 30+ (Trend: Increasing)</w:t>
      </w:r>
    </w:p>
    <w:p>
      <w:pPr>
        <w:pStyle w:val="ListBullet"/>
      </w:pPr>
      <w:r>
        <w:t>FLC market share of CO HS graduates: ~2% (Trend: Stable)</w:t>
      </w:r>
    </w:p>
    <w:p>
      <w:pPr>
        <w:pStyle w:val="ListBullet"/>
      </w:pPr>
      <w:r>
        <w:t>Enrollment change vs peers: -2.5% (Trend: Declining)</w:t>
      </w:r>
    </w:p>
    <w:p>
      <w:pPr>
        <w:pStyle w:val="Heading3"/>
      </w:pPr>
      <w:r>
        <w:rPr>
          <w:color w:val="003057"/>
        </w:rPr>
        <w:t>Threat of New Entrants: Medium (3.0/5)</w:t>
      </w:r>
    </w:p>
    <w:p>
      <w:r>
        <w:rPr>
          <w:b w:val="0"/>
          <w:sz w:val="22"/>
        </w:rPr>
        <w:t>Accreditation remains HIGH barrier for degree-granting; certificate/non-degree entrants are real threat</w:t>
      </w:r>
    </w:p>
    <w:p>
      <w:pPr>
        <w:pStyle w:val="ListBullet"/>
      </w:pPr>
      <w:r>
        <w:t>Accreditation barriers (degree): High (Trend: Stable)</w:t>
      </w:r>
    </w:p>
    <w:p>
      <w:pPr>
        <w:pStyle w:val="ListBullet"/>
      </w:pPr>
      <w:r>
        <w:t>Certificate/non-degree barriers: Low (Trend: Decreasing)</w:t>
      </w:r>
    </w:p>
    <w:p>
      <w:pPr>
        <w:pStyle w:val="ListBullet"/>
      </w:pPr>
      <w:r>
        <w:t>Boot camp / micro-credential programs: Growing (Trend: Increasing)</w:t>
      </w:r>
    </w:p>
    <w:p>
      <w:pPr>
        <w:pStyle w:val="Heading3"/>
      </w:pPr>
      <w:r>
        <w:rPr>
          <w:color w:val="003057"/>
        </w:rPr>
        <w:t>Bargaining Power of Students: High (4.0/5)</w:t>
      </w:r>
    </w:p>
    <w:p>
      <w:r>
        <w:rPr>
          <w:b w:val="0"/>
          <w:sz w:val="22"/>
        </w:rPr>
        <w:t>Students have many choices; price sensitivity high; FLC must compete on value and outcomes</w:t>
      </w:r>
    </w:p>
    <w:p>
      <w:pPr>
        <w:pStyle w:val="ListBullet"/>
      </w:pPr>
      <w:r>
        <w:t>Yield rate (needs verification): Unverified (Trend: Unknown)</w:t>
      </w:r>
    </w:p>
    <w:p>
      <w:pPr>
        <w:pStyle w:val="ListBullet"/>
      </w:pPr>
      <w:r>
        <w:t>Summer melt rate (FY): 12.9% (Trend: Improving)</w:t>
      </w:r>
    </w:p>
    <w:p>
      <w:pPr>
        <w:pStyle w:val="ListBullet"/>
      </w:pPr>
      <w:r>
        <w:t>Transfer-out competition: Moderate (Trend: Stable)</w:t>
      </w:r>
    </w:p>
    <w:p>
      <w:pPr>
        <w:pStyle w:val="Heading3"/>
      </w:pPr>
      <w:r>
        <w:rPr>
          <w:color w:val="003057"/>
        </w:rPr>
        <w:t>Bargaining Power of Suppliers: Medium (3.0/5)</w:t>
      </w:r>
    </w:p>
    <w:p>
      <w:r>
        <w:rPr>
          <w:b w:val="0"/>
          <w:sz w:val="22"/>
        </w:rPr>
        <w:t>National faculty supply HIGH in most fields; real issue is Durango recruitment (cost of living + salary)</w:t>
      </w:r>
    </w:p>
    <w:p>
      <w:pPr>
        <w:pStyle w:val="ListBullet"/>
      </w:pPr>
      <w:r>
        <w:t>National faculty supply: High (Trend: Stable)</w:t>
      </w:r>
    </w:p>
    <w:p>
      <w:pPr>
        <w:pStyle w:val="ListBullet"/>
      </w:pPr>
      <w:r>
        <w:t>Durango cost of living barrier: High (Trend: Increasing)</w:t>
      </w:r>
    </w:p>
    <w:p>
      <w:pPr>
        <w:pStyle w:val="ListBullet"/>
      </w:pPr>
      <w:r>
        <w:t>Durango recruitment competitiveness: Below avg (Trend: Worsening)</w:t>
      </w:r>
    </w:p>
    <w:p>
      <w:pPr>
        <w:pStyle w:val="Heading3"/>
      </w:pPr>
      <w:r>
        <w:rPr>
          <w:color w:val="003057"/>
        </w:rPr>
        <w:t>Threat of Substitutes: Medium (3.0/5)</w:t>
      </w:r>
    </w:p>
    <w:p>
      <w:r>
        <w:rPr>
          <w:b w:val="0"/>
          <w:sz w:val="22"/>
        </w:rPr>
        <w:t>Online/certificates growing nationally, but FLC's place-based brand serves experience-preferring students</w:t>
      </w:r>
    </w:p>
    <w:p>
      <w:pPr>
        <w:pStyle w:val="ListBullet"/>
      </w:pPr>
      <w:r>
        <w:t>Online degree program growth (national): Rapid (Trend: Increasing)</w:t>
      </w:r>
    </w:p>
    <w:p>
      <w:pPr>
        <w:pStyle w:val="ListBullet"/>
      </w:pPr>
      <w:r>
        <w:t>Micro-credential adoption: Growing (Trend: Increasing)</w:t>
      </w:r>
    </w:p>
    <w:p>
      <w:pPr>
        <w:pStyle w:val="ListBullet"/>
      </w:pPr>
      <w:r>
        <w:t>Community college pathways: Strong (Trend: Increasing)</w:t>
      </w:r>
    </w:p>
    <w:p>
      <w:r>
        <w:rPr>
          <w:b/>
          <w:sz w:val="20"/>
        </w:rPr>
        <w:t>Key Takeaways:</w:t>
      </w:r>
    </w:p>
    <w:p>
      <w:pPr>
        <w:pStyle w:val="ListBullet"/>
      </w:pPr>
      <w:r>
        <w:t>Overall competitive intensity is HIGH, but FLC's place-based, experiential value proposition serves a distinct market segment.</w:t>
      </w:r>
    </w:p>
    <w:p>
      <w:pPr>
        <w:pStyle w:val="ListBullet"/>
      </w:pPr>
      <w:r>
        <w:t>FLC's strongest defensive positions: statutory Native American mission (CRS 23-52-105, federal-state contract), outdoor recreation lifestyle, and small class sizes.</w:t>
      </w:r>
    </w:p>
    <w:p>
      <w:pPr>
        <w:pStyle w:val="ListBullet"/>
      </w:pPr>
      <w:r>
        <w:t>Online competition assumed based on national trends but UNVERIFIED for FLC — admitted-but-not-enrolled survey data needed.</w:t>
      </w:r>
    </w:p>
    <w:p>
      <w:pPr>
        <w:pStyle w:val="ListBullet"/>
      </w:pPr>
      <w:r>
        <w:t>Faculty recruitment is a Durango problem (cost of living + salary), not a national supply problem — except in nursing, CS, and engineering.</w:t>
      </w:r>
    </w:p>
    <w:p>
      <w:pPr>
        <w:pStyle w:val="Heading2"/>
      </w:pPr>
      <w:r>
        <w:rPr>
          <w:color w:val="003057"/>
        </w:rPr>
        <w:t>BCG Growth-Share Matrix</w:t>
      </w:r>
    </w:p>
    <w:p>
      <w:r>
        <w:rPr>
          <w:b w:val="0"/>
          <w:sz w:val="22"/>
        </w:rPr>
        <w:t>The BCG analysis examines FLC's portfolio at two levels: 22 departments (SCH share as market share proxy) and 48 individual majors (2024 enrollment headcount vs. 2022–2024 % change).</w:t>
      </w:r>
    </w:p>
    <w:p>
      <w:pPr>
        <w:pStyle w:val="Heading3"/>
      </w:pPr>
      <w:r>
        <w:rPr>
          <w:color w:val="003057"/>
        </w:rPr>
        <w:t>Department-Level Analysis (SCH-Based)</w:t>
      </w:r>
    </w:p>
    <w:p>
      <w:r>
        <w:rPr>
          <w:b/>
          <w:sz w:val="20"/>
        </w:rPr>
        <w:t>Stars (2 departments):</w:t>
      </w:r>
    </w:p>
    <w:p>
      <w:pPr>
        <w:pStyle w:val="ListBullet"/>
      </w:pPr>
      <w:r>
        <w:t>Business Administration: 5.8% of SCH, +4.0% 2-year change</w:t>
      </w:r>
    </w:p>
    <w:p>
      <w:pPr>
        <w:pStyle w:val="ListBullet"/>
      </w:pPr>
      <w:r>
        <w:t>Psychology: 6.0% of SCH, +3.0% 2-year change</w:t>
      </w:r>
    </w:p>
    <w:p>
      <w:r>
        <w:rPr>
          <w:b/>
          <w:sz w:val="20"/>
        </w:rPr>
        <w:t>Cash Cows (9 departments):</w:t>
      </w:r>
    </w:p>
    <w:p>
      <w:pPr>
        <w:pStyle w:val="ListBullet"/>
      </w:pPr>
      <w:r>
        <w:t>English: 10.0% of SCH, -6.0% 2-year change</w:t>
      </w:r>
    </w:p>
    <w:p>
      <w:pPr>
        <w:pStyle w:val="ListBullet"/>
      </w:pPr>
      <w:r>
        <w:t>Mathematics: 8.5% of SCH, -11.0% 2-year change</w:t>
      </w:r>
    </w:p>
    <w:p>
      <w:pPr>
        <w:pStyle w:val="ListBullet"/>
      </w:pPr>
      <w:r>
        <w:t>Health &amp; Human Performance: 7.5% of SCH, -3.0% 2-year change</w:t>
      </w:r>
    </w:p>
    <w:p>
      <w:pPr>
        <w:pStyle w:val="ListBullet"/>
      </w:pPr>
      <w:r>
        <w:t>Biology: 7.0% of SCH, -14.5% 2-year change</w:t>
      </w:r>
    </w:p>
    <w:p>
      <w:pPr>
        <w:pStyle w:val="ListBullet"/>
      </w:pPr>
      <w:r>
        <w:t>Sociology: 6.0% of SCH, -5.5% 2-year change</w:t>
      </w:r>
    </w:p>
    <w:p>
      <w:pPr>
        <w:pStyle w:val="ListBullet"/>
      </w:pPr>
      <w:r>
        <w:t>Performing Arts: 5.5% of SCH, -3.0% 2-year change</w:t>
      </w:r>
    </w:p>
    <w:p>
      <w:pPr>
        <w:pStyle w:val="ListBullet"/>
      </w:pPr>
      <w:r>
        <w:t>Teacher Education: 5.8% of SCH, -2.0% 2-year change</w:t>
      </w:r>
    </w:p>
    <w:p>
      <w:pPr>
        <w:pStyle w:val="ListBullet"/>
      </w:pPr>
      <w:r>
        <w:t>Physics &amp; Engineering: 5.0% of SCH, -1.0% 2-year change</w:t>
      </w:r>
    </w:p>
    <w:p>
      <w:pPr>
        <w:pStyle w:val="ListBullet"/>
      </w:pPr>
      <w:r>
        <w:t>Chemistry: 4.5% of SCH, -4.0% 2-year change</w:t>
      </w:r>
    </w:p>
    <w:p>
      <w:r>
        <w:rPr>
          <w:b/>
          <w:sz w:val="20"/>
        </w:rPr>
        <w:t>Question Marks (2 departments):</w:t>
      </w:r>
    </w:p>
    <w:p>
      <w:pPr>
        <w:pStyle w:val="ListBullet"/>
      </w:pPr>
      <w:r>
        <w:t>Accounting: 1.8% of SCH, +12.0% 2-year change</w:t>
      </w:r>
    </w:p>
    <w:p>
      <w:pPr>
        <w:pStyle w:val="ListBullet"/>
      </w:pPr>
      <w:r>
        <w:t>History: 3.8% of SCH, +3.0% 2-year change</w:t>
      </w:r>
    </w:p>
    <w:p>
      <w:r>
        <w:rPr>
          <w:b/>
          <w:sz w:val="20"/>
        </w:rPr>
        <w:t>Concerns (9 departments):</w:t>
      </w:r>
    </w:p>
    <w:p>
      <w:pPr>
        <w:pStyle w:val="ListBullet"/>
      </w:pPr>
      <w:r>
        <w:t>Geosciences: 4.2% of SCH, -15.5% 2-year change</w:t>
      </w:r>
    </w:p>
    <w:p>
      <w:pPr>
        <w:pStyle w:val="ListBullet"/>
      </w:pPr>
      <w:r>
        <w:t>Art &amp; Design: 2.5% of SCH, -18.0% 2-year change</w:t>
      </w:r>
    </w:p>
    <w:p>
      <w:pPr>
        <w:pStyle w:val="ListBullet"/>
      </w:pPr>
      <w:r>
        <w:t>Economics: 2.5% of SCH, -24.0% 2-year change</w:t>
      </w:r>
    </w:p>
    <w:p>
      <w:pPr>
        <w:pStyle w:val="ListBullet"/>
      </w:pPr>
      <w:r>
        <w:t>Political Science: 1.5% of SCH, -26.0% 2-year change</w:t>
      </w:r>
    </w:p>
    <w:p>
      <w:pPr>
        <w:pStyle w:val="ListBullet"/>
      </w:pPr>
      <w:r>
        <w:t>Anthropology: 2.5% of SCH, -7.5% 2-year change</w:t>
      </w:r>
    </w:p>
    <w:p>
      <w:pPr>
        <w:pStyle w:val="ListBullet"/>
      </w:pPr>
      <w:r>
        <w:t>Environment &amp; Sustainability: 3.0% of SCH, -8.0% 2-year change</w:t>
      </w:r>
    </w:p>
    <w:p>
      <w:pPr>
        <w:pStyle w:val="ListBullet"/>
      </w:pPr>
      <w:r>
        <w:t>Marketing: 1.8% of SCH, -8.0% 2-year change</w:t>
      </w:r>
    </w:p>
    <w:p>
      <w:pPr>
        <w:pStyle w:val="ListBullet"/>
      </w:pPr>
      <w:r>
        <w:t>Adventure Education: 2.0% of SCH, -10.0% 2-year change</w:t>
      </w:r>
    </w:p>
    <w:p>
      <w:pPr>
        <w:pStyle w:val="ListBullet"/>
      </w:pPr>
      <w:r>
        <w:t>Philosophy: 2.2% of SCH, -11.0% 2-year change</w:t>
      </w:r>
    </w:p>
    <w:p>
      <w:pPr>
        <w:pStyle w:val="Heading3"/>
      </w:pPr>
      <w:r>
        <w:rPr>
          <w:color w:val="003057"/>
        </w:rPr>
        <w:t>Major-Level Analysis (Enrollment-Based)</w:t>
      </w:r>
    </w:p>
    <w:p>
      <w:r>
        <w:rPr>
          <w:b/>
          <w:sz w:val="20"/>
        </w:rPr>
        <w:t>Stars (15 majors):</w:t>
      </w:r>
    </w:p>
    <w:p>
      <w:pPr>
        <w:pStyle w:val="ListBullet"/>
      </w:pPr>
      <w:r>
        <w:t>Adventure Education: 77 students, +11.6% change</w:t>
      </w:r>
    </w:p>
    <w:p>
      <w:pPr>
        <w:pStyle w:val="ListBullet"/>
      </w:pPr>
      <w:r>
        <w:t>Anthropology: 53 students, +120.8% change</w:t>
      </w:r>
    </w:p>
    <w:p>
      <w:pPr>
        <w:pStyle w:val="ListBullet"/>
      </w:pPr>
      <w:r>
        <w:t>Biochemistry: 66 students, +34.7% change</w:t>
      </w:r>
    </w:p>
    <w:p>
      <w:pPr>
        <w:pStyle w:val="ListBullet"/>
      </w:pPr>
      <w:r>
        <w:t>Business Administration: 325 students, +10.2% change</w:t>
      </w:r>
    </w:p>
    <w:p>
      <w:pPr>
        <w:pStyle w:val="ListBullet"/>
      </w:pPr>
      <w:r>
        <w:t>Computer Engineering: 73 students, +12.3% change</w:t>
      </w:r>
    </w:p>
    <w:p>
      <w:pPr>
        <w:pStyle w:val="ListBullet"/>
      </w:pPr>
      <w:r>
        <w:t>Computer Information Systems: 77 students, +13.2% change</w:t>
      </w:r>
    </w:p>
    <w:p>
      <w:pPr>
        <w:pStyle w:val="ListBullet"/>
      </w:pPr>
      <w:r>
        <w:t>Criminology &amp; Justice Studies: 103 students, +2.0% change</w:t>
      </w:r>
    </w:p>
    <w:p>
      <w:pPr>
        <w:pStyle w:val="ListBullet"/>
      </w:pPr>
      <w:r>
        <w:t>Engineering: 204 students, +4.1% change</w:t>
      </w:r>
    </w:p>
    <w:p>
      <w:pPr>
        <w:pStyle w:val="ListBullet"/>
      </w:pPr>
      <w:r>
        <w:t>... and 7 additional majors</w:t>
      </w:r>
    </w:p>
    <w:p>
      <w:r>
        <w:rPr>
          <w:b/>
          <w:sz w:val="20"/>
        </w:rPr>
        <w:t>Cash Cows (9 majors):</w:t>
      </w:r>
    </w:p>
    <w:p>
      <w:pPr>
        <w:pStyle w:val="ListBullet"/>
      </w:pPr>
      <w:r>
        <w:t>Accounting: 60 students, -4.8% change</w:t>
      </w:r>
    </w:p>
    <w:p>
      <w:pPr>
        <w:pStyle w:val="ListBullet"/>
      </w:pPr>
      <w:r>
        <w:t>Biology/Cellular &amp; Molecular Biology: 111 students, -42.5% change</w:t>
      </w:r>
    </w:p>
    <w:p>
      <w:pPr>
        <w:pStyle w:val="ListBullet"/>
      </w:pPr>
      <w:r>
        <w:t>Communication Design: 48 students, -32.4% change</w:t>
      </w:r>
    </w:p>
    <w:p>
      <w:pPr>
        <w:pStyle w:val="ListBullet"/>
      </w:pPr>
      <w:r>
        <w:t>Entrepreneurship &amp; Small Business: 40 students, -18.4% change</w:t>
      </w:r>
    </w:p>
    <w:p>
      <w:pPr>
        <w:pStyle w:val="ListBullet"/>
      </w:pPr>
      <w:r>
        <w:t>Environmental Science: 86 students, -14.0% change</w:t>
      </w:r>
    </w:p>
    <w:p>
      <w:pPr>
        <w:pStyle w:val="ListBullet"/>
      </w:pPr>
      <w:r>
        <w:t>Pre-Major Accounting: 102 students, -31.5% change</w:t>
      </w:r>
    </w:p>
    <w:p>
      <w:pPr>
        <w:pStyle w:val="ListBullet"/>
      </w:pPr>
      <w:r>
        <w:t>Psychology: 224 students, -17.6% change</w:t>
      </w:r>
    </w:p>
    <w:p>
      <w:pPr>
        <w:pStyle w:val="ListBullet"/>
      </w:pPr>
      <w:r>
        <w:t>Sociology and Human Services: 65 students, +0.0% change</w:t>
      </w:r>
    </w:p>
    <w:p>
      <w:pPr>
        <w:pStyle w:val="ListBullet"/>
      </w:pPr>
      <w:r>
        <w:t>... and 1 additional majors</w:t>
      </w:r>
    </w:p>
    <w:p>
      <w:r>
        <w:rPr>
          <w:b/>
          <w:sz w:val="20"/>
        </w:rPr>
        <w:t>Question Marks (7 majors):</w:t>
      </w:r>
    </w:p>
    <w:p>
      <w:pPr>
        <w:pStyle w:val="ListBullet"/>
      </w:pPr>
      <w:r>
        <w:t>Early Childhood Education: 10 students, +42.9% change [Small Base]</w:t>
      </w:r>
    </w:p>
    <w:p>
      <w:pPr>
        <w:pStyle w:val="ListBullet"/>
      </w:pPr>
      <w:r>
        <w:t>Elementary Education: 21 students, +16.7% change [Small Base]</w:t>
      </w:r>
    </w:p>
    <w:p>
      <w:pPr>
        <w:pStyle w:val="ListBullet"/>
      </w:pPr>
      <w:r>
        <w:t>English: 26 students, +23.8% change</w:t>
      </w:r>
    </w:p>
    <w:p>
      <w:pPr>
        <w:pStyle w:val="ListBullet"/>
      </w:pPr>
      <w:r>
        <w:t>Exercise Science K-12 Education: 6 students, +20.0% change [Small Base]</w:t>
      </w:r>
    </w:p>
    <w:p>
      <w:pPr>
        <w:pStyle w:val="ListBullet"/>
      </w:pPr>
      <w:r>
        <w:t>Mathematics: 21 students, +31.2% change [Small Base]</w:t>
      </w:r>
    </w:p>
    <w:p>
      <w:pPr>
        <w:pStyle w:val="ListBullet"/>
      </w:pPr>
      <w:r>
        <w:t>Music: 27 students, +125.0% change [Small Base]</w:t>
      </w:r>
    </w:p>
    <w:p>
      <w:pPr>
        <w:pStyle w:val="ListBullet"/>
      </w:pPr>
      <w:r>
        <w:t>Nutrition: 23 students, +15.0% change</w:t>
      </w:r>
    </w:p>
    <w:p>
      <w:r>
        <w:rPr>
          <w:b/>
          <w:sz w:val="20"/>
        </w:rPr>
        <w:t>Concerns (17 majors):</w:t>
      </w:r>
    </w:p>
    <w:p>
      <w:pPr>
        <w:pStyle w:val="ListBullet"/>
      </w:pPr>
      <w:r>
        <w:t>Art K-12 Education: 7 students, -53.3% change [Small Base]</w:t>
      </w:r>
    </w:p>
    <w:p>
      <w:pPr>
        <w:pStyle w:val="ListBullet"/>
      </w:pPr>
      <w:r>
        <w:t>Borders &amp; Languages: 3 students, -50.0% change [Small Base]</w:t>
      </w:r>
    </w:p>
    <w:p>
      <w:pPr>
        <w:pStyle w:val="ListBullet"/>
      </w:pPr>
      <w:r>
        <w:t>Chemistry: 27 students, +0.0% change</w:t>
      </w:r>
    </w:p>
    <w:p>
      <w:pPr>
        <w:pStyle w:val="ListBullet"/>
      </w:pPr>
      <w:r>
        <w:t>Economics: 9 students, -76.3% change</w:t>
      </w:r>
    </w:p>
    <w:p>
      <w:pPr>
        <w:pStyle w:val="ListBullet"/>
      </w:pPr>
      <w:r>
        <w:t>Educational Studies: 4 students, -42.9% change [Small Base]</w:t>
      </w:r>
    </w:p>
    <w:p>
      <w:pPr>
        <w:pStyle w:val="ListBullet"/>
      </w:pPr>
      <w:r>
        <w:t>English Secondary Education: 10 students, -47.4% change [Small Base]</w:t>
      </w:r>
    </w:p>
    <w:p>
      <w:pPr>
        <w:pStyle w:val="ListBullet"/>
      </w:pPr>
      <w:r>
        <w:t>Exercise &amp; Health Promotion: 27 students, -22.9% change</w:t>
      </w:r>
    </w:p>
    <w:p>
      <w:pPr>
        <w:pStyle w:val="ListBullet"/>
      </w:pPr>
      <w:r>
        <w:t>Gender &amp; Sexuality Studies: 4 students, -42.9% change [Small Base]</w:t>
      </w:r>
    </w:p>
    <w:p>
      <w:pPr>
        <w:pStyle w:val="ListBullet"/>
      </w:pPr>
      <w:r>
        <w:t>... and 9 additional majors</w:t>
      </w:r>
    </w:p>
    <w:p>
      <w:r>
        <w:rPr>
          <w:b/>
          <w:sz w:val="20"/>
        </w:rPr>
        <w:t>Key Takeaways:</w:t>
      </w:r>
    </w:p>
    <w:p>
      <w:pPr>
        <w:pStyle w:val="ListBullet"/>
      </w:pPr>
      <w:r>
        <w:t>Stars (Large &amp; Growing): Business Administration (+10%, 325 enrolled), Exercise Physiology (+17%, 160), and Environmental Conservation &amp; Mgmt (+62%, 133) lead FLC's portfolio with strong enrollment and positive growth.</w:t>
      </w:r>
    </w:p>
    <w:p>
      <w:pPr>
        <w:pStyle w:val="ListBullet"/>
      </w:pPr>
      <w:r>
        <w:t>Cash Cows (Large &amp; Declining): Psychology (-18%, 224), Biology/CMB (-42%, 111), and Pre-Major Accounting (-32%, 102) maintain significant enrollment but face declining trends requiring efficiency optimization.</w:t>
      </w:r>
    </w:p>
    <w:p>
      <w:pPr>
        <w:pStyle w:val="ListBullet"/>
      </w:pPr>
      <w:r>
        <w:t>Question Marks (Small &amp; Growing): Anthropology (+121%, 53) and Music (+125%, 27) show dramatic growth but from small bases — evaluate whether growth is sustainable before major investment.</w:t>
      </w:r>
    </w:p>
    <w:p>
      <w:pPr>
        <w:pStyle w:val="ListBullet"/>
      </w:pPr>
      <w:r>
        <w:t>Concerns (Small &amp; Declining): Economics (-76%, 9), MND: Art &amp; Design (-98%, 3), and Public Health (-57%, 37) face both small enrollment and steep declines — candidates for structured program review.</w:t>
      </w:r>
    </w:p>
    <w:p>
      <w:pPr>
        <w:pStyle w:val="ListBullet"/>
      </w:pPr>
      <w:r>
        <w:t>Small-base caution: 12 programs had fewer than 20 students in 2022. Their percentage changes can be misleading (e.g., Music: 12→27 = +125% from just 15 additional students).</w:t>
      </w:r>
    </w:p>
    <w:p>
      <w:pPr>
        <w:pStyle w:val="Heading2"/>
      </w:pPr>
      <w:r>
        <w:rPr>
          <w:color w:val="003057"/>
        </w:rPr>
        <w:t>Gray Associates Portfolio Analysis</w:t>
      </w:r>
    </w:p>
    <w:p>
      <w:pPr>
        <w:pStyle w:val="Heading3"/>
      </w:pPr>
      <w:r>
        <w:rPr>
          <w:color w:val="003057"/>
        </w:rPr>
        <w:t>Grow (7 programs)</w:t>
      </w:r>
    </w:p>
    <w:p>
      <w:pPr>
        <w:pStyle w:val="ListBullet"/>
      </w:pPr>
      <w:r>
        <w:t>Business Administration: Market 74, Economics 78, Enrollment 298</w:t>
      </w:r>
    </w:p>
    <w:p>
      <w:pPr>
        <w:pStyle w:val="ListBullet"/>
      </w:pPr>
      <w:r>
        <w:t>Psychology: Market 68, Economics 72, Enrollment 227</w:t>
      </w:r>
    </w:p>
    <w:p>
      <w:pPr>
        <w:pStyle w:val="ListBullet"/>
      </w:pPr>
      <w:r>
        <w:t>Engineering: Market 79, Economics 60, Enrollment 207</w:t>
      </w:r>
    </w:p>
    <w:p>
      <w:pPr>
        <w:pStyle w:val="ListBullet"/>
      </w:pPr>
      <w:r>
        <w:t>Exercise Physiology: Market 72, Economics 65, Enrollment 163</w:t>
      </w:r>
    </w:p>
    <w:p>
      <w:pPr>
        <w:pStyle w:val="ListBullet"/>
      </w:pPr>
      <w:r>
        <w:t>Health Sciences: Market 76, Economics 62, Enrollment 86</w:t>
      </w:r>
    </w:p>
    <w:p>
      <w:pPr>
        <w:pStyle w:val="Heading3"/>
      </w:pPr>
      <w:r>
        <w:rPr>
          <w:color w:val="003057"/>
        </w:rPr>
        <w:t>Sustain (8 programs)</w:t>
      </w:r>
    </w:p>
    <w:p>
      <w:pPr>
        <w:pStyle w:val="ListBullet"/>
      </w:pPr>
      <w:r>
        <w:t>Environmental Conservation &amp; Mgmt: Market 68, Economics 55, Enrollment 133</w:t>
      </w:r>
    </w:p>
    <w:p>
      <w:pPr>
        <w:pStyle w:val="ListBullet"/>
      </w:pPr>
      <w:r>
        <w:t>Criminology &amp; Justice Studies: Market 65, Economics 70, Enrollment 103</w:t>
      </w:r>
    </w:p>
    <w:p>
      <w:pPr>
        <w:pStyle w:val="ListBullet"/>
      </w:pPr>
      <w:r>
        <w:t>Environmental Science: Market 68, Economics 50, Enrollment 87</w:t>
      </w:r>
    </w:p>
    <w:p>
      <w:pPr>
        <w:pStyle w:val="ListBullet"/>
      </w:pPr>
      <w:r>
        <w:t>Adventure Education: Market 65, Economics 45, Enrollment 78</w:t>
      </w:r>
    </w:p>
    <w:p>
      <w:pPr>
        <w:pStyle w:val="ListBullet"/>
      </w:pPr>
      <w:r>
        <w:t>Biology: Market 57, Economics 55, Enrollment 70</w:t>
      </w:r>
    </w:p>
    <w:p>
      <w:pPr>
        <w:pStyle w:val="Heading3"/>
      </w:pPr>
      <w:r>
        <w:rPr>
          <w:color w:val="003057"/>
        </w:rPr>
        <w:t>Transform (2 programs)</w:t>
      </w:r>
    </w:p>
    <w:p>
      <w:pPr>
        <w:pStyle w:val="ListBullet"/>
      </w:pPr>
      <w:r>
        <w:t>English: Market 42, Economics 80, Enrollment 65</w:t>
      </w:r>
    </w:p>
    <w:p>
      <w:pPr>
        <w:pStyle w:val="ListBullet"/>
      </w:pPr>
      <w:r>
        <w:t>Mathematics: Market 47, Economics 82, Enrollment 55</w:t>
      </w:r>
    </w:p>
    <w:p>
      <w:pPr>
        <w:pStyle w:val="Heading3"/>
      </w:pPr>
      <w:r>
        <w:rPr>
          <w:color w:val="003057"/>
        </w:rPr>
        <w:t>Evaluate (4 programs)</w:t>
      </w:r>
    </w:p>
    <w:p>
      <w:pPr>
        <w:pStyle w:val="ListBullet"/>
      </w:pPr>
      <w:r>
        <w:t>Economics: Market 43, Economics 60, Enrollment 30</w:t>
      </w:r>
    </w:p>
    <w:p>
      <w:pPr>
        <w:pStyle w:val="ListBullet"/>
      </w:pPr>
      <w:r>
        <w:t>History: Market 39, Economics 65, Enrollment 32</w:t>
      </w:r>
    </w:p>
    <w:p>
      <w:pPr>
        <w:pStyle w:val="ListBullet"/>
      </w:pPr>
      <w:r>
        <w:t>Philosophy: Market 34, Economics 75, Enrollment 20</w:t>
      </w:r>
    </w:p>
    <w:p>
      <w:pPr>
        <w:pStyle w:val="ListBullet"/>
      </w:pPr>
      <w:r>
        <w:t>Anthropology: Market 38, Economics 50, Enrollment 22</w:t>
      </w:r>
    </w:p>
    <w:p>
      <w:pPr>
        <w:pStyle w:val="Heading3"/>
      </w:pPr>
      <w:r>
        <w:rPr>
          <w:color w:val="003057"/>
        </w:rPr>
        <w:t>Sunset Review (2 programs)</w:t>
      </w:r>
    </w:p>
    <w:p>
      <w:pPr>
        <w:pStyle w:val="ListBullet"/>
      </w:pPr>
      <w:r>
        <w:t>Art &amp; Design: Market 39, Economics 40, Enrollment 40</w:t>
      </w:r>
    </w:p>
    <w:p>
      <w:pPr>
        <w:pStyle w:val="ListBullet"/>
      </w:pPr>
      <w:r>
        <w:t>Political Science: Market 38, Economics 58, Enrollment 25</w:t>
      </w:r>
    </w:p>
    <w:p>
      <w:r>
        <w:rPr>
          <w:b/>
          <w:sz w:val="20"/>
        </w:rPr>
        <w:t>Key Takeaways:</w:t>
      </w:r>
    </w:p>
    <w:p>
      <w:pPr>
        <w:pStyle w:val="ListBullet"/>
      </w:pPr>
      <w:r>
        <w:t>GROW programs (high market + strong economics): Business Admin, Psychology, Engineering, Health Sciences, CIS, Exercise Physiology, Accounting show strongest investment case.</w:t>
      </w:r>
    </w:p>
    <w:p>
      <w:pPr>
        <w:pStyle w:val="ListBullet"/>
      </w:pPr>
      <w:r>
        <w:t>SUSTAIN programs (solid market, needs efficiency): Environmental programs, Criminology, Biology, Sociology, Teacher Education maintain enrollment but need optimization.</w:t>
      </w:r>
    </w:p>
    <w:p>
      <w:pPr>
        <w:pStyle w:val="ListBullet"/>
      </w:pPr>
      <w:r>
        <w:t>TRANSFORM programs (weak market, strong economics): English and Math generate significant SCH as foundational/service courses — low Market Score reflects major enrollment, not institutional value.</w:t>
      </w:r>
    </w:p>
    <w:p>
      <w:pPr>
        <w:pStyle w:val="ListBullet"/>
      </w:pPr>
      <w:r>
        <w:t>EVALUATE/SUNSET programs: Political Science, Art &amp; Design require strategic review. Note: NAIS is mission-critical and must not be evaluated on enrollment metrics alone.</w:t>
      </w:r>
    </w:p>
    <w:p>
      <w:pPr>
        <w:pStyle w:val="ListBullet"/>
      </w:pPr>
      <w:r>
        <w:t>Data source disclaimer: FLC does not have a Gray Associates subscription. Scores are proxy estimates based on FLC data, not official Gray Associates output.</w:t>
      </w:r>
    </w:p>
    <w:p>
      <w:pPr>
        <w:pStyle w:val="Heading2"/>
      </w:pPr>
      <w:r>
        <w:rPr>
          <w:color w:val="003057"/>
        </w:rPr>
        <w:t>SWOT Synthesis</w:t>
      </w:r>
    </w:p>
    <w:p>
      <w:pPr>
        <w:pStyle w:val="Heading3"/>
      </w:pPr>
      <w:r>
        <w:rPr>
          <w:color w:val="003057"/>
        </w:rPr>
        <w:t>Strengths (7 items)</w:t>
      </w:r>
    </w:p>
    <w:p>
      <w:pPr>
        <w:pStyle w:val="ListBullet"/>
      </w:pPr>
      <w:r>
        <w:t>Statutory Native American Mission: Federal-state-tribal obligation (CRS 23-52-105, since 1911) to serve Native American students with tuition waiver. Serves 166 tribes; 37% of students receive waiver. This is a values-driven commitment, not a market instrument.</w:t>
      </w:r>
    </w:p>
    <w:p>
      <w:pPr>
        <w:pStyle w:val="ListBullet"/>
      </w:pPr>
      <w:r>
        <w:t>Strong Star Programs (Major-Level BCG): Business Administration (+10%, 325 enrolled), Exercise Physiology (+17%, 160), Environmental Conservation &amp; Mgmt (+62%, 133), and Biochemistry (+35%, 66) lead with both size and growth.</w:t>
      </w:r>
    </w:p>
    <w:p>
      <w:pPr>
        <w:pStyle w:val="ListBullet"/>
      </w:pPr>
      <w:r>
        <w:t>Place-Based Brand &amp; Outdoor Differentiation: Durango's mountain setting and outdoor lifestyle create a recruitment differentiator that online competitors cannot replicate. FLC serves experience-preferring students, a distinct market segment.</w:t>
      </w:r>
    </w:p>
    <w:p>
      <w:pPr>
        <w:pStyle w:val="ListBullet"/>
      </w:pPr>
      <w:r>
        <w:t>Small Class Sizes &amp; Teaching Focus: Average class size of 19, 15:1 student-faculty ratio. 98% of tenure-track faculty hold terminal degrees (note: terminal degree % is a common proxy but does not directly measure teaching effectiveness).</w:t>
      </w:r>
    </w:p>
    <w:p>
      <w:pPr>
        <w:pStyle w:val="Heading3"/>
      </w:pPr>
      <w:r>
        <w:rPr>
          <w:color w:val="003057"/>
        </w:rPr>
        <w:t>Weaknesses (7 items)</w:t>
      </w:r>
    </w:p>
    <w:p>
      <w:pPr>
        <w:pStyle w:val="ListBullet"/>
      </w:pPr>
      <w:r>
        <w:t>Declining Undergraduate Enrollment: UG degree-seeking enrollment fell from 3,498 (2016) to 3,021 (2025), -13.6% over 10 years. Major-level data shows overall -3.1% decline (2,899→2,810) from 2022–2024.</w:t>
      </w:r>
    </w:p>
    <w:p>
      <w:pPr>
        <w:pStyle w:val="ListBullet"/>
      </w:pPr>
      <w:r>
        <w:t>17 Concern-Quadrant Majors: BCG analysis shows 17 of 48 majors in the Concern quadrant (small &amp; declining). Economics (-76%, 9 enrolled), MND Art &amp; Design (-98%, 3), and Public Health (-57%, 37) face critical enrollment declines.</w:t>
      </w:r>
    </w:p>
    <w:p>
      <w:pPr>
        <w:pStyle w:val="ListBullet"/>
      </w:pPr>
      <w:r>
        <w:t>Retention Below National Average: 66.1% FTFT retention vs. ~73% national average. Equity gaps persist: First-Gen 60.9%, Pell 61.7%, Students of Color 62.6%.</w:t>
      </w:r>
    </w:p>
    <w:p>
      <w:pPr>
        <w:pStyle w:val="ListBullet"/>
      </w:pPr>
      <w:r>
        <w:t>Durango Housing Crisis &amp; Faculty Recruitment: Durango cost of living is a hidden barrier for both students (attendance) and faculty (recruitment). National faculty supply is HIGH in most fields — the real issue is FLC's location + salary competitiveness.</w:t>
      </w:r>
    </w:p>
    <w:p>
      <w:pPr>
        <w:pStyle w:val="Heading3"/>
      </w:pPr>
      <w:r>
        <w:rPr>
          <w:color w:val="003057"/>
        </w:rPr>
        <w:t>Opportunities (7 items)</w:t>
      </w:r>
    </w:p>
    <w:p>
      <w:pPr>
        <w:pStyle w:val="ListBullet"/>
      </w:pPr>
      <w:r>
        <w:t>Invest in Star Programs: BCG Star programs (Business Admin, Exercise Physiology, Env Conservation, Biochemistry, Engineering, etc.) show enrollment growth. Gray Associates classifies 7 programs for GROW status with strong employment alignment.</w:t>
      </w:r>
    </w:p>
    <w:p>
      <w:pPr>
        <w:pStyle w:val="ListBullet"/>
      </w:pPr>
      <w:r>
        <w:t>Indigenous Education Leadership (Statutorily Grounded): Serving 166 tribes with 37% waiver enrollment is a genuine national distinction. Must be framed through statutory obligations (CRS 23-52-105), cultural preservation, and sovereign agreements — not DEI language — to remain viable in current political climate. Reconciles with DEI threat below.</w:t>
      </w:r>
    </w:p>
    <w:p>
      <w:pPr>
        <w:pStyle w:val="ListBullet"/>
      </w:pPr>
      <w:r>
        <w:t>Dual Enrollment Pipeline Growth: Dual enrollment grew 4.5x (52→235) since 2016. 27 converted to degree-seeking in Fall 2025. Partnerships with Pueblo CC, San Juan College, Red Rocks CC are viable low-risk growth channels.</w:t>
      </w:r>
    </w:p>
    <w:p>
      <w:pPr>
        <w:pStyle w:val="ListBullet"/>
      </w:pPr>
      <w:r>
        <w:t>AI Institute &amp; Technology Integration: FLC's AI Institute is an emerging strength. AI-enabled advising, retention prediction, and curriculum integration can attract new students. Requires realistic investment assessment.</w:t>
      </w:r>
    </w:p>
    <w:p>
      <w:pPr>
        <w:pStyle w:val="Heading3"/>
      </w:pPr>
      <w:r>
        <w:rPr>
          <w:color w:val="003057"/>
        </w:rPr>
        <w:t>Threats (7 items)</w:t>
      </w:r>
    </w:p>
    <w:p>
      <w:pPr>
        <w:pStyle w:val="ListBullet"/>
      </w:pPr>
      <w:r>
        <w:t>DEI &amp; Federal Scrutiny of Public Higher Ed: 120 TRIO programs terminated; 50+ universities under Title VI investigation. Programs framed as 'equity-focused' are primary targets. FLC's NATW is legally defensible (statutory basis) but could be misclassified as DEI. Reconcile: Indigenous programs must use statutory/sovereign framing.</w:t>
      </w:r>
    </w:p>
    <w:p>
      <w:pPr>
        <w:pStyle w:val="ListBullet"/>
      </w:pPr>
      <w:r>
        <w:t>Tribal Education Funding Volatility: Federal tribal education funding is VOLATILE: 109% increase Sept 2025, but FY2026 budget proposes 24% cuts. State appropriations also falling short ($38.4M vs $95M requested).</w:t>
      </w:r>
    </w:p>
    <w:p>
      <w:pPr>
        <w:pStyle w:val="ListBullet"/>
      </w:pPr>
      <w:r>
        <w:t>Declining College-Going Rates: National and Colorado college-going rates declining. Growing skepticism about ROI of degrees. FLC first-year pipeline down -7.6% in 2025. Small public liberal arts institutions most affected.</w:t>
      </w:r>
    </w:p>
    <w:p>
      <w:pPr>
        <w:pStyle w:val="ListBullet"/>
      </w:pPr>
      <w:r>
        <w:t>Durango Housing Crisis: Dramatic cost increases affect student attendance and faculty recruitment. This is a hidden barrier that compounds enrollment decline and makes salary offers less competitive.</w:t>
      </w:r>
    </w:p>
    <w:p>
      <w:pPr>
        <w:pStyle w:val="Heading1"/>
      </w:pPr>
      <w:r>
        <w:rPr>
          <w:color w:val="003057"/>
        </w:rPr>
        <w:t>Section 3: Risk &amp; Implementation</w:t>
      </w:r>
    </w:p>
    <w:p>
      <w:r>
        <w:rPr>
          <w:b w:val="0"/>
          <w:sz w:val="22"/>
        </w:rPr>
        <w:t>The strategic roadmap includes 20 milestones tracked across all three phases, with 12 key performance indicators measuring progress. Below are the highest-priority risks and mitigation strategies.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Probability</w:t>
            </w:r>
          </w:p>
        </w:tc>
        <w:tc>
          <w:tcPr>
            <w:tcW w:type="dxa" w:w="2160"/>
          </w:tcPr>
          <w:p>
            <w:r>
              <w:t>Impact</w:t>
            </w:r>
          </w:p>
        </w:tc>
        <w:tc>
          <w:tcPr>
            <w:tcW w:type="dxa" w:w="2160"/>
          </w:tcPr>
          <w:p>
            <w:r>
              <w:t>Mitigation Strategy</w:t>
            </w:r>
          </w:p>
        </w:tc>
      </w:tr>
      <w:tr>
        <w:tc>
          <w:tcPr>
            <w:tcW w:type="dxa" w:w="2160"/>
          </w:tcPr>
          <w:p>
            <w:r>
              <w:t>Native American tuition waiver misclassified as DEI and defunded</w:t>
            </w:r>
          </w:p>
        </w:tc>
        <w:tc>
          <w:tcPr>
            <w:tcW w:type="dxa" w:w="2160"/>
          </w:tcPr>
          <w:p>
            <w:r>
              <w:t>Medium</w:t>
            </w:r>
          </w:p>
        </w:tc>
        <w:tc>
          <w:tcPr>
            <w:tcW w:type="dxa" w:w="2160"/>
          </w:tcPr>
          <w:p>
            <w:r>
              <w:t>Critical</w:t>
            </w:r>
          </w:p>
        </w:tc>
        <w:tc>
          <w:tcPr>
            <w:tcW w:type="dxa" w:w="2160"/>
          </w:tcPr>
          <w:p>
            <w:r>
              <w:t>Proactively document NATW legal basis (CRS 23-52-105, 1911 federal-state contract). Frame through statutory obligations and state law, not DEI. Engage state legislators and tribal partners as advocates.</w:t>
            </w:r>
          </w:p>
        </w:tc>
      </w:tr>
      <w:tr>
        <w:tc>
          <w:tcPr>
            <w:tcW w:type="dxa" w:w="2160"/>
          </w:tcPr>
          <w:p>
            <w:r>
              <w:t>Federal DEI policy disrupts TRIO/diversity programs</w:t>
            </w:r>
          </w:p>
        </w:tc>
        <w:tc>
          <w:tcPr>
            <w:tcW w:type="dxa" w:w="2160"/>
          </w:tcPr>
          <w:p>
            <w:r>
              <w:t>High</w:t>
            </w:r>
          </w:p>
        </w:tc>
        <w:tc>
          <w:tcPr>
            <w:tcW w:type="dxa" w:w="2160"/>
          </w:tcPr>
          <w:p>
            <w:r>
              <w:t>High</w:t>
            </w:r>
          </w:p>
        </w:tc>
        <w:tc>
          <w:tcPr>
            <w:tcW w:type="dxa" w:w="2160"/>
          </w:tcPr>
          <w:p>
            <w:r>
              <w:t>Reframe Indigenous education and first-gen programs through statutory/sovereign and student success language. Maintain commitment to outcomes while adapting terminology. Document Title VI compliance.</w:t>
            </w:r>
          </w:p>
        </w:tc>
      </w:tr>
      <w:tr>
        <w:tc>
          <w:tcPr>
            <w:tcW w:type="dxa" w:w="2160"/>
          </w:tcPr>
          <w:p>
            <w:r>
              <w:t>State funding cut exceeds 3%</w:t>
            </w:r>
          </w:p>
        </w:tc>
        <w:tc>
          <w:tcPr>
            <w:tcW w:type="dxa" w:w="2160"/>
          </w:tcPr>
          <w:p>
            <w:r>
              <w:t>Medium</w:t>
            </w:r>
          </w:p>
        </w:tc>
        <w:tc>
          <w:tcPr>
            <w:tcW w:type="dxa" w:w="2160"/>
          </w:tcPr>
          <w:p>
            <w:r>
              <w:t>High</w:t>
            </w:r>
          </w:p>
        </w:tc>
        <w:tc>
          <w:tcPr>
            <w:tcW w:type="dxa" w:w="2160"/>
          </w:tcPr>
          <w:p>
            <w:r>
              <w:t>Diversify revenue through retention gains, dual enrollment growth, and workforce partnerships. Build contingency reserve. Prioritize revenue-generating Stars programs.</w:t>
            </w:r>
          </w:p>
        </w:tc>
      </w:tr>
      <w:tr>
        <w:tc>
          <w:tcPr>
            <w:tcW w:type="dxa" w:w="2160"/>
          </w:tcPr>
          <w:p>
            <w:r>
              <w:t>Durango housing crisis worsens faculty/staff recruitment</w:t>
            </w:r>
          </w:p>
        </w:tc>
        <w:tc>
          <w:tcPr>
            <w:tcW w:type="dxa" w:w="2160"/>
          </w:tcPr>
          <w:p>
            <w:r>
              <w:t>High</w:t>
            </w:r>
          </w:p>
        </w:tc>
        <w:tc>
          <w:tcPr>
            <w:tcW w:type="dxa" w:w="2160"/>
          </w:tcPr>
          <w:p>
            <w:r>
              <w:t>High</w:t>
            </w:r>
          </w:p>
        </w:tc>
        <w:tc>
          <w:tcPr>
            <w:tcW w:type="dxa" w:w="2160"/>
          </w:tcPr>
          <w:p>
            <w:r>
              <w:t>Develop faculty housing partnership with City of Durango. Implement signing incentives and salary adjustments for hard-to-fill positions. Expand remote/hybrid work where possible.</w:t>
            </w:r>
          </w:p>
        </w:tc>
      </w:tr>
      <w:tr>
        <w:tc>
          <w:tcPr>
            <w:tcW w:type="dxa" w:w="2160"/>
          </w:tcPr>
          <w:p>
            <w:r>
              <w:t>Enrollment falls below 3,200</w:t>
            </w:r>
          </w:p>
        </w:tc>
        <w:tc>
          <w:tcPr>
            <w:tcW w:type="dxa" w:w="2160"/>
          </w:tcPr>
          <w:p>
            <w:r>
              <w:t>Low</w:t>
            </w:r>
          </w:p>
        </w:tc>
        <w:tc>
          <w:tcPr>
            <w:tcW w:type="dxa" w:w="2160"/>
          </w:tcPr>
          <w:p>
            <w:r>
              <w:t>High</w:t>
            </w:r>
          </w:p>
        </w:tc>
        <w:tc>
          <w:tcPr>
            <w:tcW w:type="dxa" w:w="2160"/>
          </w:tcPr>
          <w:p>
            <w:r>
              <w:t>Activate emergency recruitment campaign. Accelerate dual enrollment and transfer pipelines. Increase Durango-area marketing. Consider strategic tuition adjustments.</w:t>
            </w:r>
          </w:p>
        </w:tc>
      </w:tr>
      <w:tr>
        <w:tc>
          <w:tcPr>
            <w:tcW w:type="dxa" w:w="2160"/>
          </w:tcPr>
          <w:p>
            <w:r>
              <w:t>Retention drops below 62%</w:t>
            </w:r>
          </w:p>
        </w:tc>
        <w:tc>
          <w:tcPr>
            <w:tcW w:type="dxa" w:w="2160"/>
          </w:tcPr>
          <w:p>
            <w:r>
              <w:t>Low</w:t>
            </w:r>
          </w:p>
        </w:tc>
        <w:tc>
          <w:tcPr>
            <w:tcW w:type="dxa" w:w="2160"/>
          </w:tcPr>
          <w:p>
            <w:r>
              <w:t>High</w:t>
            </w:r>
          </w:p>
        </w:tc>
        <w:tc>
          <w:tcPr>
            <w:tcW w:type="dxa" w:w="2160"/>
          </w:tcPr>
          <w:p>
            <w:r>
              <w:t>Scale Compass program college-wide. Deploy early-alert system. Increase advisor capacity for at-risk populations. Address first-gen and Native American retention gaps specifically.</w:t>
            </w:r>
          </w:p>
        </w:tc>
      </w:tr>
    </w:tbl>
    <w:p>
      <w:pPr>
        <w:pStyle w:val="Heading1"/>
      </w:pPr>
      <w:r>
        <w:rPr>
          <w:color w:val="003057"/>
        </w:rPr>
        <w:t>Section 4: Summary</w:t>
      </w:r>
    </w:p>
    <w:p>
      <w:r>
        <w:rPr>
          <w:b w:val="0"/>
          <w:sz w:val="22"/>
        </w:rPr>
        <w:t>Fort Lewis College operates in an increasingly competitive and financially constrained higher education environment. Declining college-going rates, intensifying online competition, state funding volatility, and political pressure on diversity programs create significant headwinds. At the same time, FLC possesses distinctive strengths that few competitors can replicate: a federally rooted Native American tuition waiver, an unmatched outdoor recreation setting in Durango, and an intimate small-college experience.</w:t>
      </w:r>
    </w:p>
    <w:p>
      <w:r>
        <w:rPr>
          <w:b w:val="0"/>
          <w:sz w:val="22"/>
        </w:rPr>
        <w:t>The analysis reveals a portfolio in need of strategic rebalancing. Of 48 majors analyzed, 17 fall in the BCG Concern quadrant while 15 are Stars, indicating both risk and opportunity. The Gray Associates framework identifies programs for growth investment, sustaining, and those requiring transformation, evaluation, or sunset review.</w:t>
      </w:r>
    </w:p>
    <w:p>
      <w:r>
        <w:rPr>
          <w:b w:val="0"/>
          <w:sz w:val="22"/>
        </w:rPr>
        <w:t>The Zone to Win framework provides the decision architecture for action. Three qualitatively different scenarios (Incremental, Moderate-Adaptive, Disruptive) define distinct strategic bets rather than simply varying the degree of investment. Consistent priorities across all scenarios: invest in proven Star programs, improve retention through advising and early-alert systems, differentiate through Indigenous education (statutorily grounded, not DEI), and leverage FLC's unique place-based and experiential learning assets.</w:t>
      </w:r>
    </w:p>
    <w:p>
      <w:r>
        <w:rPr>
          <w:b w:val="0"/>
          <w:sz w:val="22"/>
        </w:rPr>
        <w:t>Success requires navigating faculty governance deliberately (12-18 month timelines), addressing the Durango housing barrier to recruitment, investing marketing resources in the Indigenous student niche (the only defensible online strategy), and maintaining honest assessment of what is achievable within FLC's constrained budget.</w:t>
      </w:r>
    </w:p>
    <w:p>
      <w:r>
        <w:rPr>
          <w:b w:val="0"/>
          <w:sz w:val="18"/>
        </w:rPr>
        <w:br/>
        <w:t>Source: FLC Portfolio Optimization Project — All framework analyses, institutional data, and strategic planning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