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Title"/>
      </w:pPr>
      <w:r>
        <w:rPr>
          <w:color w:val="003057"/>
        </w:rPr>
        <w:t>PESTLE Analysis: Executive Summary</w:t>
      </w:r>
    </w:p>
    <w:p>
      <w:r>
        <w:rPr>
          <w:color w:val="666666"/>
          <w:sz w:val="24"/>
        </w:rPr>
        <w:t>External Environmental Scan for Fort Lewis College Academic Affairs</w:t>
      </w:r>
    </w:p>
    <w:p>
      <w:r>
        <w:rPr>
          <w:color w:val="999999"/>
          <w:sz w:val="20"/>
        </w:rPr>
        <w:t>Fort Lewis College | Durango, Colorado | Public Liberal Arts</w:t>
      </w:r>
    </w:p>
    <w:p>
      <w:r>
        <w:t>____________________________________________________________</w:t>
      </w:r>
    </w:p>
    <w:p>
      <w:pPr>
        <w:pStyle w:val="Heading2"/>
      </w:pPr>
      <w:r>
        <w:rPr>
          <w:color w:val="003057"/>
        </w:rPr>
        <w:t>1. Introduction &amp; Methodology</w:t>
      </w:r>
    </w:p>
    <w:p>
      <w:r>
        <w:rPr>
          <w:b w:val="0"/>
          <w:sz w:val="22"/>
        </w:rPr>
        <w:t>PESTLE Analysis examines six categories of external macro-environmental factors that influence Fort Lewis College's strategic positioning: Political, Economic, Social, Technological, Legal, and Environmental. This framework identifies forces beyond the institution's direct control that create both risks and opportunities for Academic Affairs. Each factor is assessed for impact severity and directional trend to prioritize strategic responses.</w:t>
      </w:r>
    </w:p>
    <w:p>
      <w:r>
        <w:rPr>
          <w:b w:val="0"/>
          <w:sz w:val="22"/>
        </w:rPr>
        <w:t>This analysis draws on FLC's internal PESTLE report, the External Forces Shaping Fort Lewis College presentation, institutional enrollment data, and the 2025-2030 Strategic Plan. Each of the six PESTLE dimensions was assessed for impact severity (1-5 scale) and directional trend (Positive, Mixed, Negative, Stable, Opportunity).</w:t>
      </w:r>
    </w:p>
    <w:p>
      <w:pPr>
        <w:pStyle w:val="Heading2"/>
      </w:pPr>
      <w:r>
        <w:rPr>
          <w:color w:val="003057"/>
        </w:rPr>
        <w:t>2. Key Findings by Category</w:t>
      </w:r>
    </w:p>
    <w:p>
      <w:pPr>
        <w:pStyle w:val="Heading3"/>
      </w:pPr>
      <w:r>
        <w:rPr>
          <w:color w:val="003057"/>
        </w:rPr>
        <w:t>Political (Impact: High, Trend: Negative)</w:t>
      </w:r>
    </w:p>
    <w:p>
      <w:pPr>
        <w:pStyle w:val="ListBullet"/>
      </w:pPr>
      <w:r>
        <w:t>Trump administration (2025–2029) reducing federal HE funding; 120 TRIO programs terminated</w:t>
      </w:r>
    </w:p>
    <w:p>
      <w:pPr>
        <w:pStyle w:val="ListBullet"/>
      </w:pPr>
      <w:r>
        <w:t>DEI programs under HIGH scrutiny — executive order targeting DEI in accreditation (Apr 2025)</w:t>
      </w:r>
    </w:p>
    <w:p>
      <w:pPr>
        <w:pStyle w:val="ListBullet"/>
      </w:pPr>
      <w:r>
        <w:t>Tribal education funding VOLATILE: 109% increase Sept 2025, but FY2026 proposes 24% cuts</w:t>
      </w:r>
    </w:p>
    <w:p>
      <w:pPr>
        <w:pStyle w:val="ListBullet"/>
      </w:pPr>
      <w:r>
        <w:t>Colorado FY 2025–26: $38.4M increase (far less than $95M requested); 3.5% tuition cap</w:t>
      </w:r>
    </w:p>
    <w:p>
      <w:pPr>
        <w:pStyle w:val="ListBullet"/>
      </w:pPr>
      <w:r>
        <w:t>Native American Tuition Waiver at risk of misclassification as DEI (waiver is statutory, not DEI)</w:t>
      </w:r>
    </w:p>
    <w:p>
      <w:pPr>
        <w:pStyle w:val="ListBullet"/>
      </w:pPr>
      <w:r>
        <w:t>HLC providing flexibility on diversity standards, but federal pressure on accreditors continues</w:t>
      </w:r>
    </w:p>
    <w:p>
      <w:r>
        <w:rPr>
          <w:b/>
          <w:sz w:val="20"/>
        </w:rPr>
        <w:t>Opportunities:</w:t>
      </w:r>
    </w:p>
    <w:p>
      <w:pPr>
        <w:pStyle w:val="ListBullet2"/>
      </w:pPr>
      <w:r>
        <w:t>Reframe Indigenous programs through statutory obligations (CRS 23-52-105) and cultural preservation (legally safe)</w:t>
      </w:r>
    </w:p>
    <w:p>
      <w:pPr>
        <w:pStyle w:val="ListBullet2"/>
      </w:pPr>
      <w:r>
        <w:t>Use 'first-generation support' and 'inclusive excellence' framing (avoids identity-based language)</w:t>
      </w:r>
    </w:p>
    <w:p>
      <w:pPr>
        <w:pStyle w:val="ListBullet2"/>
      </w:pPr>
      <w:r>
        <w:t>Advocate for rural institution support in state legislature</w:t>
      </w:r>
    </w:p>
    <w:p>
      <w:pPr>
        <w:pStyle w:val="Heading3"/>
      </w:pPr>
      <w:r>
        <w:rPr>
          <w:color w:val="003057"/>
        </w:rPr>
        <w:t>Economic (Impact: High, Trend: Negative)</w:t>
      </w:r>
    </w:p>
    <w:p>
      <w:pPr>
        <w:pStyle w:val="ListBullet"/>
      </w:pPr>
      <w:r>
        <w:t>Colorado shifts costs to students via tuition rather than state appropriations</w:t>
      </w:r>
    </w:p>
    <w:p>
      <w:pPr>
        <w:pStyle w:val="ListBullet"/>
      </w:pPr>
      <w:r>
        <w:t>Rising tuition sensitivity; students increasingly price-conscious and comparison-shopping</w:t>
      </w:r>
    </w:p>
    <w:p>
      <w:pPr>
        <w:pStyle w:val="ListBullet"/>
      </w:pPr>
      <w:r>
        <w:t>Durango housing crisis — major hidden barrier for student attendance AND faculty recruitment</w:t>
      </w:r>
    </w:p>
    <w:p>
      <w:pPr>
        <w:pStyle w:val="ListBullet"/>
      </w:pPr>
      <w:r>
        <w:t>Native American tuition waiver revenue impact (~37% of students at zero tuition)</w:t>
      </w:r>
    </w:p>
    <w:p>
      <w:pPr>
        <w:pStyle w:val="ListBullet"/>
      </w:pPr>
      <w:r>
        <w:t>Regional economy tourism-dependent (seasonal, variable); limited large employers</w:t>
      </w:r>
    </w:p>
    <w:p>
      <w:pPr>
        <w:pStyle w:val="ListBullet"/>
      </w:pPr>
      <w:r>
        <w:t>Skills-based hiring growing — degrees less of an automatic hiring requirement</w:t>
      </w:r>
    </w:p>
    <w:p>
      <w:r>
        <w:rPr>
          <w:b/>
          <w:sz w:val="20"/>
        </w:rPr>
        <w:t>Opportunities:</w:t>
      </w:r>
    </w:p>
    <w:p>
      <w:pPr>
        <w:pStyle w:val="ListBullet2"/>
      </w:pPr>
      <w:r>
        <w:t>Healthcare/nursing programs (strong regional employer demand)</w:t>
      </w:r>
    </w:p>
    <w:p>
      <w:pPr>
        <w:pStyle w:val="ListBullet2"/>
      </w:pPr>
      <w:r>
        <w:t>Expand dual enrollment pipeline (Pueblo CC, San Juan College feeders)</w:t>
      </w:r>
    </w:p>
    <w:p>
      <w:pPr>
        <w:pStyle w:val="ListBullet2"/>
      </w:pPr>
      <w:r>
        <w:t>Develop workforce-aligned certificates and micro-credentials</w:t>
      </w:r>
    </w:p>
    <w:p>
      <w:pPr>
        <w:pStyle w:val="ListBullet2"/>
      </w:pPr>
      <w:r>
        <w:t>Position as affordable rural alternative to cost-climbing urban institutions</w:t>
      </w:r>
    </w:p>
    <w:p>
      <w:pPr>
        <w:pStyle w:val="Heading3"/>
      </w:pPr>
      <w:r>
        <w:rPr>
          <w:color w:val="003057"/>
        </w:rPr>
        <w:t>Social (Impact: Medium-High, Trend: Mixed)</w:t>
      </w:r>
    </w:p>
    <w:p>
      <w:pPr>
        <w:pStyle w:val="ListBullet"/>
      </w:pPr>
      <w:r>
        <w:t>Declining college-going rates nationally and in Colorado</w:t>
      </w:r>
    </w:p>
    <w:p>
      <w:pPr>
        <w:pStyle w:val="ListBullet"/>
      </w:pPr>
      <w:r>
        <w:t>Career outcome expectations dominant ('What job will I get?')</w:t>
      </w:r>
    </w:p>
    <w:p>
      <w:pPr>
        <w:pStyle w:val="ListBullet"/>
      </w:pPr>
      <w:r>
        <w:t>Indigenous education opportunity IS REAL (166 tribes, 37% waiver, underserved nationally)</w:t>
      </w:r>
    </w:p>
    <w:p>
      <w:pPr>
        <w:pStyle w:val="ListBullet"/>
      </w:pPr>
      <w:r>
        <w:t>First-generation students (43%) need targeted support systems</w:t>
      </w:r>
    </w:p>
    <w:p>
      <w:pPr>
        <w:pStyle w:val="ListBullet"/>
      </w:pPr>
      <w:r>
        <w:t>Growing skepticism about ROI of higher education; trade/vocational paths gaining acceptance</w:t>
      </w:r>
    </w:p>
    <w:p>
      <w:pPr>
        <w:pStyle w:val="ListBullet"/>
      </w:pPr>
      <w:r>
        <w:t>Strong outdoor/recreation culture aligns with FLC place-based brand</w:t>
      </w:r>
    </w:p>
    <w:p>
      <w:r>
        <w:rPr>
          <w:b/>
          <w:sz w:val="20"/>
        </w:rPr>
        <w:t>Opportunities:</w:t>
      </w:r>
    </w:p>
    <w:p>
      <w:pPr>
        <w:pStyle w:val="ListBullet2"/>
      </w:pPr>
      <w:r>
        <w:t>Indigenous education leadership — reframe through statutory obligations (CRS 23-52-105), not DEI</w:t>
      </w:r>
    </w:p>
    <w:p>
      <w:pPr>
        <w:pStyle w:val="ListBullet2"/>
      </w:pPr>
      <w:r>
        <w:t>First-generation student success programs (safe framing, encompasses many Indigenous students)</w:t>
      </w:r>
    </w:p>
    <w:p>
      <w:pPr>
        <w:pStyle w:val="ListBullet2"/>
      </w:pPr>
      <w:r>
        <w:t>Place-based brand leveraging Durango outdoor lifestyle as recruitment differentiator</w:t>
      </w:r>
    </w:p>
    <w:p>
      <w:pPr>
        <w:pStyle w:val="ListBullet2"/>
      </w:pPr>
      <w:r>
        <w:t>Career outcome emphasis across all programs</w:t>
      </w:r>
    </w:p>
    <w:p>
      <w:pPr>
        <w:pStyle w:val="Heading3"/>
      </w:pPr>
      <w:r>
        <w:rPr>
          <w:color w:val="003057"/>
        </w:rPr>
        <w:t>Technological (Impact: High, Trend: Rapidly Changing)</w:t>
      </w:r>
    </w:p>
    <w:p>
      <w:pPr>
        <w:pStyle w:val="ListBullet"/>
      </w:pPr>
      <w:r>
        <w:t>AI disruption transforming pedagogy, assessment, and student expectations</w:t>
      </w:r>
    </w:p>
    <w:p>
      <w:pPr>
        <w:pStyle w:val="ListBullet"/>
      </w:pPr>
      <w:r>
        <w:t>Online graduate market SATURATED — ASU, SNHU, Western Governors dominate ($50M+ marketing)</w:t>
      </w:r>
    </w:p>
    <w:p>
      <w:pPr>
        <w:pStyle w:val="ListBullet"/>
      </w:pPr>
      <w:r>
        <w:t>FLC has NO online brand nationally; ~25 online courses (~10% of offerings)</w:t>
      </w:r>
    </w:p>
    <w:p>
      <w:pPr>
        <w:pStyle w:val="ListBullet"/>
      </w:pPr>
      <w:r>
        <w:t>Passive video lectures becoming obsolete; AI-enabled adaptive learning replacing them</w:t>
      </w:r>
    </w:p>
    <w:p>
      <w:pPr>
        <w:pStyle w:val="ListBullet"/>
      </w:pPr>
      <w:r>
        <w:t>AI Institute at FLC as emerging institutional strength</w:t>
      </w:r>
    </w:p>
    <w:p>
      <w:pPr>
        <w:pStyle w:val="ListBullet"/>
      </w:pPr>
      <w:r>
        <w:t>Online program development requires 1–2+ years governance + substantial investment</w:t>
      </w:r>
    </w:p>
    <w:p>
      <w:r>
        <w:rPr>
          <w:b/>
          <w:sz w:val="20"/>
        </w:rPr>
        <w:t>Opportunities:</w:t>
      </w:r>
    </w:p>
    <w:p>
      <w:pPr>
        <w:pStyle w:val="ListBullet2"/>
      </w:pPr>
      <w:r>
        <w:t>AI Institute partnerships and curriculum integration</w:t>
      </w:r>
    </w:p>
    <w:p>
      <w:pPr>
        <w:pStyle w:val="ListBullet2"/>
      </w:pPr>
      <w:r>
        <w:t>AI-enabled advising, early alerts, and retention prediction tools</w:t>
      </w:r>
    </w:p>
    <w:p>
      <w:pPr>
        <w:pStyle w:val="ListBullet2"/>
      </w:pPr>
      <w:r>
        <w:t>AI literacy across all disciplines as differentiator</w:t>
      </w:r>
    </w:p>
    <w:p>
      <w:pPr>
        <w:pStyle w:val="Heading3"/>
      </w:pPr>
      <w:r>
        <w:rPr>
          <w:color w:val="003057"/>
        </w:rPr>
        <w:t>Legal (Impact: High, Trend: Deteriorating)</w:t>
      </w:r>
    </w:p>
    <w:p>
      <w:pPr>
        <w:pStyle w:val="ListBullet"/>
      </w:pPr>
      <w:r>
        <w:t>Title VI scrutiny — 50+ universities under investigation for race-conscious programs</w:t>
      </w:r>
    </w:p>
    <w:p>
      <w:pPr>
        <w:pStyle w:val="ListBullet"/>
      </w:pPr>
      <w:r>
        <w:t>Native American Tuition Waiver has DISTINCT legal basis (CRS 23-52-105, since 1911)</w:t>
      </w:r>
    </w:p>
    <w:p>
      <w:pPr>
        <w:pStyle w:val="ListBullet"/>
      </w:pPr>
      <w:r>
        <w:t>HLC accreditation: federal pressure on DEI standards, but HLC offers flexibility</w:t>
      </w:r>
    </w:p>
    <w:p>
      <w:pPr>
        <w:pStyle w:val="ListBullet"/>
      </w:pPr>
      <w:r>
        <w:t>Trump administration revising Title IX regulations (definitions, due process in flux)</w:t>
      </w:r>
    </w:p>
    <w:p>
      <w:pPr>
        <w:pStyle w:val="ListBullet"/>
      </w:pPr>
      <w:r>
        <w:t>FERPA compliance critical for AI tools processing student data</w:t>
      </w:r>
    </w:p>
    <w:p>
      <w:pPr>
        <w:pStyle w:val="ListBullet"/>
      </w:pPr>
      <w:r>
        <w:t>Programs framed as 'equity-focused' are primary federal targets</w:t>
      </w:r>
    </w:p>
    <w:p>
      <w:r>
        <w:rPr>
          <w:b/>
          <w:sz w:val="20"/>
        </w:rPr>
        <w:t>Opportunities:</w:t>
      </w:r>
    </w:p>
    <w:p>
      <w:pPr>
        <w:pStyle w:val="ListBullet2"/>
      </w:pPr>
      <w:r>
        <w:t>NATW defensible under Title VI (statutory basis per CRS 23-52-105, not voluntary DEI)</w:t>
      </w:r>
    </w:p>
    <w:p>
      <w:pPr>
        <w:pStyle w:val="ListBullet2"/>
      </w:pPr>
      <w:r>
        <w:t>Government-to-government tribal partnerships (sovereignty framing, not race-based)</w:t>
      </w:r>
    </w:p>
    <w:p>
      <w:pPr>
        <w:pStyle w:val="ListBullet2"/>
      </w:pPr>
      <w:r>
        <w:t>HLC flexibility allows alternative methods to meet diversity-related standards</w:t>
      </w:r>
    </w:p>
    <w:p>
      <w:pPr>
        <w:pStyle w:val="Heading3"/>
      </w:pPr>
      <w:r>
        <w:rPr>
          <w:color w:val="003057"/>
        </w:rPr>
        <w:t>Environmental (Impact: Medium, Trend: Negative)</w:t>
      </w:r>
    </w:p>
    <w:p>
      <w:pPr>
        <w:pStyle w:val="ListBullet"/>
      </w:pPr>
      <w:r>
        <w:t>Southwest Colorado wildfire risk increasing — smoke impacts air quality and outdoor activities</w:t>
      </w:r>
    </w:p>
    <w:p>
      <w:pPr>
        <w:pStyle w:val="ListBullet"/>
      </w:pPr>
      <w:r>
        <w:t>Colorado River basin under long-term drought stress; water rights contentious</w:t>
      </w:r>
    </w:p>
    <w:p>
      <w:pPr>
        <w:pStyle w:val="ListBullet"/>
      </w:pPr>
      <w:r>
        <w:t>Snowpack variability affects regional economy (ski, rafting, outdoor recreation)</w:t>
      </w:r>
    </w:p>
    <w:p>
      <w:pPr>
        <w:pStyle w:val="ListBullet"/>
      </w:pPr>
      <w:r>
        <w:t>Outdoor recreation brand is FLC strength but CLIMATE-VULNERABLE</w:t>
      </w:r>
    </w:p>
    <w:p>
      <w:pPr>
        <w:pStyle w:val="ListBullet"/>
      </w:pPr>
      <w:r>
        <w:t>Sustainability compliance is baseline, not differentiator</w:t>
      </w:r>
    </w:p>
    <w:p>
      <w:r>
        <w:rPr>
          <w:b/>
          <w:sz w:val="20"/>
        </w:rPr>
        <w:t>Opportunities:</w:t>
      </w:r>
    </w:p>
    <w:p>
      <w:pPr>
        <w:pStyle w:val="ListBullet2"/>
      </w:pPr>
      <w:r>
        <w:t>Proactive sustainability initiatives to build brand beyond compliance</w:t>
      </w:r>
    </w:p>
    <w:p>
      <w:pPr>
        <w:pStyle w:val="ListBullet2"/>
      </w:pPr>
      <w:r>
        <w:t>Emergency preparedness planning as operational strength</w:t>
      </w:r>
    </w:p>
    <w:p>
      <w:pPr>
        <w:pStyle w:val="ListBullet2"/>
      </w:pPr>
      <w:r>
        <w:t>Environmental science/conservation programs align with regional needs</w:t>
      </w:r>
    </w:p>
    <w:p>
      <w:pPr>
        <w:pStyle w:val="Heading2"/>
      </w:pPr>
      <w:r>
        <w:rPr>
          <w:color w:val="003057"/>
        </w:rPr>
        <w:t>3. Impact Assessment Summary</w:t>
      </w:r>
    </w:p>
    <w:p>
      <w:r>
        <w:rPr>
          <w:b w:val="0"/>
          <w:sz w:val="22"/>
        </w:rPr>
        <w:t>The highest-impact categories are Economic (5/5) and Political/Social (4/5 each). Economic factors—particularly state funding volatility, tuition sensitivity, and the revenue impact of the Native American tuition waiver—represent the most significant external pressures on FLC's financial model. Political factors including performance-based funding and pressure on DEI programs add further uncertainty. Social factors, notably declining college-going rates and shifting student expectations toward career outcomes, require programmatic adaptation.</w:t>
      </w:r>
    </w:p>
    <w:p>
      <w:r>
        <w:rPr>
          <w:b w:val="0"/>
          <w:sz w:val="22"/>
        </w:rPr>
        <w:t>Technological factors (4/5 impact) reflect a rapidly changing landscape: the online market is saturated and FLC has no online brand, though AI is transforming delivery. Legal factors (4/5) are deteriorating with NATW legal basis (CRS 23-52-105) requiring proactive documentation. Environmental factors present both risk (wildfire/drought) and opportunity (outdoor brand).</w:t>
      </w:r>
    </w:p>
    <w:p>
      <w:pPr>
        <w:pStyle w:val="Heading2"/>
      </w:pPr>
      <w:r>
        <w:rPr>
          <w:color w:val="003057"/>
        </w:rPr>
        <w:t>4. Strategic Implications for Academic Affairs</w:t>
      </w:r>
    </w:p>
    <w:p>
      <w:r>
        <w:rPr>
          <w:b w:val="0"/>
          <w:sz w:val="22"/>
        </w:rPr>
        <w:t>The PESTLE analysis reveals that FLC operates in an environment of heightened political risk and constrained resources. Federal DEI policy disruptions threaten TRIO programs and could misclassify the statutory NATW mission. The Durango housing crisis constrains faculty/staff recruitment. Key strategic imperatives include: (1) reframing Indigenous education through statutory obligations (CRS 23-52-105) and state law (not DEI), (2) strengthening the dual enrollment pipeline as a hedge against declining first-year enrollment, (3) improving retention as the most cost-effective enrollment strategy, and (4) investing in AI capabilities while recognizing that large-scale online expansion faces a saturated market where FLC has no brand.</w:t>
      </w:r>
    </w:p>
    <w:p>
      <w:pPr>
        <w:pStyle w:val="Heading2"/>
      </w:pPr>
      <w:r>
        <w:rPr>
          <w:color w:val="003057"/>
        </w:rPr>
        <w:t>5. Recommendations</w:t>
      </w:r>
    </w:p>
    <w:p>
      <w:pPr>
        <w:pStyle w:val="ListBullet"/>
      </w:pPr>
      <w:r>
        <w:t>Proactively document NATW statutory basis (CRS 23-52-105) to protect against DEI misclassification</w:t>
      </w:r>
    </w:p>
    <w:p>
      <w:pPr>
        <w:pStyle w:val="ListBullet"/>
      </w:pPr>
      <w:r>
        <w:t>Prioritize retention improvement as the most cost-effective enrollment strategy (Compass, early-alert)</w:t>
      </w:r>
    </w:p>
    <w:p>
      <w:pPr>
        <w:pStyle w:val="ListBullet"/>
      </w:pPr>
      <w:r>
        <w:t>Grow dual enrollment pipeline and transfer pathways as near-term enrollment stabilizers</w:t>
      </w:r>
    </w:p>
    <w:p>
      <w:pPr>
        <w:pStyle w:val="ListBullet"/>
      </w:pPr>
      <w:r>
        <w:t>Frame Indigenous education through statutory obligations (CRS 23-52-105) and cultural preservation, not DEI language</w:t>
      </w:r>
    </w:p>
    <w:p>
      <w:pPr>
        <w:pStyle w:val="ListBullet"/>
      </w:pPr>
      <w:r>
        <w:t>Invest in AI Institute and experiential learning as place-based institutional differentiators</w:t>
      </w:r>
    </w:p>
    <w:p>
      <w:pPr>
        <w:pStyle w:val="ListBullet"/>
      </w:pPr>
      <w:r>
        <w:t>Qualify online expansion: pursue only Indigenous niche (NATW moat), not generic online degrees</w:t>
      </w:r>
    </w:p>
    <w:p>
      <w:pPr>
        <w:pStyle w:val="ListBullet"/>
      </w:pPr>
      <w:r>
        <w:t>Address Durango housing crisis impact on faculty/staff recruitment through institutional partnerships</w:t>
      </w:r>
    </w:p>
    <w:p>
      <w:r>
        <w:rPr>
          <w:b w:val="0"/>
          <w:sz w:val="18"/>
        </w:rPr>
        <w:br/>
        <w:t>Source: FLC PESTLE Report, External Forces Shaping FLC presentation, FLC Institutional Data, 2025-2030 Strategic Plan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