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rPr>
          <w:color w:val="003057"/>
        </w:rPr>
        <w:t>Porter's Five Forces: Executive Summary</w:t>
      </w:r>
    </w:p>
    <w:p>
      <w:r>
        <w:rPr>
          <w:color w:val="666666"/>
          <w:sz w:val="24"/>
        </w:rPr>
        <w:t>Competitive Analysis of FLC's Higher Education Market</w:t>
      </w:r>
    </w:p>
    <w:p>
      <w:r>
        <w:rPr>
          <w:color w:val="999999"/>
          <w:sz w:val="20"/>
        </w:rPr>
        <w:t>Fort Lewis College | Durango, Colorado | Public Liberal Arts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3057"/>
        </w:rPr>
        <w:t>1. Introduction &amp; Methodology</w:t>
      </w:r>
    </w:p>
    <w:p>
      <w:r>
        <w:rPr>
          <w:b w:val="0"/>
          <w:sz w:val="22"/>
        </w:rPr>
        <w:t>Porter's Five Forces framework assesses the competitive intensity of the higher education market in which Fort Lewis College operates. This analysis corrects common AI assumptions: online competition is unverified for FLC (place-based students may not be choosing online), faculty 'scarcity' is a Durango recruitment issue (national supply is HIGH in most fields), and FLC's experiential value proposition serves a distinct market segment.</w:t>
      </w:r>
    </w:p>
    <w:p>
      <w:r>
        <w:rPr>
          <w:b w:val="0"/>
          <w:sz w:val="22"/>
        </w:rPr>
        <w:t>This analysis applies Porter's framework using published higher education competitive research methodologies combined with FLC institutional data, enrollment trends, and regional market intelligence. Each force is rated on a 1-5 scale (Low to High competitive intensity) with supporting indicators and trend analysis.</w:t>
      </w:r>
    </w:p>
    <w:p>
      <w:pPr>
        <w:pStyle w:val="Heading2"/>
      </w:pPr>
      <w:r>
        <w:rPr>
          <w:color w:val="003057"/>
        </w:rPr>
        <w:t>2. Analysis of Five Forces</w:t>
      </w:r>
    </w:p>
    <w:p>
      <w:pPr>
        <w:pStyle w:val="Heading3"/>
      </w:pPr>
      <w:r>
        <w:rPr>
          <w:color w:val="003057"/>
        </w:rPr>
        <w:t>Competitive Rivalry: High (4.0/5)</w:t>
      </w:r>
    </w:p>
    <w:p>
      <w:r>
        <w:rPr>
          <w:b w:val="0"/>
          <w:sz w:val="22"/>
        </w:rPr>
        <w:t>Intense competition from CU system, CSU, Western Colorado; online threat assumed but unverified for FLC</w:t>
      </w:r>
    </w:p>
    <w:p>
      <w:r>
        <w:rPr>
          <w:b/>
          <w:sz w:val="20"/>
        </w:rPr>
        <w:t>Key Indicators:</w:t>
      </w:r>
    </w:p>
    <w:p>
      <w:pPr>
        <w:pStyle w:val="ListBullet"/>
      </w:pPr>
      <w:r>
        <w:t>Number of competing institutions in CO: 30+ (Trend: Increasing)</w:t>
      </w:r>
    </w:p>
    <w:p>
      <w:pPr>
        <w:pStyle w:val="ListBullet"/>
      </w:pPr>
      <w:r>
        <w:t>FLC market share of CO HS graduates: ~2% (Trend: Stable)</w:t>
      </w:r>
    </w:p>
    <w:p>
      <w:pPr>
        <w:pStyle w:val="ListBullet"/>
      </w:pPr>
      <w:r>
        <w:t>Enrollment change vs peers: -2.5% (Trend: Declining)</w:t>
      </w:r>
    </w:p>
    <w:p>
      <w:pPr>
        <w:pStyle w:val="ListBullet"/>
      </w:pPr>
      <w:r>
        <w:t>Tuition discount rate pressure: High (Trend: Increasing)</w:t>
      </w:r>
    </w:p>
    <w:p>
      <w:pPr>
        <w:pStyle w:val="ListBullet"/>
      </w:pPr>
      <w:r>
        <w:t>Online competition (unverified for FLC): Assumed (Trend: Unknown)</w:t>
      </w:r>
    </w:p>
    <w:p>
      <w:pPr>
        <w:pStyle w:val="Heading3"/>
      </w:pPr>
      <w:r>
        <w:rPr>
          <w:color w:val="003057"/>
        </w:rPr>
        <w:t>Threat of New Entrants: Medium (3.0/5)</w:t>
      </w:r>
    </w:p>
    <w:p>
      <w:r>
        <w:rPr>
          <w:b w:val="0"/>
          <w:sz w:val="22"/>
        </w:rPr>
        <w:t>Accreditation remains HIGH barrier for degree-granting; certificate/non-degree entrants are real threat</w:t>
      </w:r>
    </w:p>
    <w:p>
      <w:r>
        <w:rPr>
          <w:b/>
          <w:sz w:val="20"/>
        </w:rPr>
        <w:t>Key Indicators:</w:t>
      </w:r>
    </w:p>
    <w:p>
      <w:pPr>
        <w:pStyle w:val="ListBullet"/>
      </w:pPr>
      <w:r>
        <w:t>Accreditation barriers (degree): High (Trend: Stable)</w:t>
      </w:r>
    </w:p>
    <w:p>
      <w:pPr>
        <w:pStyle w:val="ListBullet"/>
      </w:pPr>
      <w:r>
        <w:t>Certificate/non-degree barriers: Low (Trend: Decreasing)</w:t>
      </w:r>
    </w:p>
    <w:p>
      <w:pPr>
        <w:pStyle w:val="ListBullet"/>
      </w:pPr>
      <w:r>
        <w:t>Boot camp / micro-credential programs: Growing (Trend: Increasing)</w:t>
      </w:r>
    </w:p>
    <w:p>
      <w:pPr>
        <w:pStyle w:val="ListBullet"/>
      </w:pPr>
      <w:r>
        <w:t>Community college expansion: Active (Trend: Increasing)</w:t>
      </w:r>
    </w:p>
    <w:p>
      <w:pPr>
        <w:pStyle w:val="ListBullet"/>
      </w:pPr>
      <w:r>
        <w:t>Capital requirements for online: High (Trend: Stable)</w:t>
      </w:r>
    </w:p>
    <w:p>
      <w:pPr>
        <w:pStyle w:val="Heading3"/>
      </w:pPr>
      <w:r>
        <w:rPr>
          <w:color w:val="003057"/>
        </w:rPr>
        <w:t>Bargaining Power of Students: High (4.0/5)</w:t>
      </w:r>
    </w:p>
    <w:p>
      <w:r>
        <w:rPr>
          <w:b w:val="0"/>
          <w:sz w:val="22"/>
        </w:rPr>
        <w:t>Students have many choices; price sensitivity high; FLC must compete on value and outcomes</w:t>
      </w:r>
    </w:p>
    <w:p>
      <w:r>
        <w:rPr>
          <w:b/>
          <w:sz w:val="20"/>
        </w:rPr>
        <w:t>Key Indicators:</w:t>
      </w:r>
    </w:p>
    <w:p>
      <w:pPr>
        <w:pStyle w:val="ListBullet"/>
      </w:pPr>
      <w:r>
        <w:t>Yield rate (needs verification): Unverified (Trend: Unknown)</w:t>
      </w:r>
    </w:p>
    <w:p>
      <w:pPr>
        <w:pStyle w:val="ListBullet"/>
      </w:pPr>
      <w:r>
        <w:t>Summer melt rate (FY): 12.9% (Trend: Improving)</w:t>
      </w:r>
    </w:p>
    <w:p>
      <w:pPr>
        <w:pStyle w:val="ListBullet"/>
      </w:pPr>
      <w:r>
        <w:t>Transfer-out competition: Moderate (Trend: Stable)</w:t>
      </w:r>
    </w:p>
    <w:p>
      <w:pPr>
        <w:pStyle w:val="ListBullet"/>
      </w:pPr>
      <w:r>
        <w:t>Price sensitivity: High (Trend: Increasing)</w:t>
      </w:r>
    </w:p>
    <w:p>
      <w:pPr>
        <w:pStyle w:val="ListBullet"/>
      </w:pPr>
      <w:r>
        <w:t>Career outcome expectations: High (Trend: Increasing)</w:t>
      </w:r>
    </w:p>
    <w:p>
      <w:pPr>
        <w:pStyle w:val="Heading3"/>
      </w:pPr>
      <w:r>
        <w:rPr>
          <w:color w:val="003057"/>
        </w:rPr>
        <w:t>Bargaining Power of Suppliers: Medium (3.0/5)</w:t>
      </w:r>
    </w:p>
    <w:p>
      <w:r>
        <w:rPr>
          <w:b w:val="0"/>
          <w:sz w:val="22"/>
        </w:rPr>
        <w:t>National faculty supply HIGH in most fields; real issue is Durango recruitment (cost of living + salary)</w:t>
      </w:r>
    </w:p>
    <w:p>
      <w:r>
        <w:rPr>
          <w:b/>
          <w:sz w:val="20"/>
        </w:rPr>
        <w:t>Key Indicators:</w:t>
      </w:r>
    </w:p>
    <w:p>
      <w:pPr>
        <w:pStyle w:val="ListBullet"/>
      </w:pPr>
      <w:r>
        <w:t>National faculty supply: High (Trend: Stable)</w:t>
      </w:r>
    </w:p>
    <w:p>
      <w:pPr>
        <w:pStyle w:val="ListBullet"/>
      </w:pPr>
      <w:r>
        <w:t>Durango cost of living barrier: High (Trend: Increasing)</w:t>
      </w:r>
    </w:p>
    <w:p>
      <w:pPr>
        <w:pStyle w:val="ListBullet"/>
      </w:pPr>
      <w:r>
        <w:t>Durango recruitment competitiveness: Below avg (Trend: Worsening)</w:t>
      </w:r>
    </w:p>
    <w:p>
      <w:pPr>
        <w:pStyle w:val="ListBullet"/>
      </w:pPr>
      <w:r>
        <w:t>High-demand fields (nursing, CS, engr): Tight (Trend: Increasing)</w:t>
      </w:r>
    </w:p>
    <w:p>
      <w:pPr>
        <w:pStyle w:val="ListBullet"/>
      </w:pPr>
      <w:r>
        <w:t>Salary competitiveness vs peers: Below avg (Trend: Stable)</w:t>
      </w:r>
    </w:p>
    <w:p>
      <w:pPr>
        <w:pStyle w:val="Heading3"/>
      </w:pPr>
      <w:r>
        <w:rPr>
          <w:color w:val="003057"/>
        </w:rPr>
        <w:t>Threat of Substitutes: Medium (3.0/5)</w:t>
      </w:r>
    </w:p>
    <w:p>
      <w:r>
        <w:rPr>
          <w:b w:val="0"/>
          <w:sz w:val="22"/>
        </w:rPr>
        <w:t>Online/certificates growing nationally, but FLC's place-based brand serves experience-preferring students</w:t>
      </w:r>
    </w:p>
    <w:p>
      <w:r>
        <w:rPr>
          <w:b/>
          <w:sz w:val="20"/>
        </w:rPr>
        <w:t>Key Indicators:</w:t>
      </w:r>
    </w:p>
    <w:p>
      <w:pPr>
        <w:pStyle w:val="ListBullet"/>
      </w:pPr>
      <w:r>
        <w:t>Online degree program growth (national): Rapid (Trend: Increasing)</w:t>
      </w:r>
    </w:p>
    <w:p>
      <w:pPr>
        <w:pStyle w:val="ListBullet"/>
      </w:pPr>
      <w:r>
        <w:t>Micro-credential adoption: Growing (Trend: Increasing)</w:t>
      </w:r>
    </w:p>
    <w:p>
      <w:pPr>
        <w:pStyle w:val="ListBullet"/>
      </w:pPr>
      <w:r>
        <w:t>Community college pathways: Strong (Trend: Increasing)</w:t>
      </w:r>
    </w:p>
    <w:p>
      <w:pPr>
        <w:pStyle w:val="ListBullet"/>
      </w:pPr>
      <w:r>
        <w:t>FLC place-based differentiation: Strong (Trend: Stable)</w:t>
      </w:r>
    </w:p>
    <w:p>
      <w:pPr>
        <w:pStyle w:val="ListBullet"/>
      </w:pPr>
      <w:r>
        <w:t>Are FLC students choosing online? (unverified): Unknown (Trend: Unknown)</w:t>
      </w:r>
    </w:p>
    <w:p>
      <w:pPr>
        <w:pStyle w:val="Heading2"/>
      </w:pPr>
      <w:r>
        <w:rPr>
          <w:color w:val="003057"/>
        </w:rPr>
        <w:t>3. Overall Competitive Assessment</w:t>
      </w:r>
    </w:p>
    <w:p>
      <w:r>
        <w:rPr>
          <w:b w:val="0"/>
          <w:sz w:val="22"/>
        </w:rPr>
        <w:t>The aggregate competitive intensity facing Fort Lewis College is HIGH, with an average force score of 3.4/5 across all five dimensions. Competitive Rivalry (4.0/5) and Bargaining Power of Students (4.0/5) represent the most intense pressures. Online competition, while significant nationally, is unverified specifically for FLC's student population, which is predominantly place-bound and values the residential outdoor experience.</w:t>
      </w:r>
    </w:p>
    <w:p>
      <w:r>
        <w:rPr>
          <w:b w:val="0"/>
          <w:sz w:val="22"/>
        </w:rPr>
        <w:t>FLC's strongest defensive positions are its unique Native American mission and tuition waiver program (which creates a competitive moat for serving Indigenous students), the Durango outdoor recreation lifestyle (which cannot be replicated by online competitors), and the intimate small-college experience with 19-student average class sizes.</w:t>
      </w:r>
    </w:p>
    <w:p>
      <w:pPr>
        <w:pStyle w:val="Heading2"/>
      </w:pPr>
      <w:r>
        <w:rPr>
          <w:color w:val="003057"/>
        </w:rPr>
        <w:t>4. Strategic Implications</w:t>
      </w:r>
    </w:p>
    <w:p>
      <w:pPr>
        <w:pStyle w:val="ListBullet"/>
      </w:pPr>
      <w:r>
        <w:t>Overall competitive intensity is HIGH, but FLC's place-based, experiential value proposition serves a distinct market segment.</w:t>
      </w:r>
    </w:p>
    <w:p>
      <w:pPr>
        <w:pStyle w:val="ListBullet"/>
      </w:pPr>
      <w:r>
        <w:t>FLC's strongest defensive positions: statutory Native American mission (CRS 23-52-105, federal-state contract), outdoor recreation lifestyle, and small class sizes.</w:t>
      </w:r>
    </w:p>
    <w:p>
      <w:pPr>
        <w:pStyle w:val="ListBullet"/>
      </w:pPr>
      <w:r>
        <w:t>Online competition assumed based on national trends but UNVERIFIED for FLC — admitted-but-not-enrolled survey data needed.</w:t>
      </w:r>
    </w:p>
    <w:p>
      <w:pPr>
        <w:pStyle w:val="ListBullet"/>
      </w:pPr>
      <w:r>
        <w:t>Faculty recruitment is a Durango problem (cost of living + salary), not a national supply problem — except in nursing, CS, and engineering.</w:t>
      </w:r>
    </w:p>
    <w:p>
      <w:pPr>
        <w:pStyle w:val="Heading2"/>
      </w:pPr>
      <w:r>
        <w:rPr>
          <w:color w:val="003057"/>
        </w:rPr>
        <w:t>5. Competitive Positioning Recommendations</w:t>
      </w:r>
    </w:p>
    <w:p>
      <w:pPr>
        <w:pStyle w:val="ListBullet"/>
      </w:pPr>
      <w:r>
        <w:t>Double down on experiential/outdoor differentiators that online competitors cannot replicate</w:t>
      </w:r>
    </w:p>
    <w:p>
      <w:pPr>
        <w:pStyle w:val="ListBullet"/>
      </w:pPr>
      <w:r>
        <w:t>Develop strategic pricing and financial aid models to address student price sensitivity</w:t>
      </w:r>
    </w:p>
    <w:p>
      <w:pPr>
        <w:pStyle w:val="ListBullet"/>
      </w:pPr>
      <w:r>
        <w:t>Build transfer-friendly pathways with community colleges rather than competing against them</w:t>
      </w:r>
    </w:p>
    <w:p>
      <w:pPr>
        <w:pStyle w:val="ListBullet"/>
      </w:pPr>
      <w:r>
        <w:t>Invest in unique program offerings (Indigenous education, sustainability, AI) with limited regional competition</w:t>
      </w:r>
    </w:p>
    <w:p>
      <w:pPr>
        <w:pStyle w:val="ListBullet"/>
      </w:pPr>
      <w:r>
        <w:t>Address faculty recruitment challenges through creative compensation and quality-of-life incentives</w:t>
      </w:r>
    </w:p>
    <w:p>
      <w:pPr>
        <w:pStyle w:val="ListBullet"/>
      </w:pPr>
      <w:r>
        <w:t>Expand online offerings strategically to meet student flexibility expectations while preserving residential core</w:t>
      </w:r>
    </w:p>
    <w:p>
      <w:r>
        <w:rPr>
          <w:b w:val="0"/>
          <w:sz w:val="18"/>
        </w:rPr>
        <w:br/>
        <w:t>Source: Porter's Five Forces framework (published research); Applied to FLC institutional data and regional market 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