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Title"/>
      </w:pPr>
      <w:r>
        <w:rPr>
          <w:color w:val="003057"/>
        </w:rPr>
        <w:t>BCG Growth-Share Matrix: Executive Summary</w:t>
      </w:r>
    </w:p>
    <w:p>
      <w:r>
        <w:rPr>
          <w:color w:val="666666"/>
          <w:sz w:val="24"/>
        </w:rPr>
        <w:t>Department Portfolio Analysis for Fort Lewis College</w:t>
      </w:r>
    </w:p>
    <w:p>
      <w:r>
        <w:rPr>
          <w:color w:val="999999"/>
          <w:sz w:val="20"/>
        </w:rPr>
        <w:t>Fort Lewis College | Durango, Colorado | Public Liberal Arts</w:t>
      </w:r>
    </w:p>
    <w:p>
      <w:r>
        <w:t>____________________________________________________________</w:t>
      </w:r>
    </w:p>
    <w:p>
      <w:pPr>
        <w:pStyle w:val="Heading2"/>
      </w:pPr>
      <w:r>
        <w:rPr>
          <w:color w:val="003057"/>
        </w:rPr>
        <w:t>1. Introduction &amp; Methodology</w:t>
      </w:r>
    </w:p>
    <w:p>
      <w:r>
        <w:rPr>
          <w:b w:val="0"/>
          <w:sz w:val="22"/>
        </w:rPr>
        <w:t>The BCG Growth-Share Matrix, adapted from the Boston Consulting Group framework, categorizes FLC's academic departments based on two dimensions: relative market share (measured by percentage of total Student Credit Hours) and growth rate (2-year enrollment change). Programs are classified as Stars, Cash Cows, Question Marks, or Concerns to guide resource allocation priorities.</w:t>
      </w:r>
    </w:p>
    <w:p>
      <w:r>
        <w:rPr>
          <w:b w:val="0"/>
          <w:sz w:val="22"/>
        </w:rPr>
        <w:t>This analysis uses FLC's internal BCG presentation data, which maps 22 academic departments on two axes: (1) the department's share of total Student Credit Hours (SCH) in 2023-24, representing relative market share, and (2) the 2-year percentage change in SCH, representing growth rate. The intersection of these dimensions creates four strategic quadrants.</w:t>
      </w:r>
    </w:p>
    <w:p>
      <w:r>
        <w:rPr>
          <w:b w:val="0"/>
          <w:sz w:val="22"/>
        </w:rPr>
        <w:t>Important terminology note: The traditional BCG framework labels the low-growth/low-share quadrant as 'Dogs.' Fort Lewis College uses the term 'Concerns' to describe these programs, reflecting the need for careful review rather than automatic elimination.</w:t>
      </w:r>
    </w:p>
    <w:p>
      <w:pPr>
        <w:pStyle w:val="Heading2"/>
      </w:pPr>
      <w:r>
        <w:rPr>
          <w:color w:val="003057"/>
        </w:rPr>
        <w:t>2. Quadrant Analysis</w:t>
      </w:r>
    </w:p>
    <w:p>
      <w:pPr>
        <w:pStyle w:val="Heading3"/>
      </w:pPr>
      <w:r>
        <w:rPr>
          <w:color w:val="003057"/>
        </w:rPr>
        <w:t>Stars (High Share, Growing): 2 departments</w:t>
      </w:r>
    </w:p>
    <w:p>
      <w:pPr>
        <w:pStyle w:val="ListBullet"/>
      </w:pPr>
      <w:r>
        <w:t>Business Administration: 5.8% of SCH, +4.0% 2-year change</w:t>
      </w:r>
    </w:p>
    <w:p>
      <w:pPr>
        <w:pStyle w:val="ListBullet"/>
      </w:pPr>
      <w:r>
        <w:t>Psychology: 6.0% of SCH, +3.0% 2-year change</w:t>
      </w:r>
    </w:p>
    <w:p>
      <w:pPr>
        <w:pStyle w:val="Heading3"/>
      </w:pPr>
      <w:r>
        <w:rPr>
          <w:color w:val="003057"/>
        </w:rPr>
        <w:t>Cash Cows (High Share, Declining): 9 departments</w:t>
      </w:r>
    </w:p>
    <w:p>
      <w:pPr>
        <w:pStyle w:val="ListBullet"/>
      </w:pPr>
      <w:r>
        <w:t>English: 10.0% of SCH, -6.0% 2-year change</w:t>
      </w:r>
    </w:p>
    <w:p>
      <w:pPr>
        <w:pStyle w:val="ListBullet"/>
      </w:pPr>
      <w:r>
        <w:t>Mathematics: 8.5% of SCH, -11.0% 2-year change</w:t>
      </w:r>
    </w:p>
    <w:p>
      <w:pPr>
        <w:pStyle w:val="ListBullet"/>
      </w:pPr>
      <w:r>
        <w:t>Health &amp; Human Performance: 7.5% of SCH, -3.0% 2-year change</w:t>
      </w:r>
    </w:p>
    <w:p>
      <w:pPr>
        <w:pStyle w:val="ListBullet"/>
      </w:pPr>
      <w:r>
        <w:t>Biology: 7.0% of SCH, -14.5% 2-year change</w:t>
      </w:r>
    </w:p>
    <w:p>
      <w:pPr>
        <w:pStyle w:val="ListBullet"/>
      </w:pPr>
      <w:r>
        <w:t>Sociology: 6.0% of SCH, -5.5% 2-year change</w:t>
      </w:r>
    </w:p>
    <w:p>
      <w:pPr>
        <w:pStyle w:val="ListBullet"/>
      </w:pPr>
      <w:r>
        <w:t>Performing Arts: 5.5% of SCH, -3.0% 2-year change</w:t>
      </w:r>
    </w:p>
    <w:p>
      <w:pPr>
        <w:pStyle w:val="ListBullet"/>
      </w:pPr>
      <w:r>
        <w:t>Teacher Education: 5.8% of SCH, -2.0% 2-year change</w:t>
      </w:r>
    </w:p>
    <w:p>
      <w:pPr>
        <w:pStyle w:val="ListBullet"/>
      </w:pPr>
      <w:r>
        <w:t>Physics &amp; Engineering: 5.0% of SCH, -1.0% 2-year change</w:t>
      </w:r>
    </w:p>
    <w:p>
      <w:pPr>
        <w:pStyle w:val="ListBullet"/>
      </w:pPr>
      <w:r>
        <w:t>Chemistry: 4.5% of SCH, -4.0% 2-year change</w:t>
      </w:r>
    </w:p>
    <w:p>
      <w:pPr>
        <w:pStyle w:val="Heading3"/>
      </w:pPr>
      <w:r>
        <w:rPr>
          <w:color w:val="003057"/>
        </w:rPr>
        <w:t>Question Marks (Low Share, Growing): 2 departments</w:t>
      </w:r>
    </w:p>
    <w:p>
      <w:pPr>
        <w:pStyle w:val="ListBullet"/>
      </w:pPr>
      <w:r>
        <w:t>Accounting: 1.8% of SCH, +12.0% 2-year change</w:t>
      </w:r>
    </w:p>
    <w:p>
      <w:pPr>
        <w:pStyle w:val="ListBullet"/>
      </w:pPr>
      <w:r>
        <w:t>History: 3.8% of SCH, +3.0% 2-year change</w:t>
      </w:r>
    </w:p>
    <w:p>
      <w:pPr>
        <w:pStyle w:val="Heading3"/>
      </w:pPr>
      <w:r>
        <w:rPr>
          <w:color w:val="003057"/>
        </w:rPr>
        <w:t>Concerns (Low Share, Declining): 9 departments</w:t>
      </w:r>
    </w:p>
    <w:p>
      <w:pPr>
        <w:pStyle w:val="ListBullet"/>
      </w:pPr>
      <w:r>
        <w:t>Geosciences: 4.2% of SCH, -15.5% 2-year change</w:t>
      </w:r>
    </w:p>
    <w:p>
      <w:pPr>
        <w:pStyle w:val="ListBullet"/>
      </w:pPr>
      <w:r>
        <w:t>Art &amp; Design: 2.5% of SCH, -18.0% 2-year change</w:t>
      </w:r>
    </w:p>
    <w:p>
      <w:pPr>
        <w:pStyle w:val="ListBullet"/>
      </w:pPr>
      <w:r>
        <w:t>Economics: 2.5% of SCH, -24.0% 2-year change</w:t>
      </w:r>
    </w:p>
    <w:p>
      <w:pPr>
        <w:pStyle w:val="ListBullet"/>
      </w:pPr>
      <w:r>
        <w:t>Political Science: 1.5% of SCH, -26.0% 2-year change</w:t>
      </w:r>
    </w:p>
    <w:p>
      <w:pPr>
        <w:pStyle w:val="ListBullet"/>
      </w:pPr>
      <w:r>
        <w:t>Anthropology: 2.5% of SCH, -7.5% 2-year change</w:t>
      </w:r>
    </w:p>
    <w:p>
      <w:pPr>
        <w:pStyle w:val="ListBullet"/>
      </w:pPr>
      <w:r>
        <w:t>Environment &amp; Sustainability: 3.0% of SCH, -8.0% 2-year change</w:t>
      </w:r>
    </w:p>
    <w:p>
      <w:pPr>
        <w:pStyle w:val="ListBullet"/>
      </w:pPr>
      <w:r>
        <w:t>Marketing: 1.8% of SCH, -8.0% 2-year change</w:t>
      </w:r>
    </w:p>
    <w:p>
      <w:pPr>
        <w:pStyle w:val="ListBullet"/>
      </w:pPr>
      <w:r>
        <w:t>Adventure Education: 2.0% of SCH, -10.0% 2-year change</w:t>
      </w:r>
    </w:p>
    <w:p>
      <w:pPr>
        <w:pStyle w:val="ListBullet"/>
      </w:pPr>
      <w:r>
        <w:t>Philosophy: 2.2% of SCH, -11.0% 2-year change</w:t>
      </w:r>
    </w:p>
    <w:p>
      <w:pPr>
        <w:pStyle w:val="Heading2"/>
      </w:pPr>
      <w:r>
        <w:rPr>
          <w:color w:val="003057"/>
        </w:rPr>
        <w:t>3. Key Findings</w:t>
      </w:r>
    </w:p>
    <w:p>
      <w:pPr>
        <w:pStyle w:val="ListBullet"/>
      </w:pPr>
      <w:r>
        <w:t>Stars (High Share, Growing): Business Administration and Psychology show strong market share AND growth - invest to maintain.</w:t>
      </w:r>
    </w:p>
    <w:p>
      <w:pPr>
        <w:pStyle w:val="ListBullet"/>
      </w:pPr>
      <w:r>
        <w:t>Cash Cows (High Share, Declining): English, Math, Biology, HHP generate significant SCH but are declining - optimize efficiency.</w:t>
      </w:r>
    </w:p>
    <w:p>
      <w:pPr>
        <w:pStyle w:val="ListBullet"/>
      </w:pPr>
      <w:r>
        <w:t>Question Marks (Low Share, Growing): Accounting and History show growth potential but small share - evaluate investment.</w:t>
      </w:r>
    </w:p>
    <w:p>
      <w:pPr>
        <w:pStyle w:val="ListBullet"/>
      </w:pPr>
      <w:r>
        <w:t>Concern (Low Share, Declining): Political Science, Economics, Art &amp; Design face both low share and steep declines - restructure or sunset.</w:t>
      </w:r>
    </w:p>
    <w:p>
      <w:pPr>
        <w:pStyle w:val="Heading2"/>
      </w:pPr>
      <w:r>
        <w:rPr>
          <w:color w:val="003057"/>
        </w:rPr>
        <w:t>4. Portfolio Health Assessment</w:t>
      </w:r>
    </w:p>
    <w:p>
      <w:r>
        <w:rPr>
          <w:b w:val="0"/>
          <w:sz w:val="22"/>
        </w:rPr>
        <w:t>FLC's academic portfolio shows a concerning imbalance: only 2 of 22 departments (9%) are Stars, while 9 departments (41%) fall in the Concern quadrant. The 9 Cash Cow departments represent the institutional backbone, generating the majority of SCH, but their declining trajectory requires attention. The 2 Question Marks (Accounting and History) present intriguing growth signals that merit further investigation.</w:t>
      </w:r>
    </w:p>
    <w:p>
      <w:r>
        <w:rPr>
          <w:b w:val="0"/>
          <w:sz w:val="22"/>
        </w:rPr>
        <w:t>The heavy concentration in the Concern quadrant is particularly notable. However, several Concern programs (Anthropology, Philosophy, Environment &amp; Sustainability) contribute to FLC's liberal arts mission and general education requirements. Strategic review should balance market metrics with mission contribution and interdisciplinary value.</w:t>
      </w:r>
    </w:p>
    <w:p>
      <w:pPr>
        <w:pStyle w:val="Heading2"/>
      </w:pPr>
      <w:r>
        <w:rPr>
          <w:color w:val="003057"/>
        </w:rPr>
        <w:t>5. Investment Recommendations</w:t>
      </w:r>
    </w:p>
    <w:p>
      <w:pPr>
        <w:pStyle w:val="ListBullet"/>
      </w:pPr>
      <w:r>
        <w:t>Stars: Invest to accelerate growth. Add capacity, online options, and graduate-level offerings in Business Admin and Psychology.</w:t>
      </w:r>
    </w:p>
    <w:p>
      <w:pPr>
        <w:pStyle w:val="ListBullet"/>
      </w:pPr>
      <w:r>
        <w:t>Cash Cows: Optimize for efficiency. Protect SCH generation while reducing per-student costs through class size optimization and cross-listing.</w:t>
      </w:r>
    </w:p>
    <w:p>
      <w:pPr>
        <w:pStyle w:val="ListBullet"/>
      </w:pPr>
      <w:r>
        <w:t>Question Marks: Evaluate selectively. Accounting's 12% growth warrants investment; History's 3% growth needs demand validation.</w:t>
      </w:r>
    </w:p>
    <w:p>
      <w:pPr>
        <w:pStyle w:val="ListBullet"/>
      </w:pPr>
      <w:r>
        <w:t>Concerns: Conduct structured program review. Differentiate between mission-critical programs needing restructuring vs. programs for potential phase-out.</w:t>
      </w:r>
    </w:p>
    <w:p>
      <w:pPr>
        <w:pStyle w:val="ListBullet"/>
      </w:pPr>
      <w:r>
        <w:t>Cross-cutting: Explore interdisciplinary combinations that can revitalize Concern programs by linking them to Star or Cash Cow departments.</w:t>
      </w:r>
    </w:p>
    <w:p>
      <w:r>
        <w:rPr>
          <w:b w:val="0"/>
          <w:sz w:val="18"/>
        </w:rPr>
        <w:br/>
        <w:t>Source: FLC BCG Presentation, BCG-growthMatrixDepts.png, FLC Institutional Data (23-24 SCH)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