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057"/>
        </w:rPr>
        <w:t>PESTLE Analysis: Executive Summary</w:t>
      </w:r>
    </w:p>
    <w:p>
      <w:r>
        <w:rPr>
          <w:color w:val="666666"/>
          <w:sz w:val="24"/>
        </w:rPr>
        <w:t>External Environmental Scan for Fort Lewis College Academic Affairs</w:t>
      </w:r>
    </w:p>
    <w:p>
      <w:r>
        <w:rPr>
          <w:color w:val="999999"/>
          <w:sz w:val="20"/>
        </w:rPr>
        <w:t>Fort Lewis College | Durango, Colorado | Public Liberal Arts</w:t>
      </w:r>
    </w:p>
    <w:p>
      <w:r>
        <w:t>____________________________________________________________</w:t>
      </w:r>
    </w:p>
    <w:p>
      <w:pPr>
        <w:pStyle w:val="Heading2"/>
      </w:pPr>
      <w:r>
        <w:rPr>
          <w:color w:val="003057"/>
        </w:rPr>
        <w:t>1. Introduction &amp; Methodology</w:t>
      </w:r>
    </w:p>
    <w:p>
      <w:r>
        <w:rPr>
          <w:b w:val="0"/>
          <w:sz w:val="22"/>
        </w:rPr>
        <w:t>PESTLE Analysis examines six categories of external macro-environmental factors that influence Fort Lewis College's strategic positioning: Political, Economic, Social, Technological, Legal, and Environmental. This framework identifies forces beyond the institution's direct control that create both risks and opportunities for Academic Affairs. Each factor is assessed for impact severity and directional trend to prioritize strategic responses.</w:t>
      </w:r>
    </w:p>
    <w:p>
      <w:r>
        <w:rPr>
          <w:b w:val="0"/>
          <w:sz w:val="22"/>
        </w:rPr>
        <w:t>This analysis draws on FLC's internal PESTLE report, the External Forces Shaping Fort Lewis College presentation, institutional enrollment data, and the 2025-2030 Strategic Plan. Each of the six PESTLE dimensions was assessed for impact severity (1-5 scale) and directional trend (Positive, Mixed, Negative, Stable, Opportunity).</w:t>
      </w:r>
    </w:p>
    <w:p>
      <w:pPr>
        <w:pStyle w:val="Heading2"/>
      </w:pPr>
      <w:r>
        <w:rPr>
          <w:color w:val="003057"/>
        </w:rPr>
        <w:t>2. Key Findings by Category</w:t>
      </w:r>
    </w:p>
    <w:p>
      <w:pPr>
        <w:pStyle w:val="Heading3"/>
      </w:pPr>
      <w:r>
        <w:rPr>
          <w:color w:val="003057"/>
        </w:rPr>
        <w:t>Political (Impact: High, Trend: Negative)</w:t>
      </w:r>
    </w:p>
    <w:p>
      <w:pPr>
        <w:pStyle w:val="ListBullet"/>
      </w:pPr>
      <w:r>
        <w:t>Colorado state funding volatility for higher education</w:t>
      </w:r>
    </w:p>
    <w:p>
      <w:pPr>
        <w:pStyle w:val="ListBullet"/>
      </w:pPr>
      <w:r>
        <w:t>Federal financial aid policy changes (Pell Grant, Title IV)</w:t>
      </w:r>
    </w:p>
    <w:p>
      <w:pPr>
        <w:pStyle w:val="ListBullet"/>
      </w:pPr>
      <w:r>
        <w:t>Native American tuition waiver mandate (federal obligation)</w:t>
      </w:r>
    </w:p>
    <w:p>
      <w:pPr>
        <w:pStyle w:val="ListBullet"/>
      </w:pPr>
      <w:r>
        <w:t>State performance-based funding models</w:t>
      </w:r>
    </w:p>
    <w:p>
      <w:pPr>
        <w:pStyle w:val="ListBullet"/>
      </w:pPr>
      <w:r>
        <w:t>Political pressure on DEI programs in public institutions</w:t>
      </w:r>
    </w:p>
    <w:p>
      <w:r>
        <w:rPr>
          <w:b/>
          <w:sz w:val="20"/>
        </w:rPr>
        <w:t>Opportunities:</w:t>
      </w:r>
    </w:p>
    <w:p>
      <w:pPr>
        <w:pStyle w:val="ListBullet2"/>
      </w:pPr>
      <w:r>
        <w:t>Leverage federal tribal education funding</w:t>
      </w:r>
    </w:p>
    <w:p>
      <w:pPr>
        <w:pStyle w:val="ListBullet2"/>
      </w:pPr>
      <w:r>
        <w:t>Advocate for rural institution support in state legislature</w:t>
      </w:r>
    </w:p>
    <w:p>
      <w:pPr>
        <w:pStyle w:val="Heading3"/>
      </w:pPr>
      <w:r>
        <w:rPr>
          <w:color w:val="003057"/>
        </w:rPr>
        <w:t>Economic (Impact: High, Trend: Mixed)</w:t>
      </w:r>
    </w:p>
    <w:p>
      <w:pPr>
        <w:pStyle w:val="ListBullet"/>
      </w:pPr>
      <w:r>
        <w:t>Declining state appropriations per student</w:t>
      </w:r>
    </w:p>
    <w:p>
      <w:pPr>
        <w:pStyle w:val="ListBullet"/>
      </w:pPr>
      <w:r>
        <w:t>Rising tuition sensitivity among families</w:t>
      </w:r>
    </w:p>
    <w:p>
      <w:pPr>
        <w:pStyle w:val="ListBullet"/>
      </w:pPr>
      <w:r>
        <w:t>Durango cost of living affecting faculty recruitment</w:t>
      </w:r>
    </w:p>
    <w:p>
      <w:pPr>
        <w:pStyle w:val="ListBullet"/>
      </w:pPr>
      <w:r>
        <w:t>Native American tuition waiver revenue impact (~37% of students)</w:t>
      </w:r>
    </w:p>
    <w:p>
      <w:pPr>
        <w:pStyle w:val="ListBullet"/>
      </w:pPr>
      <w:r>
        <w:t>Economic diversification in Four Corners region</w:t>
      </w:r>
    </w:p>
    <w:p>
      <w:pPr>
        <w:pStyle w:val="ListBullet"/>
      </w:pPr>
      <w:r>
        <w:t>Student debt burden concerns nationally</w:t>
      </w:r>
    </w:p>
    <w:p>
      <w:r>
        <w:rPr>
          <w:b/>
          <w:sz w:val="20"/>
        </w:rPr>
        <w:t>Opportunities:</w:t>
      </w:r>
    </w:p>
    <w:p>
      <w:pPr>
        <w:pStyle w:val="ListBullet2"/>
      </w:pPr>
      <w:r>
        <w:t>Grow graduate programs for additional revenue</w:t>
      </w:r>
    </w:p>
    <w:p>
      <w:pPr>
        <w:pStyle w:val="ListBullet2"/>
      </w:pPr>
      <w:r>
        <w:t>Expand dual enrollment pipeline</w:t>
      </w:r>
    </w:p>
    <w:p>
      <w:pPr>
        <w:pStyle w:val="ListBullet2"/>
      </w:pPr>
      <w:r>
        <w:t>Develop workforce-aligned certificates</w:t>
      </w:r>
    </w:p>
    <w:p>
      <w:pPr>
        <w:pStyle w:val="Heading3"/>
      </w:pPr>
      <w:r>
        <w:rPr>
          <w:color w:val="003057"/>
        </w:rPr>
        <w:t>Social (Impact: High, Trend: Mixed)</w:t>
      </w:r>
    </w:p>
    <w:p>
      <w:pPr>
        <w:pStyle w:val="ListBullet"/>
      </w:pPr>
      <w:r>
        <w:t>Declining college-going rates nationally</w:t>
      </w:r>
    </w:p>
    <w:p>
      <w:pPr>
        <w:pStyle w:val="ListBullet"/>
      </w:pPr>
      <w:r>
        <w:t>Changing student expectations (career-focused outcomes)</w:t>
      </w:r>
    </w:p>
    <w:p>
      <w:pPr>
        <w:pStyle w:val="ListBullet"/>
      </w:pPr>
      <w:r>
        <w:t>Growing demand for flexible/hybrid learning</w:t>
      </w:r>
    </w:p>
    <w:p>
      <w:pPr>
        <w:pStyle w:val="ListBullet"/>
      </w:pPr>
      <w:r>
        <w:t>FLC unique mission serving Native American students (166 tribes)</w:t>
      </w:r>
    </w:p>
    <w:p>
      <w:pPr>
        <w:pStyle w:val="ListBullet"/>
      </w:pPr>
      <w:r>
        <w:t>First-generation students (43%) need additional support</w:t>
      </w:r>
    </w:p>
    <w:p>
      <w:pPr>
        <w:pStyle w:val="ListBullet"/>
      </w:pPr>
      <w:r>
        <w:t>Mental health and wellness demands increasing</w:t>
      </w:r>
    </w:p>
    <w:p>
      <w:r>
        <w:rPr>
          <w:b/>
          <w:sz w:val="20"/>
        </w:rPr>
        <w:t>Opportunities:</w:t>
      </w:r>
    </w:p>
    <w:p>
      <w:pPr>
        <w:pStyle w:val="ListBullet2"/>
      </w:pPr>
      <w:r>
        <w:t>Outdoor recreation lifestyle as recruitment differentiator</w:t>
      </w:r>
    </w:p>
    <w:p>
      <w:pPr>
        <w:pStyle w:val="ListBullet2"/>
      </w:pPr>
      <w:r>
        <w:t>Indigenous education leadership positioning</w:t>
      </w:r>
    </w:p>
    <w:p>
      <w:pPr>
        <w:pStyle w:val="ListBullet2"/>
      </w:pPr>
      <w:r>
        <w:t>Experiential learning emphasis</w:t>
      </w:r>
    </w:p>
    <w:p>
      <w:pPr>
        <w:pStyle w:val="Heading3"/>
      </w:pPr>
      <w:r>
        <w:rPr>
          <w:color w:val="003057"/>
        </w:rPr>
        <w:t>Technological (Impact: Medium, Trend: Opportunity)</w:t>
      </w:r>
    </w:p>
    <w:p>
      <w:pPr>
        <w:pStyle w:val="ListBullet"/>
      </w:pPr>
      <w:r>
        <w:t>AI disruption in curriculum and pedagogy</w:t>
      </w:r>
    </w:p>
    <w:p>
      <w:pPr>
        <w:pStyle w:val="ListBullet"/>
      </w:pPr>
      <w:r>
        <w:t>Need for technology infrastructure upgrades</w:t>
      </w:r>
    </w:p>
    <w:p>
      <w:pPr>
        <w:pStyle w:val="ListBullet"/>
      </w:pPr>
      <w:r>
        <w:t>Online/hybrid program delivery expectations</w:t>
      </w:r>
    </w:p>
    <w:p>
      <w:pPr>
        <w:pStyle w:val="ListBullet"/>
      </w:pPr>
      <w:r>
        <w:t>Data analytics for student success and retention</w:t>
      </w:r>
    </w:p>
    <w:p>
      <w:pPr>
        <w:pStyle w:val="ListBullet"/>
      </w:pPr>
      <w:r>
        <w:t>AI Institute at FLC as emerging strength</w:t>
      </w:r>
    </w:p>
    <w:p>
      <w:r>
        <w:rPr>
          <w:b/>
          <w:sz w:val="20"/>
        </w:rPr>
        <w:t>Opportunities:</w:t>
      </w:r>
    </w:p>
    <w:p>
      <w:pPr>
        <w:pStyle w:val="ListBullet2"/>
      </w:pPr>
      <w:r>
        <w:t>AI Institute partnerships and growth</w:t>
      </w:r>
    </w:p>
    <w:p>
      <w:pPr>
        <w:pStyle w:val="ListBullet2"/>
      </w:pPr>
      <w:r>
        <w:t>Technology-enhanced experiential learning</w:t>
      </w:r>
    </w:p>
    <w:p>
      <w:pPr>
        <w:pStyle w:val="ListBullet2"/>
      </w:pPr>
      <w:r>
        <w:t>Online graduate program expansion</w:t>
      </w:r>
    </w:p>
    <w:p>
      <w:pPr>
        <w:pStyle w:val="Heading3"/>
      </w:pPr>
      <w:r>
        <w:rPr>
          <w:color w:val="003057"/>
        </w:rPr>
        <w:t>Legal (Impact: Medium, Trend: Stable)</w:t>
      </w:r>
    </w:p>
    <w:p>
      <w:pPr>
        <w:pStyle w:val="ListBullet"/>
      </w:pPr>
      <w:r>
        <w:t>Accreditation compliance requirements (HLC)</w:t>
      </w:r>
    </w:p>
    <w:p>
      <w:pPr>
        <w:pStyle w:val="ListBullet"/>
      </w:pPr>
      <w:r>
        <w:t>Title IX and student safety regulations</w:t>
      </w:r>
    </w:p>
    <w:p>
      <w:pPr>
        <w:pStyle w:val="ListBullet"/>
      </w:pPr>
      <w:r>
        <w:t>Federal reporting mandates (IPEDS)</w:t>
      </w:r>
    </w:p>
    <w:p>
      <w:pPr>
        <w:pStyle w:val="ListBullet"/>
      </w:pPr>
      <w:r>
        <w:t>Employment law for faculty/staff</w:t>
      </w:r>
    </w:p>
    <w:p>
      <w:pPr>
        <w:pStyle w:val="ListBullet"/>
      </w:pPr>
      <w:r>
        <w:t>Tribal sovereignty considerations in partnerships</w:t>
      </w:r>
    </w:p>
    <w:p>
      <w:r>
        <w:rPr>
          <w:b/>
          <w:sz w:val="20"/>
        </w:rPr>
        <w:t>Opportunities:</w:t>
      </w:r>
    </w:p>
    <w:p>
      <w:pPr>
        <w:pStyle w:val="ListBullet2"/>
      </w:pPr>
      <w:r>
        <w:t>Streamlined accreditation through proactive compliance</w:t>
      </w:r>
    </w:p>
    <w:p>
      <w:pPr>
        <w:pStyle w:val="ListBullet2"/>
      </w:pPr>
      <w:r>
        <w:t>Tribal education partnership agreements</w:t>
      </w:r>
    </w:p>
    <w:p>
      <w:pPr>
        <w:pStyle w:val="Heading3"/>
      </w:pPr>
      <w:r>
        <w:rPr>
          <w:color w:val="003057"/>
        </w:rPr>
        <w:t>Environmental (Impact: Medium, Trend: Opportunity)</w:t>
      </w:r>
    </w:p>
    <w:p>
      <w:pPr>
        <w:pStyle w:val="ListBullet"/>
      </w:pPr>
      <w:r>
        <w:t>Climate change impacts on Durango/mountain region</w:t>
      </w:r>
    </w:p>
    <w:p>
      <w:pPr>
        <w:pStyle w:val="ListBullet"/>
      </w:pPr>
      <w:r>
        <w:t>Campus sustainability expectations from students</w:t>
      </w:r>
    </w:p>
    <w:p>
      <w:pPr>
        <w:pStyle w:val="ListBullet"/>
      </w:pPr>
      <w:r>
        <w:t>Environmental science as program strength</w:t>
      </w:r>
    </w:p>
    <w:p>
      <w:pPr>
        <w:pStyle w:val="ListBullet"/>
      </w:pPr>
      <w:r>
        <w:t>Outdoor recreation economy dependency on climate</w:t>
      </w:r>
    </w:p>
    <w:p>
      <w:pPr>
        <w:pStyle w:val="ListBullet"/>
      </w:pPr>
      <w:r>
        <w:t>Wildfire risk to campus and community</w:t>
      </w:r>
    </w:p>
    <w:p>
      <w:r>
        <w:rPr>
          <w:b/>
          <w:sz w:val="20"/>
        </w:rPr>
        <w:t>Opportunities:</w:t>
      </w:r>
    </w:p>
    <w:p>
      <w:pPr>
        <w:pStyle w:val="ListBullet2"/>
      </w:pPr>
      <w:r>
        <w:t>Position as leader in sustainability education</w:t>
      </w:r>
    </w:p>
    <w:p>
      <w:pPr>
        <w:pStyle w:val="ListBullet2"/>
      </w:pPr>
      <w:r>
        <w:t>Climate resilience research opportunities</w:t>
      </w:r>
    </w:p>
    <w:p>
      <w:pPr>
        <w:pStyle w:val="ListBullet2"/>
      </w:pPr>
      <w:r>
        <w:t>Green campus initiatives for recruitment</w:t>
      </w:r>
    </w:p>
    <w:p>
      <w:pPr>
        <w:pStyle w:val="Heading2"/>
      </w:pPr>
      <w:r>
        <w:rPr>
          <w:color w:val="003057"/>
        </w:rPr>
        <w:t>3. Impact Assessment Summary</w:t>
      </w:r>
    </w:p>
    <w:p>
      <w:r>
        <w:rPr>
          <w:b w:val="0"/>
          <w:sz w:val="22"/>
        </w:rPr>
        <w:t>The highest-impact categories are Economic (5/5) and Political/Social (4/5 each). Economic factors—particularly state funding volatility, tuition sensitivity, and the revenue impact of the Native American tuition waiver—represent the most significant external pressures on FLC's financial model. Political factors including performance-based funding and pressure on DEI programs add further uncertainty. Social factors, notably declining college-going rates and shifting student expectations toward career outcomes, require programmatic adaptation.</w:t>
      </w:r>
    </w:p>
    <w:p>
      <w:r>
        <w:rPr>
          <w:b w:val="0"/>
          <w:sz w:val="22"/>
        </w:rPr>
        <w:t>Technological, Legal, and Environmental factors are rated Medium impact (3/5) but present notable opportunities. The AI Institute, online program expansion, and sustainability leadership represent areas where FLC can differentiate and grow.</w:t>
      </w:r>
    </w:p>
    <w:p>
      <w:pPr>
        <w:pStyle w:val="Heading2"/>
      </w:pPr>
      <w:r>
        <w:rPr>
          <w:color w:val="003057"/>
        </w:rPr>
        <w:t>4. Strategic Implications for Academic Affairs</w:t>
      </w:r>
    </w:p>
    <w:p>
      <w:r>
        <w:rPr>
          <w:b w:val="0"/>
          <w:sz w:val="22"/>
        </w:rPr>
        <w:t>The PESTLE analysis reveals that FLC operates in an environment where external economic and political pressures demand proactive financial diversification. The institution cannot rely solely on traditional state funding and in-person tuition revenue. Key strategic imperatives include: (1) diversifying revenue through graduate programs and online offerings, (2) strengthening the dual enrollment pipeline as a hedge against declining first-year enrollment, (3) leveraging the Native American mission as a unique competitive advantage rather than viewing it solely as a cost center, and (4) investing in technology and AI capabilities as both a program differentiator and operational efficiency driver.</w:t>
      </w:r>
    </w:p>
    <w:p>
      <w:pPr>
        <w:pStyle w:val="Heading2"/>
      </w:pPr>
      <w:r>
        <w:rPr>
          <w:color w:val="003057"/>
        </w:rPr>
        <w:t>5. Recommendations</w:t>
      </w:r>
    </w:p>
    <w:p>
      <w:pPr>
        <w:pStyle w:val="ListBullet"/>
      </w:pPr>
      <w:r>
        <w:t>Prioritize revenue diversification through graduate program expansion and online course development</w:t>
      </w:r>
    </w:p>
    <w:p>
      <w:pPr>
        <w:pStyle w:val="ListBullet"/>
      </w:pPr>
      <w:r>
        <w:t>Strengthen advocacy for state funding while reducing dependency through alternative revenue streams</w:t>
      </w:r>
    </w:p>
    <w:p>
      <w:pPr>
        <w:pStyle w:val="ListBullet"/>
      </w:pPr>
      <w:r>
        <w:t>Position Indigenous education mission as a national leadership opportunity attracting federal grants</w:t>
      </w:r>
    </w:p>
    <w:p>
      <w:pPr>
        <w:pStyle w:val="ListBullet"/>
      </w:pPr>
      <w:r>
        <w:t>Invest in AI Institute and sustainability programs as emerging institutional differentiators</w:t>
      </w:r>
    </w:p>
    <w:p>
      <w:pPr>
        <w:pStyle w:val="ListBullet"/>
      </w:pPr>
      <w:r>
        <w:t>Develop workforce-aligned certificates and micro-credentials to address student career expectations</w:t>
      </w:r>
    </w:p>
    <w:p>
      <w:pPr>
        <w:pStyle w:val="ListBullet"/>
      </w:pPr>
      <w:r>
        <w:t>Build data-driven retention programs targeting equity gaps in First-Gen and Pell-eligible populations</w:t>
      </w:r>
    </w:p>
    <w:p>
      <w:r>
        <w:rPr>
          <w:b w:val="0"/>
          <w:sz w:val="18"/>
        </w:rPr>
        <w:br/>
        <w:t>Source: FLC PESTLE Report, External Forces Shaping FLC presentation, FLC Institutional Data, 2025-2030 Strategic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