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057"/>
        </w:rPr>
        <w:t>Porter's Five Forces: Executive Summary</w:t>
      </w:r>
    </w:p>
    <w:p>
      <w:r>
        <w:rPr>
          <w:color w:val="666666"/>
          <w:sz w:val="24"/>
        </w:rPr>
        <w:t>Competitive Analysis of FLC's Higher Education Market</w:t>
      </w:r>
    </w:p>
    <w:p>
      <w:r>
        <w:rPr>
          <w:color w:val="999999"/>
          <w:sz w:val="20"/>
        </w:rPr>
        <w:t>Fort Lewis College | Durango, Colorado | Public Liberal Arts</w:t>
      </w:r>
    </w:p>
    <w:p>
      <w:r>
        <w:t>____________________________________________________________</w:t>
      </w:r>
    </w:p>
    <w:p>
      <w:pPr>
        <w:pStyle w:val="Heading2"/>
      </w:pPr>
      <w:r>
        <w:rPr>
          <w:color w:val="003057"/>
        </w:rPr>
        <w:t>1. Introduction &amp; Methodology</w:t>
      </w:r>
    </w:p>
    <w:p>
      <w:r>
        <w:rPr>
          <w:b w:val="0"/>
          <w:sz w:val="22"/>
        </w:rPr>
        <w:t>Porter's Five Forces framework assesses the competitive intensity and attractiveness of the higher education market in which Fort Lewis College operates. By analyzing the threat of new entrants, bargaining power of suppliers (faculty/vendors) and buyers (students), threat of substitutes, and rivalry among existing competitors, this model reveals FLC's competitive position and informs differentiation strategy.</w:t>
      </w:r>
    </w:p>
    <w:p>
      <w:r>
        <w:rPr>
          <w:b w:val="0"/>
          <w:sz w:val="22"/>
        </w:rPr>
        <w:t>This analysis applies Porter's framework using published higher education competitive research methodologies combined with FLC institutional data, enrollment trends, and regional market intelligence. Each force is rated on a 1-5 scale (Low to High competitive intensity) with supporting indicators and trend analysis.</w:t>
      </w:r>
    </w:p>
    <w:p>
      <w:pPr>
        <w:pStyle w:val="Heading2"/>
      </w:pPr>
      <w:r>
        <w:rPr>
          <w:color w:val="003057"/>
        </w:rPr>
        <w:t>2. Analysis of Five Forces</w:t>
      </w:r>
    </w:p>
    <w:p>
      <w:pPr>
        <w:pStyle w:val="Heading3"/>
      </w:pPr>
      <w:r>
        <w:rPr>
          <w:color w:val="003057"/>
        </w:rPr>
        <w:t>Competitive Rivalry: High (4.5/5)</w:t>
      </w:r>
    </w:p>
    <w:p>
      <w:r>
        <w:rPr>
          <w:b w:val="0"/>
          <w:sz w:val="22"/>
        </w:rPr>
        <w:t>Intense competition from CU system, CSU, Western Colorado, and online programs</w:t>
      </w:r>
    </w:p>
    <w:p>
      <w:r>
        <w:rPr>
          <w:b/>
          <w:sz w:val="20"/>
        </w:rPr>
        <w:t>Key Indicators:</w:t>
      </w:r>
    </w:p>
    <w:p>
      <w:pPr>
        <w:pStyle w:val="ListBullet"/>
      </w:pPr>
      <w:r>
        <w:t>Number of competing institutions in CO: 30+ (Trend: Increasing)</w:t>
      </w:r>
    </w:p>
    <w:p>
      <w:pPr>
        <w:pStyle w:val="ListBullet"/>
      </w:pPr>
      <w:r>
        <w:t>FLC market share of CO HS graduates: ~2% (Trend: Stable)</w:t>
      </w:r>
    </w:p>
    <w:p>
      <w:pPr>
        <w:pStyle w:val="ListBullet"/>
      </w:pPr>
      <w:r>
        <w:t>Enrollment change vs peers: -2.5% (Trend: Declining)</w:t>
      </w:r>
    </w:p>
    <w:p>
      <w:pPr>
        <w:pStyle w:val="ListBullet"/>
      </w:pPr>
      <w:r>
        <w:t>Tuition discount rate pressure: High (Trend: Increasing)</w:t>
      </w:r>
    </w:p>
    <w:p>
      <w:pPr>
        <w:pStyle w:val="ListBullet"/>
      </w:pPr>
      <w:r>
        <w:t>Online program competition: Significant (Trend: Increasing)</w:t>
      </w:r>
    </w:p>
    <w:p>
      <w:pPr>
        <w:pStyle w:val="Heading3"/>
      </w:pPr>
      <w:r>
        <w:rPr>
          <w:color w:val="003057"/>
        </w:rPr>
        <w:t>Threat of New Entrants: Medium-High (3.5/5)</w:t>
      </w:r>
    </w:p>
    <w:p>
      <w:r>
        <w:rPr>
          <w:b w:val="0"/>
          <w:sz w:val="22"/>
        </w:rPr>
        <w:t>Online programs and micro-credentials lowering traditional barriers to entry</w:t>
      </w:r>
    </w:p>
    <w:p>
      <w:r>
        <w:rPr>
          <w:b/>
          <w:sz w:val="20"/>
        </w:rPr>
        <w:t>Key Indicators:</w:t>
      </w:r>
    </w:p>
    <w:p>
      <w:pPr>
        <w:pStyle w:val="ListBullet"/>
      </w:pPr>
      <w:r>
        <w:t>Accreditation barriers: High (Trend: Stable)</w:t>
      </w:r>
    </w:p>
    <w:p>
      <w:pPr>
        <w:pStyle w:val="ListBullet"/>
      </w:pPr>
      <w:r>
        <w:t>Online program launches (competing): Growing (Trend: Increasing)</w:t>
      </w:r>
    </w:p>
    <w:p>
      <w:pPr>
        <w:pStyle w:val="ListBullet"/>
      </w:pPr>
      <w:r>
        <w:t>Boot camp / certificate programs: Moderate (Trend: Increasing)</w:t>
      </w:r>
    </w:p>
    <w:p>
      <w:pPr>
        <w:pStyle w:val="ListBullet"/>
      </w:pPr>
      <w:r>
        <w:t>Community college expansion: Active (Trend: Increasing)</w:t>
      </w:r>
    </w:p>
    <w:p>
      <w:pPr>
        <w:pStyle w:val="ListBullet"/>
      </w:pPr>
      <w:r>
        <w:t>Capital requirements barrier: Moderate (Trend: Decreasing)</w:t>
      </w:r>
    </w:p>
    <w:p>
      <w:pPr>
        <w:pStyle w:val="Heading3"/>
      </w:pPr>
      <w:r>
        <w:rPr>
          <w:color w:val="003057"/>
        </w:rPr>
        <w:t>Bargaining Power of Students: High (4.0/5)</w:t>
      </w:r>
    </w:p>
    <w:p>
      <w:r>
        <w:rPr>
          <w:b w:val="0"/>
          <w:sz w:val="22"/>
        </w:rPr>
        <w:t>Students have many choices; FLC must compete on value, experience, and outcomes</w:t>
      </w:r>
    </w:p>
    <w:p>
      <w:r>
        <w:rPr>
          <w:b/>
          <w:sz w:val="20"/>
        </w:rPr>
        <w:t>Key Indicators:</w:t>
      </w:r>
    </w:p>
    <w:p>
      <w:pPr>
        <w:pStyle w:val="ListBullet"/>
      </w:pPr>
      <w:r>
        <w:t>Yield rate (confirmed to enrolled): ~87% (Trend: Improving)</w:t>
      </w:r>
    </w:p>
    <w:p>
      <w:pPr>
        <w:pStyle w:val="ListBullet"/>
      </w:pPr>
      <w:r>
        <w:t>Summer melt rate (FY): 12.9% (Trend: Improving)</w:t>
      </w:r>
    </w:p>
    <w:p>
      <w:pPr>
        <w:pStyle w:val="ListBullet"/>
      </w:pPr>
      <w:r>
        <w:t>Transfer-out competition: Moderate (Trend: Stable)</w:t>
      </w:r>
    </w:p>
    <w:p>
      <w:pPr>
        <w:pStyle w:val="ListBullet"/>
      </w:pPr>
      <w:r>
        <w:t>Price sensitivity: High (Trend: Increasing)</w:t>
      </w:r>
    </w:p>
    <w:p>
      <w:pPr>
        <w:pStyle w:val="ListBullet"/>
      </w:pPr>
      <w:r>
        <w:t>Information transparency: High (Trend: Increasing)</w:t>
      </w:r>
    </w:p>
    <w:p>
      <w:pPr>
        <w:pStyle w:val="Heading3"/>
      </w:pPr>
      <w:r>
        <w:rPr>
          <w:color w:val="003057"/>
        </w:rPr>
        <w:t>Bargaining Power of Suppliers: Medium-High (3.5/5)</w:t>
      </w:r>
    </w:p>
    <w:p>
      <w:r>
        <w:rPr>
          <w:b w:val="0"/>
          <w:sz w:val="22"/>
        </w:rPr>
        <w:t>Faculty recruitment challenging due to remote location and salary competition</w:t>
      </w:r>
    </w:p>
    <w:p>
      <w:r>
        <w:rPr>
          <w:b/>
          <w:sz w:val="20"/>
        </w:rPr>
        <w:t>Key Indicators:</w:t>
      </w:r>
    </w:p>
    <w:p>
      <w:pPr>
        <w:pStyle w:val="ListBullet"/>
      </w:pPr>
      <w:r>
        <w:t>Faculty with terminal degrees: 98% (Trend: Stable)</w:t>
      </w:r>
    </w:p>
    <w:p>
      <w:pPr>
        <w:pStyle w:val="ListBullet"/>
      </w:pPr>
      <w:r>
        <w:t>Durango cost of living: High (Trend: Increasing)</w:t>
      </w:r>
    </w:p>
    <w:p>
      <w:pPr>
        <w:pStyle w:val="ListBullet"/>
      </w:pPr>
      <w:r>
        <w:t>Specialized faculty scarcity: Moderate (Trend: Increasing)</w:t>
      </w:r>
    </w:p>
    <w:p>
      <w:pPr>
        <w:pStyle w:val="ListBullet"/>
      </w:pPr>
      <w:r>
        <w:t>Technology vendor dependency: Moderate (Trend: Stable)</w:t>
      </w:r>
    </w:p>
    <w:p>
      <w:pPr>
        <w:pStyle w:val="ListBullet"/>
      </w:pPr>
      <w:r>
        <w:t>Salary competitiveness vs peers: Below avg (Trend: Stable)</w:t>
      </w:r>
    </w:p>
    <w:p>
      <w:pPr>
        <w:pStyle w:val="Heading3"/>
      </w:pPr>
      <w:r>
        <w:rPr>
          <w:color w:val="003057"/>
        </w:rPr>
        <w:t>Threat of Substitutes: Medium-High (3.5/5)</w:t>
      </w:r>
    </w:p>
    <w:p>
      <w:r>
        <w:rPr>
          <w:b w:val="0"/>
          <w:sz w:val="22"/>
        </w:rPr>
        <w:t>Online degrees, certificates, and workforce programs offer alternatives to 4-year degree</w:t>
      </w:r>
    </w:p>
    <w:p>
      <w:r>
        <w:rPr>
          <w:b/>
          <w:sz w:val="20"/>
        </w:rPr>
        <w:t>Key Indicators:</w:t>
      </w:r>
    </w:p>
    <w:p>
      <w:pPr>
        <w:pStyle w:val="ListBullet"/>
      </w:pPr>
      <w:r>
        <w:t>Online degree program growth: Rapid (Trend: Increasing)</w:t>
      </w:r>
    </w:p>
    <w:p>
      <w:pPr>
        <w:pStyle w:val="ListBullet"/>
      </w:pPr>
      <w:r>
        <w:t>Micro-credential adoption: Growing (Trend: Increasing)</w:t>
      </w:r>
    </w:p>
    <w:p>
      <w:pPr>
        <w:pStyle w:val="ListBullet"/>
      </w:pPr>
      <w:r>
        <w:t>Community college pathways: Strong (Trend: Increasing)</w:t>
      </w:r>
    </w:p>
    <w:p>
      <w:pPr>
        <w:pStyle w:val="ListBullet"/>
      </w:pPr>
      <w:r>
        <w:t>Employer credential acceptance: Expanding (Trend: Increasing)</w:t>
      </w:r>
    </w:p>
    <w:p>
      <w:pPr>
        <w:pStyle w:val="ListBullet"/>
      </w:pPr>
      <w:r>
        <w:t>FLC experiential differentiation: Strong (Trend: Stable)</w:t>
      </w:r>
    </w:p>
    <w:p>
      <w:pPr>
        <w:pStyle w:val="Heading2"/>
      </w:pPr>
      <w:r>
        <w:rPr>
          <w:color w:val="003057"/>
        </w:rPr>
        <w:t>3. Overall Competitive Assessment</w:t>
      </w:r>
    </w:p>
    <w:p>
      <w:r>
        <w:rPr>
          <w:b w:val="0"/>
          <w:sz w:val="22"/>
        </w:rPr>
        <w:t>The aggregate competitive intensity facing Fort Lewis College is HIGH, with an average force score of 3.8/5 across all five dimensions. Competitive Rivalry (4.5/5) and Bargaining Power of Students (4.0/5) represent the most intense pressures. The higher education market in Colorado features 30+ competing institutions, robust online program offerings from larger universities, and increasing student price sensitivity.</w:t>
      </w:r>
    </w:p>
    <w:p>
      <w:r>
        <w:rPr>
          <w:b w:val="0"/>
          <w:sz w:val="22"/>
        </w:rPr>
        <w:t>FLC's strongest defensive positions are its unique Native American mission and tuition waiver program (which creates a competitive moat for serving Indigenous students), the Durango outdoor recreation lifestyle (which cannot be replicated by online competitors), and the intimate small-college experience with 19-student average class sizes.</w:t>
      </w:r>
    </w:p>
    <w:p>
      <w:pPr>
        <w:pStyle w:val="Heading2"/>
      </w:pPr>
      <w:r>
        <w:rPr>
          <w:color w:val="003057"/>
        </w:rPr>
        <w:t>4. Strategic Implications</w:t>
      </w:r>
    </w:p>
    <w:p>
      <w:pPr>
        <w:pStyle w:val="ListBullet"/>
      </w:pPr>
      <w:r>
        <w:t>Overall competitive intensity is HIGH - FLC operates in a challenging market requiring clear differentiation.</w:t>
      </w:r>
    </w:p>
    <w:p>
      <w:pPr>
        <w:pStyle w:val="ListBullet"/>
      </w:pPr>
      <w:r>
        <w:t>FLC's strongest defensive positions: unique Native American mission, outdoor recreation lifestyle, and small liberal arts experience.</w:t>
      </w:r>
    </w:p>
    <w:p>
      <w:pPr>
        <w:pStyle w:val="ListBullet"/>
      </w:pPr>
      <w:r>
        <w:t>Greatest threats: online competition eroding geographic advantage, student price sensitivity, and faculty recruitment in Durango.</w:t>
      </w:r>
    </w:p>
    <w:p>
      <w:pPr>
        <w:pStyle w:val="ListBullet"/>
      </w:pPr>
      <w:r>
        <w:t>Strategic imperative: Leverage unique mission and location as competitive moats while expanding program relevance.</w:t>
      </w:r>
    </w:p>
    <w:p>
      <w:pPr>
        <w:pStyle w:val="Heading2"/>
      </w:pPr>
      <w:r>
        <w:rPr>
          <w:color w:val="003057"/>
        </w:rPr>
        <w:t>5. Competitive Positioning Recommendations</w:t>
      </w:r>
    </w:p>
    <w:p>
      <w:pPr>
        <w:pStyle w:val="ListBullet"/>
      </w:pPr>
      <w:r>
        <w:t>Double down on experiential/outdoor differentiators that online competitors cannot replicate</w:t>
      </w:r>
    </w:p>
    <w:p>
      <w:pPr>
        <w:pStyle w:val="ListBullet"/>
      </w:pPr>
      <w:r>
        <w:t>Develop strategic pricing and financial aid models to address student price sensitivity</w:t>
      </w:r>
    </w:p>
    <w:p>
      <w:pPr>
        <w:pStyle w:val="ListBullet"/>
      </w:pPr>
      <w:r>
        <w:t>Build transfer-friendly pathways with community colleges rather than competing against them</w:t>
      </w:r>
    </w:p>
    <w:p>
      <w:pPr>
        <w:pStyle w:val="ListBullet"/>
      </w:pPr>
      <w:r>
        <w:t>Invest in unique program offerings (Indigenous education, sustainability, AI) with limited regional competition</w:t>
      </w:r>
    </w:p>
    <w:p>
      <w:pPr>
        <w:pStyle w:val="ListBullet"/>
      </w:pPr>
      <w:r>
        <w:t>Address faculty recruitment challenges through creative compensation and quality-of-life incentives</w:t>
      </w:r>
    </w:p>
    <w:p>
      <w:pPr>
        <w:pStyle w:val="ListBullet"/>
      </w:pPr>
      <w:r>
        <w:t>Expand online offerings strategically to meet student flexibility expectations while preserving residential core</w:t>
      </w:r>
    </w:p>
    <w:p>
      <w:r>
        <w:rPr>
          <w:b w:val="0"/>
          <w:sz w:val="18"/>
        </w:rPr>
        <w:br/>
        <w:t>Source: Porter's Five Forces framework (published research); Applied to FLC institutional data and regional market intelligence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