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qlrmsxv671mm" w:id="0"/>
      <w:bookmarkEnd w:id="0"/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a15unami30k" w:id="1"/>
      <w:bookmarkEnd w:id="1"/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Zdefiniować klasę Miasto: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Nazwa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uint populacja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powierzchnia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właściwość lub metoda getera obliczająca i zwracająca gęstość zaludnienia (populacja/powierzchnia), typ double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Przetestować na kilku przypadkach, np Gdańsk, Gdynia, Sopot, wypisując w każdym wypadku “gęstość zaludnienia miasta {0} wynosi {1} os/km2”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Można dodać walidację powierzchni, aby była większa od 0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7xpc1oepisk" w:id="2"/>
      <w:bookmarkEnd w:id="2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Zdefiniować klasę Temperatura: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 double StopnieCelsjusza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właściwość lub metody dostępowe typu double StopnieKelvina; geter ma wyliczyć stopnie Kelvina ze stopni Celsjusza robiąc odpowiednie przesunięcie; seter ma sprawdzić, czy wartość jest większa lub równa zero i jeśli tak przypisać odpowiednie stopnie celsjusza; jeśli nie, wyrzucić wyjątek o złej wartości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właściwość lub metody dostępowe typu double StopnieFahrenheita, stosujące odpowiednią konwersję z i na stopnie celsjusza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Przetestować na kilku przypadkach, np dla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0, 100, 36,6 celsjusza wypisać wartości w pozostałych skalach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0K na pozostałe skale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0F i 100F na pozostałe skale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Można dodać hermetyzację: StopnieCelsjusza i StopnieFahrenheita, aby nie schodzić poniżej zera absolutnego</w:t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v0w0pi5cfxy5" w:id="3"/>
      <w:bookmarkEnd w:id="3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kq4tr9niyqet" w:id="4"/>
      <w:bookmarkEnd w:id="4"/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Zdefiniować klasę </w:t>
      </w:r>
      <w:r w:rsidDel="00000000" w:rsidR="00000000" w:rsidRPr="00000000">
        <w:rPr>
          <w:i w:val="1"/>
          <w:rtl w:val="0"/>
        </w:rPr>
        <w:t xml:space="preserve">Koło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środek: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albo robimy kolekcję (krotkę) dwuelementową na współrzędne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albo dwa osobne pola typu double: środekX i środekY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promień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obwód (tylko do odczytu)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pole (tylko do odczytu)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Przetestować: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utworzyć koła: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(0,0), r = 1;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(1,0), r = 1;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(0,1), r = 2;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(0, 0.5), r = 0.3;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wypisać obwody i pola tych kół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przestawić współrzędną X środka na 2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zwiększyć promień dwukrotnie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ponownie wypisać obwody i pola tych kół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38nj5rek7t5r" w:id="5"/>
      <w:bookmarkEnd w:id="5"/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 klasy z punktu A dodać metody: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czyWKole (double x, double y) - sprawdza, czy podany punkt jest w kole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czyNaOkręgu (double x, double y) - sprawdza, czy podany punkt jest na brzegu koła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Przetestować: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koło s = (1,1), r = 2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punkty: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(1,1) - powinien być w środku, ale nie na okręgu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(1,3) - powinien być w środku i na okręgu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(1,4) - nie powinien być ani w środku ani na okręgu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Uwaga: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porównanie wartości double </w:t>
      </w:r>
      <w:r w:rsidDel="00000000" w:rsidR="00000000" w:rsidRPr="00000000">
        <w:rPr>
          <w:i w:val="1"/>
          <w:rtl w:val="0"/>
        </w:rPr>
        <w:t xml:space="preserve">w1 == 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  <w:t xml:space="preserve">powinniśmy zastąpić przez Math.Abs(</w:t>
      </w:r>
      <w:r w:rsidDel="00000000" w:rsidR="00000000" w:rsidRPr="00000000">
        <w:rPr>
          <w:i w:val="1"/>
          <w:rtl w:val="0"/>
        </w:rPr>
        <w:t xml:space="preserve">w1 - w2) &lt; dokładność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l08y2wwqcrh" w:id="6"/>
      <w:bookmarkEnd w:id="6"/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Klasę z punktu B rozszerzyć o przeciążenia metod, które przyjmują krotkę (double x, double y), oraz pomocniczą metodę (może być prywatna) obliczającą odległość punktu od środka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q3ak2bej40gi" w:id="7"/>
      <w:bookmarkEnd w:id="7"/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Zdefiniować właściwość Promień w taki sposób, aby niemożliwe było ustawienie ujemnej lub nieskończonej wartości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Uwaga: mówimy o prywatnym polu promień i publicznej właściwości Promień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wu4cpu6ttxyn" w:id="8"/>
      <w:bookmarkEnd w:id="8"/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  <w:t xml:space="preserve">Stworzyć właściwości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, będące aliasami odpowiednio na </w:t>
      </w:r>
      <w:r w:rsidDel="00000000" w:rsidR="00000000" w:rsidRPr="00000000">
        <w:rPr>
          <w:i w:val="1"/>
          <w:rtl w:val="0"/>
        </w:rPr>
        <w:t xml:space="preserve">Promień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Środek</w:t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kiryyx8ytbo8" w:id="9"/>
      <w:bookmarkEnd w:id="9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Utworzyć klasę </w:t>
      </w:r>
      <w:r w:rsidDel="00000000" w:rsidR="00000000" w:rsidRPr="00000000">
        <w:rPr>
          <w:i w:val="1"/>
          <w:rtl w:val="0"/>
        </w:rPr>
        <w:t xml:space="preserve">Kwadrat</w:t>
      </w:r>
      <w:r w:rsidDel="00000000" w:rsidR="00000000" w:rsidRPr="00000000">
        <w:rPr>
          <w:rtl w:val="0"/>
        </w:rPr>
        <w:t xml:space="preserve"> z następującymi własnościami do odczytu i zapisu: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bok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przekątna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obwód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pole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Przetestować: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ustawiamy bok na 1 i odczytujemy pozostałe własności (prz = pierw(2), obw = 4, pol = 1)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ustawiamy przekątną na 2 i odczytujemy pozostałe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ustawiamy obwód na 5 i odczytujemy pozostałe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ustawiamy pole na 8 i odczytujemy pozostałe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Uwaga: przy niektórych sposobach musimy używać pól prywatnych i publicznych właściwości;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