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officeDocument/2006/relationships">
  <ns0:body>
    <ns0:p>
      <ns0:r>
        <ns0:t>Architecture export · updated 27 September 2026. Canonical source: ARCHITECTURE.md. Execution handover: docs/HANDOVER.md.</ns0:t>
      </ns0:r>
    </ns0:p>
    <ns0:p>
      <ns0:pPr>
        <ns0:pStyle ns0:val="Heading1"/>
      </ns0:pPr>
      <ns0:r>
        <ns0:t xml:space="preserve">Averill system design</ns0:t>
      </ns0:r>
    </ns0:p>
    <ns0:p>
      <ns0:pPr>
        <ns0:pStyle ns0:val="Heading2"/>
      </ns0:pPr>
      <ns0:r>
        <ns0:t xml:space="preserve">Purpose and status</ns0:t>
      </ns0:r>
    </ns0:p>
    <ns0:p>
      <ns0:r>
        <ns0:t>This document describes the implemented hackathon prototype and the boundaries for extending it. The current app is an Electron desktop demo with four supplied Elseweek work windows, a local company workspace, owner-scoped guided learning and weekly practice, and explicit one-frame OCR of a selected external Canva window. General continuous external application observation remains a future milestone.</ns0:t>
      </ns0:r>
    </ns0:p>
    <ns0:p>
      <ns0:pPr>
        <ns0:pStyle ns0:val="Heading2"/>
      </ns0:pPr>
      <ns0:r>
        <ns0:t xml:space="preserve">Requirements</ns0:t>
      </ns0:r>
    </ns0:p>
    <ns0:p>
      <ns0:r>
        <ns0:t xml:space="preserve">| Requirement | Current implementation |</ns0:t>
      </ns0:r>
    </ns0:p>
    <ns0:p>
      <ns0:r>
        <ns0:t xml:space="preserve">| Explicit employee choice of shared work | Per-window Share/Stop controls in the Averill window |</ns0:t>
      </ns0:r>
    </ns0:p>
    <ns0:p>
      <ns0:r>
        <ns0:t xml:space="preserve">| Feedback at a natural pause | Work windows send state after blur or selection change |</ns0:t>
      </ns0:r>
    </ns0:p>
    <ns0:p>
      <ns0:r>
        <ns0:t xml:space="preserve">| Source-backed corrections | Deterministic findings carry a local source object |</ns0:t>
      </ns0:r>
    </ns0:p>
    <ns0:p>
      <ns0:r>
        <ns0:t xml:space="preserve">| Campaign questions | Local lookup; optional Nebius source-constrained answer |</ns0:t>
      </ns0:r>
    </ns0:p>
    <ns0:p>
      <ns0:r>
        <ns0:t xml:space="preserve">| Human control | No automatic edit, send, or publish route |</ns0:t>
      </ns0:r>
    </ns0:p>
    <ns0:p>
      <ns0:pPr>
        <ns0:pStyle ns0:val="Heading2"/>
      </ns0:pPr>
      <ns0:r>
        <ns0:t xml:space="preserve">Components</ns0:t>
      </ns0:r>
    </ns0:p>
    <ns0:p>
      <ns0:r>
        <ns0:t xml:space="preserve">| Component | File | Responsibility |</ns0:t>
      </ns0:r>
    </ns0:p>
    <ns0:p>
      <ns0:r>
        <ns0:t xml:space="preserve">| Main process | travel-desktop/main.js | Creates windows, tracks open/shared state, computes snapshots, registers IPC handlers |</ns0:t>
      </ns0:r>
    </ns0:p>
    <ns0:p>
      <ns0:r>
        <ns0:t xml:space="preserve">| Preload bridge | travel-desktop/preload.js | Exposes narrow window.desktop methods to sandboxed renderers |</ns0:t>
      </ns0:r>
    </ns0:p>
    <ns0:p>
      <ns0:r>
        <ns0:t xml:space="preserve">| Averill renderer | travel-desktop/src/agent.html, agent.js | Window list, findings, question composer, source viewer, AI opt-in |</ns0:t>
      </ns0:r>
    </ns0:p>
    <ns0:p>
      <ns0:r>
        <ns0:t>| Work renderer | travel-desktop/src/work.html, work.js | Synthetic email, LinkedIn, social, handover fields and explicit draft save |</ns0:t>
      </ns0:r>
    </ns0:p>
    <ns0:p>
      <ns0:r>
        <ns0:t xml:space="preserve">| Rule engine | travel-desktop/src/engine.js | Pure issue checks and local campaign answers |</ns0:t>
      </ns0:r>
    </ns0:p>
    <ns0:p>
      <ns0:r>
        <ns0:t xml:space="preserve">| AI adapter | travel-desktop/src/assistant.js | Nebius model discovery, answer request, citation ID validation, local fallback |</ns0:t>
      </ns0:r>
    </ns0:p>
    <ns0:p>
      <ns0:r>
        <ns0:t xml:space="preserve">| Source registry | travel-desktop/src/campaign.js | Maps fixed source IDs to local source files and assets |</ns0:t>
      </ns0:r>
    </ns0:p>
    <ns0:p>
      <ns0:r>
        <ns0:t xml:space="preserve">| Design system | travel-desktop/design-system/ and src/agent-theme.css | Approved visual tokens and implemented assistant styling |</ns0:t>
      </ns0:r>
    </ns0:p>
    <ns0:p>
      <ns0:r>
        <ns0:t>| Company workspace | travel-desktop/src/workspace.js | Local accounts, session access, imported copies, approval, priority, and conflict detection |</ns0:t>
      </ns0:r>
    </ns0:p>
    <ns0:p>
      <ns0:r>
        <ns0:t xml:space="preserve">| Company answers | travel-desktop/src/workspace-answer.js | Approved-source retrieval, Nebius request, citation ID validation, local fallback |</ns0:t>
      </ns0:r>
    </ns0:p>
    <ns0:p>
      <ns0:r>
        <ns0:t xml:space="preserve">| Learning engine | travel-desktop/src/learning.js | Owner-scoped sessions, ordered confirmation, weekly eligibility, practice and feedback |</ns0:t>
      </ns0:r>
    </ns0:p>
    <ns0:p>
      <ns0:r>
        <ns0:t xml:space="preserve">| Learning UI | travel-desktop/src/learning-ui.js | Learn lesson/help, activity recording, weekly review and answer forms |</ns0:t>
      </ns0:r>
    </ns0:p>
    <ns0:p>
      <ns0:r>
        <ns0:t xml:space="preserve">| Public search | travel-desktop/src/web-search.js | Tavily search with a user-entered public query only |</ns0:t>
      </ns0:r>
    </ns0:p>
    <ns0:p>
      <ns0:r>
        <ns0:t xml:space="preserve">| macOS extraction | travel-desktop/scripts/extract-text.swift | PDF text and image OCR for imported files and selected-window frames |</ns0:t>
      </ns0:r>
    </ns0:p>
    <ns0:p>
      <ns0:pPr>
        <ns0:pStyle ns0:val="Heading2"/>
      </ns0:pPr>
      <ns0:r>
        <ns0:t xml:space="preserve">Data flow</ns0:t>
      </ns0:r>
    </ns0:p>
    <ns0:p>
      <ns0:r>
        <ns0:t xml:space="preserve">Employee edits supplied work window</ns0:t>
      </ns0:r>
    </ns0:p>
    <ns0:p>
      <ns0:r>
        <ns0:t xml:space="preserve">  -&gt; blur or selection change</ns0:t>
      </ns0:r>
    </ns0:p>
    <ns0:p>
      <ns0:r>
        <ns0:t xml:space="preserve">  -&gt; preload updateWork(kind, structured state)</ns0:t>
      </ns0:r>
    </ns0:p>
    <ns0:p>
      <ns0:r>
        <ns0:t xml:space="preserve">  -&gt; Electron main process validates sender and stores state</ns0:t>
      </ns0:r>
    </ns0:p>
    <ns0:p>
      <ns0:r>
        <ns0:t xml:space="preserve">  -&gt; if that window is shared, rule engine inspects state</ns0:t>
      </ns0:r>
    </ns0:p>
    <ns0:p>
      <ns0:r>
        <ns0:t xml:space="preserve">  -&gt; main process sends snapshot to Averill window</ns0:t>
      </ns0:r>
    </ns0:p>
    <ns0:p>
      <ns0:r>
        <ns0:t xml:space="preserve">  -&gt; finding shows cited local source</ns0:t>
      </ns0:r>
    </ns0:p>
    <ns0:p>
      <ns0:r>
        <ns0:t xml:space="preserve">Employee asks in Review</ns0:t>
      </ns0:r>
    </ns0:p>
    <ns0:p>
      <ns0:r>
        <ns0:t xml:space="preserve">  -&gt; if a supplied work window is shared, use the fixed synthetic campaign pack</ns0:t>
      </ns0:r>
    </ns0:p>
    <ns0:p>
      <ns0:r>
        <ns0:t xml:space="preserve">  -&gt; otherwise use approved, visible company workspace sources</ns0:t>
      </ns0:r>
    </ns0:p>
    <ns0:p>
      <ns0:r>
        <ns0:t xml:space="preserve">  -&gt; if Nebius AI was explicitly enabled and a key exists:</ns0:t>
      </ns0:r>
    </ns0:p>
    <ns0:p>
      <ns0:r>
        <ns0:t>send question + relevant approved, AI-permitted text sources to Nebius only when owner company AI policy is enabled</ns0:t>
      </ns0:r>
    </ns0:p>
    <ns0:p>
      <ns0:r>
        <ns0:t xml:space="preserve">       validate returned source IDs</ns0:t>
      </ns0:r>
    </ns0:p>
    <ns0:p>
      <ns0:r>
        <ns0:t xml:space="preserve">       fall back to a local answer on failure or invalid citation</ns0:t>
      </ns0:r>
    </ns0:p>
    <ns0:p>
      <ns0:r>
        <ns0:t xml:space="preserve">The work window calls work:update even when unshared; the main process stores the state but does not produce findings until the window is shared. This is a boundary of the current implementation to consider during the future external-app integration. Closing a work window removes its state and sharing status.</ns0:t>
      </ns0:r>
    </ns0:p>
    <ns0:p>
      <ns0:pPr>
        <ns0:pStyle ns0:val="Heading2"/>
      </ns0:pPr>
      <ns0:r>
        <ns0:t xml:space="preserve">IPC contracts</ns0:t>
      </ns0:r>
    </ns0:p>
    <ns0:p>
      <ns0:r>
        <ns0:t>The preload exposes snapshot(), openWork(kind), share(kind, enabled), aiMode(enabled), ask(question), askDemo(question), source(id), openSource(id), updateWork(kind, data), and snapshot/sharing listeners. It also exposes narrow workspace, Tavily, and external-window methods. kind is limited to email, linkedin, social, or handover. Main-process work:update accepts only events from the corresponding open work window and a plain object payload. The bridge uses context isolation, disables Node integration, and enables renderer sandboxing.</ns0:t>
      </ns0:r>
    </ns0:p>
    <ns0:p>
      <ns0:r>
        <ns0:t xml:space="preserve">The snapshot contains open, shared, aiEnabled, findings, workspace, learning, service availability and the selected external window. A finding has an ID, title, explanation, suggested user action, source, and work kind. Source IDs resolve only through the fixed registry; arbitrary paths are not accepted through agent:source or agent:open-source.</ns0:t>
      </ns0:r>
    </ns0:p>
    <ns0:p>
      <ns0:pPr>
        <ns0:pStyle ns0:val="Heading2"/>
      </ns0:pPr>
      <ns0:r>
        <ns0:t xml:space="preserve">Source and version model</ns0:t>
      </ns0:r>
    </ns0:p>
    <ns0:p>
      <ns0:r>
        <ns0:t xml:space="preserve">The fixed campaign source pack is static and synthetic. current-brief.md is the approved v2. old-brief.md is v1 and intentionally superseded. brand-and-legal.md controls copy and disclosures. content-calendar.md controls dates. Approved assets are the email hero and vertical Reel; the old square creative is an intentional wrong choice. The separate company workspace has local file/folder import, status, version, owner, department, priority, and same-title conflict detection. That detection does not establish full semantic consistency.</ns0:t>
      </ns0:r>
    </ns0:p>
    <ns0:p>
      <ns0:pPr>
        <ns0:pStyle ns0:val="Heading2"/>
      </ns0:pPr>
      <ns0:r>
        <ns0:t xml:space="preserve">AI and privacy boundary</ns0:t>
      </ns0:r>
    </ns0:p>
    <ns0:p>
      <ns0:r>
        <ns0:t>Local answers and deterministic findings need no network. Nebius uses NEBIUS_API_KEY from the environment/root .env.local or encrypted local Setup storage. Owner company policy and document permissions govern company AI; the employee enables Nebius for the session. A Review question with a shared demo window can send the question and fixed synthetic text pack; a company question can send relevant approved company text. Draft or OCR text is sent only after a separate confirmation in its review flow. The API key remains in the main process. The app does not send image binaries or perform continuous capture. If the model cannot be reached, returns malformed output, or fails citation validation, a local answer is used. Citation IDs are structurally validated; model sentences are not independently checked against passages.</ns0:t>
      </ns0:r>
    </ns0:p>
    <ns0:p>
      <ns0:r>
        <ns0:t xml:space="preserve">The public repository must never contain .env.local or credentials. .env.example lists variable names only. Do not log request headers, keys, or sensitive prompt content.</ns0:t>
      </ns0:r>
    </ns0:p>
    <ns0:p>
      <ns0:pPr>
        <ns0:pStyle ns0:val="Heading2"/>
      </ns0:pPr>
      <ns0:r>
        <ns0:t xml:space="preserve">Persistence and operations</ns0:t>
      </ns0:r>
    </ns0:p>
    <ns0:p>
      <ns0:r>
        <ns0:t>The supplied work windows save draft form state in renderer localStorage only when the employee selects Save draft. Separate local email/password accounts now identify the owner, marketing manager, strategist and content creator. Cloud file access uses registered-client OAuth; employee cloud login and background synchronization are not implemented. The app runs locally with npm ci and npm start; npm test runs Node's test runner. npm run package:mac builds an unsigned arm64 demo .app with the Swift OCR helper. The current prototype has no telemetry or crash reporting. Distribution for real company content still needs signing, updates, permissions, and data retention design.</ns0:t>
      </ns0:r>
    </ns0:p>
    <ns0:p>
      <ns0:r>
        <ns0:t>The company workspace is now stored as JSON in Electron's user-data directory, with imported copies and extracted text in an adjacent private local folder. Owner activation replaces role switching with separate local email/password authentication. Main-process session checks enforce role access; restart requires sign-in. The assistant main process enforces file visibility and source approval before answering. An administrator or department lead can approve proposed department sources. Private files remain visible only to their owner until proposed. The conflict detector currently catches different approved files sharing the same department and title; it cannot detect all semantic contradictions.</ns0:t>
      </ns0:r>
    </ns0:p>
    <ns0:p>
      <ns0:r>
        <ns0:t>Nebius receives question/draft and relevant approved text sources after consent; intake interpretation has separate file-text consent. Tavily receives only the explicit public query and returns external URLs. Live Nemotron intake checks passed for mixed files and three employees in unstructured prose. Prior approved company-source answering verification and remaining acceptance checks are recorded in docs/HANDOVER.md.</ns0:t>
      </ns0:r>
    </ns0:p>
    <ns0:p>
      <ns0:r>
        <ns0:t xml:space="preserve">Electron desktopCapturer lists windows. The user chooses a Canva-titled window; pressing Review captures one thumbnail frame, extracts visible text locally, and deletes the temporary PNG. Stop sharing clears the selected window. No continuous capture runs. A screenshot can miss hidden text or visual issues; the app labels the review as OCR.</ns0:t>
      </ns0:r>
    </ns0:p>
    <ns0:p>
      <ns0:pPr>
        <ns0:pStyle ns0:val="Heading2"/>
      </ns0:pPr>
      <ns0:r>
        <ns0:t xml:space="preserve">Known gaps and tradeoffs</ns0:t>
      </ns0:r>
    </ns0:p>
    <ns0:p>
      <ns0:r>
        <ns0:t xml:space="preserve">- Deterministic checks make the demo repeatable but cover only explicit campaign errors.</ns0:t>
      </ns0:r>
    </ns0:p>
    <ns0:p>
      <ns0:r>
        <ns0:t xml:space="preserve">- Structured work-window state is reliable but does not prove real desktop perception.</ns0:t>
      </ns0:r>
    </ns0:p>
    <ns0:p>
      <ns0:r>
        <ns0:t xml:space="preserve">- Static local sources enable transparent citations but do not handle company-wide retrieval or live document changes.</ns0:t>
      </ns0:r>
    </ns0:p>
    <ns0:p>
      <ns0:r>
        <ns0:t xml:space="preserve">- AI citations are checked for known IDs, not full factual entailment. Claims remain reviewable by the employee.</ns0:t>
      </ns0:r>
    </ns0:p>
    <ns0:p>
      <ns0:r>
        <ns0:t>- The assistant and supplied Elseweek work windows use Petrol / Coral / Ice, bundled fonts and matching outline icons. The Review pane has a focused finding and source hierarchy; operational controls are in Work.</ns0:t>
      </ns0:r>
    </ns0:p>
    <ns0:p>
      <ns0:pPr>
        <ns0:pStyle ns0:val="Heading2"/>
      </ns0:pPr>
      <ns0:r>
        <ns0:t xml:space="preserve">Extension sequence</ns0:t>
      </ns0:r>
    </ns0:p>
    <ns0:p>
      <ns0:r>
        <ns0:t>Verify the existing one-frame macOS Canva selection, permission handling, OCR, and Stop sharing end to end. Rehearse the packaged app and approved company-source Nebius path. Then evaluate cloud authentication and synchronization, stronger source-conflict and citation checks, and deletion/revocation behavior. Keep work actions human-owned unless the product decision changes explicitly. See docs/HANDOVER.md for the current checks and their evidence boundaries.</ns0:t>
      </ns0:r>
    </ns0:p>
    <ns0:p>
      <ns0:pPr>
        <ns0:pStyle ns0:val="Heading2"/>
      </ns0:pPr>
      <ns0:r>
        <ns0:t xml:space="preserve">Learning state and IPC</ns0:t>
      </ns0:r>
    </ns0:p>
    <ns0:p>
      <ns0:r>
        <ns0:t xml:space="preserve">learningAction(action, payload) invokes learning:action. Only the Averill renderer is accepted. The main process derives the active person from the workspace; payloads cannot choose another owner. Allowed actions: start, record, confirm, exclude, quiz and answer. The engine validates source eligibility, step order and answer shape before persistence and snapshot publication.</ns0:t>
      </ns0:r>
    </ns0:p>
    <ns0:p>
      <ns0:r>
        <ns0:t xml:space="preserve">State lives in the learning field of the existing schema-1 workspace: sessions and quizzes, each owner-scoped. Sessions carry creation time, confirmed operation timestamps/week keys, optional source ID/title/version/hash and exclusion/completion state. Manual work records contain a confirmed employee description. Quizzes persist prompts, deterministic answer keys and feedback; snapshots omit answer keys. Practical reflections are explicitly self-confirmed, not model-graded.</ns0:t>
      </ns0:r>
    </ns0:p>
    <ns0:p>
      <ns0:r>
        <ns0:t xml:space="preserve">Week keys are Monday-based in Europe/Copenhagen. Only confirmed current-week sessions are eligible. Company evidence must remain visible, approved, hash/version-matching and outside same-title conflicts. Excluding activity or invalidating evidence blocks affected questions. A fingerprint detects changed records so explicit refresh can create an updated set. Previous answers remain in local history; only the current person/current week is exposed by the learning snapshot.</ns0:t>
      </ns0:r>
    </ns0:p>
    <ns0:p>
      <ns0:r>
        <ns0:t>Learn is offline and stores no screenshots. The official guide opens only on an employee action. It neither connects to Canva’s document API nor proves element alignment. Existing Work capture is a separate explicit one-frame OCR route. Local account sessions isolate employee history on one Mac; there is no authentication or synchronization across devices.</ns0:t>
      </ns0:r>
    </ns0:p>
    <ns0:p>
      <ns0:pPr>
        <ns0:pStyle ns0:val="Heading1"/>
      </ns0:pPr>
      <ns0:r>
        <ns0:t>Company onboarding and login documents</ns0:t>
      </ns0:r>
    </ns0:p>
    <ns0:p>
      <ns0:r>
        <ns0:t>Updated 27 September 2026. ARCHITECTURE.md is canonical; HANDOVER.md records verification. Desktop/Finder drop, local and synced Drive/OneDrive files, HTTPS links and selected-file Google/Microsoft OAuth imports feed one local review. Registered OAuth clients are required; live cloud login is unverified. Structured rosters are extracted locally. The owner reviews identities, scopes, versions and approvals. Personnel files remain private. See CLOUD_CONNECTIONS.md for setup.</ns0:t>
      </ns0:r>
    </ns0:p>
    <ns0:p>
      <ns0:r>
        <ns0:t>Four profiles map owner to admin, marketing manager to lead, and marketing strategy employee and content creator to employee. Passwords use asynchronous scrypt hashes. At the user's request, owner and generated team credentials also receive separate local Markdown login documents under userData/Averill-login-documents. Only an authenticated administrator can open the folder through Account access. Documents are outside Git, company source ingestion, snapshots and Nebius prompts. There is no password reset or invitation delivery.</ns0:t>
      </ns0:r>
    </ns0:p>
    <ns0:p>
      <ns0:pPr>
        <ns0:pStyle ns0:val="Heading1"/>
      </ns0:pPr>
      <ns0:r>
        <ns0:t>Build and development continuation</ns0:t>
      </ns0:r>
    </ns0:p>
    <ns0:p>
      <ns0:r>
        <ns0:t>Open travel-desktop/dist/Averill-darwin-arm64/Averill.app on Apple Silicon macOS; archive: dist/Averill-macOS-arm64.zip. Run npm test and npm run package:mac from travel-desktop. Twenty-five tests pass, including OAuth callback/state, encrypted tokens, HTTPS controls and private-source exclusions. Native bundle checks verified real-file preload import, synced XLSX append, local default and missing-client errors. Four prepared logins and encrypted service keys remain intact.</ns0:t>
      </ns0:r>
    </ns0:p>
    <ns0:p>
      <ns0:r>
        <ns0:t>Company AI defaults off. Owner authorization and explicit file selection are required; restricted or credential-looking sources cannot enter Nebius prompts. OAuth consent is separate from AI permission. Provider confidentiality, retention, region and training opt-out require account-specific verification. Local company copies use OS permissions, not application encryption. See COMPANY_CONFIDENTIALITY.md for production gaps. Password documents remain local and ignored by Git.</ns0:t>
      </ns0:r>
    </ns0:p>
    <ns0:sectPr>
      <ns0:headerReference ns1:id="rId10" ns0:type="default"/>
      <ns0:headerReference ns1:id="rId11" ns0:type="first"/>
      <ns0:footerReference ns1:id="rId12" ns0:type="default"/>
      <ns0:footerReference ns1:id="rId13" ns0:type="first"/>
      <ns0:pgSz ns0:h="15840" ns0:w="12240" ns0:orient="portrait"/>
      <ns0:pgMar ns0:bottom="893" ns0:top="1008" ns0:left="1008" ns0:right="1008" ns0:header="720" ns0:footer="720"/>
      <ns0:pgNumType ns0:start="1"/>
      <ns0:titlePg ns0:val="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Averill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Shared means the employee selected one supplied work window in this prototype.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