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nts/HelveticaNeueLight-bold.ttf" ContentType="application/x-font-ttf"/>
  <Override PartName="/word/fonts/HelveticaNeueLight-boldItalic.ttf" ContentType="application/x-font-ttf"/>
  <Override PartName="/word/fonts/HelveticaNeueLight-italic.ttf" ContentType="application/x-font-ttf"/>
  <Override PartName="/word/fonts/HelveticaNeueLight-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0" w:line="270" w:lineRule="auto"/>
        <w:ind w:left="0" w:right="0" w:firstLine="0"/>
        <w:jc w:val="left"/>
        <w:rPr>
          <w:rFonts w:ascii="Helvetica Neue" w:cs="Helvetica Neue" w:eastAsia="Helvetica Neue" w:hAnsi="Helvetica Neue"/>
          <w:b w:val="1"/>
          <w:bCs w:val="1"/>
          <w:smallCaps w:val="1"/>
          <w:color w:val="5b7085"/>
        </w:rPr>
      </w:pPr>
      <w:r>
        <w:rPr>
          <w:rtl w:val="0"/>
        </w:rPr>
      </w:r>
    </w:p>
    <w:p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0" w:line="270" w:lineRule="auto"/>
        <w:ind w:left="0" w:right="0" w:firstLine="0"/>
        <w:jc w:val="left"/>
        <w:rPr>
          <w:rFonts w:ascii="Helvetica Neue" w:cs="Helvetica Neue" w:eastAsia="Helvetica Neue" w:hAnsi="Helvetica Neue"/>
          <w:b w:val="1"/>
          <w:bCs w:val="1"/>
          <w:smallCaps w:val="1"/>
          <w:color w:val="5b7085"/>
        </w:rPr>
      </w:pPr>
      <w:r>
        <w:rPr>
          <w:rtl w:val="0"/>
        </w:rPr>
      </w:r>
    </w:p>
    <w:p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0" w:line="270" w:lineRule="auto"/>
        <w:ind w:left="0" w:right="0" w:firstLine="0"/>
        <w:jc w:val="left"/>
        <w:rPr>
          <w:rFonts w:ascii="Helvetica Neue" w:cs="Helvetica Neue" w:eastAsia="Helvetica Neue" w:hAnsi="Helvetica Neue"/>
          <w:b w:val="1"/>
          <w:bCs w:val="1"/>
          <w:smallCaps w:val="1"/>
          <w:color w:val="5b7085"/>
        </w:rPr>
      </w:pPr>
      <w:r>
        <w:rPr>
          <w:rtl w:val="0"/>
        </w:rPr>
      </w:r>
    </w:p>
    <w:p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0" w:line="270" w:lineRule="auto"/>
        <w:ind w:left="0" w:right="0" w:firstLine="0"/>
        <w:jc w:val="left"/>
        <w:rPr>
          <w:rFonts w:ascii="Helvetica Neue" w:cs="Helvetica Neue" w:eastAsia="Helvetica Neue" w:hAnsi="Helvetica Neue"/>
          <w:b w:val="1"/>
          <w:bCs w:val="1"/>
          <w:smallCaps w:val="1"/>
          <w:color w:val="5b7085"/>
        </w:rPr>
      </w:pPr>
      <w:r>
        <w:rPr>
          <w:rtl w:val="0"/>
        </w:rPr>
      </w:r>
    </w:p>
    <w:p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0" w:line="270" w:lineRule="auto"/>
        <w:ind w:left="0" w:right="0" w:firstLine="0"/>
        <w:jc w:val="left"/>
        <w:rPr>
          <w:rFonts w:ascii="Helvetica Neue" w:cs="Helvetica Neue" w:eastAsia="Helvetica Neue" w:hAnsi="Helvetica Neue"/>
          <w:b w:val="1"/>
          <w:bCs w:val="1"/>
          <w:smallCaps w:val="1"/>
          <w:color w:val="5b7085"/>
        </w:rPr>
      </w:pPr>
      <w:r>
        <w:rPr>
          <w:rtl w:val="0"/>
        </w:rPr>
      </w:r>
    </w:p>
    <w:p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0" w:line="270" w:lineRule="auto"/>
        <w:ind w:left="0" w:right="0" w:firstLine="0"/>
        <w:jc w:val="left"/>
        <w:rPr>
          <w:rFonts w:ascii="Helvetica Neue" w:cs="Helvetica Neue" w:eastAsia="Helvetica Neue" w:hAnsi="Helvetica Neue"/>
          <w:b w:val="1"/>
          <w:bCs w:val="1"/>
          <w:smallCaps w:val="1"/>
          <w:color w:val="5b7085"/>
        </w:rPr>
      </w:pPr>
      <w:r>
        <w:rPr>
          <w:rtl w:val="0"/>
        </w:rPr>
      </w:r>
    </w:p>
    <w:p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0" w:line="270" w:lineRule="auto"/>
        <w:ind w:left="0" w:right="0" w:firstLine="0"/>
        <w:jc w:val="left"/>
        <w:rPr>
          <w:rFonts w:ascii="Helvetica Neue" w:cs="Helvetica Neue" w:eastAsia="Helvetica Neue" w:hAnsi="Helvetica Neue"/>
          <w:b w:val="1"/>
          <w:bCs w:val="1"/>
          <w:smallCaps w:val="1"/>
          <w:color w:val="5b7085"/>
        </w:rPr>
      </w:pPr>
      <w:r>
        <w:rPr>
          <w:rtl w:val="0"/>
        </w:rPr>
      </w:r>
    </w:p>
    <w:p w14:paraId="00000008">
      <w:pPr>
        <w:spacing w:after="0" w:before="0" w:line="20" w:lineRule="auto"/>
        <w:rPr>
          <w:rFonts w:ascii="Helvetica Neue" w:cs="Helvetica Neue" w:eastAsia="Helvetica Neue" w:hAnsi="Helvetica Neue"/>
          <w:color w:val="000000"/>
        </w:rPr>
      </w:pPr>
      <w:r>
        <w:rPr>
          <w:rtl w:val="0"/>
        </w:rPr>
      </w:r>
    </w:p>
    <w:p w14:paraId="00000009">
      <w:pPr>
        <w:pStyle w:val="Title"/>
        <w:spacing w:line="240" w:lineRule="auto"/>
        <w:rPr>
          <w:rFonts w:ascii="Helvetica Neue Light" w:cs="Helvetica Neue Light" w:eastAsia="Helvetica Neue Light" w:hAnsi="Helvetica Neue Light"/>
          <w:b w:val="0"/>
          <w:bCs w:val="0"/>
          <w:color w:val="5b7085"/>
          <w:sz w:val="72"/>
          <w:szCs w:val="72"/>
        </w:rPr>
      </w:pPr>
      <w:r>
        <w:rPr>
          <w:rFonts w:ascii="Helvetica Neue Light" w:cs="Helvetica Neue Light" w:eastAsia="Helvetica Neue Light" w:hAnsi="Helvetica Neue Light"/>
          <w:b w:val="0"/>
          <w:bCs w:val="0"/>
          <w:color w:val="5b7085"/>
          <w:sz w:val="72"/>
          <w:szCs w:val="72"/>
          <w:rtl w:val="0"/>
        </w:rPr>
        <w:t>Averill</w:t>
      </w:r>
    </w:p>
    <w:p w14:paraId="0000000A">
      <w:pPr>
        <w:pStyle w:val="Title"/>
        <w:spacing w:line="240" w:lineRule="auto"/>
        <w:rPr>
          <w:rFonts w:ascii="Helvetica Neue" w:cs="Helvetica Neue" w:eastAsia="Helvetica Neue" w:hAnsi="Helvetica Neue"/>
          <w:sz w:val="72"/>
          <w:szCs w:val="72"/>
        </w:rPr>
      </w:pPr>
      <w:r>
        <w:rPr>
          <w:rFonts w:ascii="Helvetica Neue" w:cs="Helvetica Neue" w:eastAsia="Helvetica Neue" w:hAnsi="Helvetica Neue"/>
          <w:sz w:val="72"/>
          <w:szCs w:val="72"/>
          <w:rtl w:val="0"/>
        </w:rPr>
        <w:t>System Design</w:t>
      </w:r>
    </w:p>
    <w:p w14:paraId="0000000B">
      <w:pPr>
        <w:rPr>
          <w:rFonts w:ascii="Helvetica Neue" w:cs="Helvetica Neue" w:eastAsia="Helvetica Neue" w:hAnsi="Helvetica Neue"/>
        </w:rPr>
      </w:pPr>
      <w:r>
        <w:rPr>
          <w:rtl w:val="0"/>
        </w:rPr>
      </w:r>
    </w:p>
    <w:p w14:paraId="0000000C">
      <w:pPr>
        <w:rPr>
          <w:rFonts w:ascii="Helvetica Neue" w:cs="Helvetica Neue" w:eastAsia="Helvetica Neue" w:hAnsi="Helvetica Neue"/>
        </w:rPr>
      </w:pPr>
      <w:r>
        <w:rPr>
          <w:rtl w:val="0"/>
        </w:rPr>
      </w:r>
    </w:p>
    <w:p w14:paraId="0000000D">
      <w:pPr>
        <w:rPr>
          <w:rFonts w:ascii="Helvetica Neue" w:cs="Helvetica Neue" w:eastAsia="Helvetica Neue" w:hAnsi="Helvetica Neue"/>
        </w:rPr>
      </w:pPr>
      <w:r>
        <w:rPr>
          <w:rtl w:val="0"/>
        </w:rPr>
      </w:r>
    </w:p>
    <w:p w14:paraId="0000000E">
      <w:pPr>
        <w:rPr>
          <w:rFonts w:ascii="Helvetica Neue" w:cs="Helvetica Neue" w:eastAsia="Helvetica Neue" w:hAnsi="Helvetica Neue"/>
        </w:rPr>
      </w:pPr>
      <w:r>
        <w:rPr>
          <w:rtl w:val="0"/>
        </w:rPr>
      </w:r>
    </w:p>
    <w:p w14:paraId="0000000F">
      <w:pPr>
        <w:rPr>
          <w:rFonts w:ascii="Helvetica Neue" w:cs="Helvetica Neue" w:eastAsia="Helvetica Neue" w:hAnsi="Helvetica Neue"/>
        </w:rPr>
      </w:pPr>
      <w:r>
        <w:rPr>
          <w:rtl w:val="0"/>
        </w:rPr>
      </w:r>
    </w:p>
    <w:p w14:paraId="00000010">
      <w:pPr>
        <w:rPr>
          <w:rFonts w:ascii="Helvetica Neue" w:cs="Helvetica Neue" w:eastAsia="Helvetica Neue" w:hAnsi="Helvetica Neue"/>
        </w:rPr>
      </w:pPr>
      <w:r>
        <w:rPr>
          <w:rtl w:val="0"/>
        </w:rPr>
      </w:r>
    </w:p>
    <w:p w14:paraId="00000011">
      <w:pPr>
        <w:rPr>
          <w:rFonts w:ascii="Helvetica Neue" w:cs="Helvetica Neue" w:eastAsia="Helvetica Neue" w:hAnsi="Helvetica Neue"/>
        </w:rPr>
      </w:pPr>
      <w:r>
        <w:rPr>
          <w:rtl w:val="0"/>
        </w:rPr>
      </w:r>
    </w:p>
    <w:p w14:paraId="00000012">
      <w:pPr>
        <w:rPr>
          <w:rFonts w:ascii="Helvetica Neue" w:cs="Helvetica Neue" w:eastAsia="Helvetica Neue" w:hAnsi="Helvetica Neue"/>
        </w:rPr>
      </w:pPr>
      <w:r>
        <w:rPr>
          <w:rtl w:val="0"/>
        </w:rPr>
      </w:r>
    </w:p>
    <w:p w14:paraId="00000013">
      <w:pPr>
        <w:rPr>
          <w:rFonts w:ascii="Helvetica Neue" w:cs="Helvetica Neue" w:eastAsia="Helvetica Neue" w:hAnsi="Helvetica Neue"/>
        </w:rPr>
      </w:pPr>
      <w:r>
        <w:rPr>
          <w:rtl w:val="0"/>
        </w:rPr>
      </w:r>
    </w:p>
    <w:p w14:paraId="00000014">
      <w:pPr>
        <w:rPr>
          <w:rFonts w:ascii="Helvetica Neue" w:cs="Helvetica Neue" w:eastAsia="Helvetica Neue" w:hAnsi="Helvetica Neue"/>
        </w:rPr>
      </w:pPr>
      <w:r>
        <w:rPr>
          <w:rtl w:val="0"/>
        </w:rPr>
      </w:r>
    </w:p>
    <w:tbl>
      <w:tblPr>
        <w:tblStyle w:val="Table1"/>
        <w:tblW w:w="10400.0" w:type="dxa"/>
        <w:jc w:val="center"/>
        <w:tblLayout w:type="fixed"/>
        <w:tblLook w:val="0600"/>
      </w:tblPr>
      <w:tblGrid>
        <w:gridCol w:w="3200"/>
        <w:gridCol w:w="400"/>
        <w:gridCol w:w="3200"/>
        <w:gridCol w:w="400"/>
        <w:gridCol w:w="3200"/>
        <w:tblGridChange w:id="0">
          <w:tblGrid>
            <w:gridCol w:w="3200"/>
            <w:gridCol w:w="400"/>
            <w:gridCol w:w="3200"/>
            <w:gridCol w:w="400"/>
            <w:gridCol w:w="3200"/>
          </w:tblGrid>
        </w:tblGridChange>
      </w:tblGrid>
      <w:tr>
        <w:trPr>
          <w:cantSplit w:val="0"/>
          <w:tblHeader w:val="0"/>
          <w:cantSplit/>
        </w:trPr>
        <w:tc>
          <w:tcPr/>
          <w:p w14:paraId="00000015">
            <w:pPr>
              <w:pStyle w:val="Heading3"/>
              <w:rPr/>
            </w:pPr>
            <w:bookmarkStart w:colFirst="0" w:colLast="0" w:name="_heading=h.7ykrt4nkacae" w:id="0"/>
            <w:bookmarkEnd w:id="0"/>
            <w:r>
              <w:rPr>
                <w:rtl w:val="0"/>
              </w:rPr>
              <w:t>STATUS</w:t>
              <w:br/>
              <w:t>Implemented demo</w:t>
            </w:r>
          </w:p>
          <w:p w14:paraId="00000016">
            <w:pPr>
              <w:spacing w:after="110" w:line="300" w:lineRule="auto"/>
              <w:rPr>
                <w:rFonts w:ascii="Helvetica Neue" w:cs="Helvetica Neue" w:eastAsia="Helvetica Neue" w:hAnsi="Helvetica Neue"/>
              </w:rPr>
            </w:pPr>
            <w:r>
              <w:rPr>
                <w:rFonts w:ascii="Helvetica Neue" w:cs="Helvetica Neue" w:eastAsia="Helvetica Neue" w:hAnsi="Helvetica Neue"/>
                <w:color w:val="233447"/>
                <w:rtl w:val="0"/>
              </w:rPr>
            </w:r>
            <w:r>
              <w:rPr>
                <w:rtl w:val="0"/>
              </w:rPr>
            </w:r>
          </w:p>
        </w:tc>
        <w:tc>
          <w:tcPr/>
          <w:p w14:paraId="00000017">
            <w:pPr>
              <w:rPr>
                <w:rFonts w:ascii="Helvetica Neue" w:cs="Helvetica Neue" w:eastAsia="Helvetica Neue" w:hAnsi="Helvetica Neue"/>
              </w:rPr>
            </w:pPr>
            <w:r>
              <w:rPr>
                <w:rtl w:val="0"/>
              </w:rPr>
            </w:r>
          </w:p>
        </w:tc>
        <w:tc>
          <w:tcPr/>
          <w:p w14:paraId="00000018">
            <w:pPr>
              <w:pStyle w:val="Heading3"/>
              <w:rPr/>
            </w:pPr>
            <w:bookmarkStart w:colFirst="0" w:colLast="0" w:name="_heading=h.yfftl1hqu8kl" w:id="1"/>
            <w:bookmarkEnd w:id="1"/>
            <w:r>
              <w:rPr>
                <w:rtl w:val="0"/>
              </w:rPr>
              <w:t>OWNER</w:t>
              <w:br/>
              <w:t>Averill project</w:t>
            </w:r>
            <w:r>
              <w:rPr>
                <w:rtl w:val="0"/>
              </w:rPr>
            </w:r>
          </w:p>
          <w:p w14:paraId="00000019">
            <w:pPr>
              <w:spacing w:after="110" w:line="300" w:lineRule="auto"/>
              <w:rPr>
                <w:rFonts w:ascii="Helvetica Neue" w:cs="Helvetica Neue" w:eastAsia="Helvetica Neue" w:hAnsi="Helvetica Neue"/>
              </w:rPr>
            </w:pPr>
            <w:r>
              <w:rPr>
                <w:rFonts w:ascii="Helvetica Neue" w:cs="Helvetica Neue" w:eastAsia="Helvetica Neue" w:hAnsi="Helvetica Neue"/>
                <w:color w:val="233447"/>
                <w:rtl w:val="0"/>
              </w:rPr>
            </w:r>
            <w:r>
              <w:rPr>
                <w:rFonts w:ascii="Helvetica Neue" w:cs="Helvetica Neue" w:eastAsia="Helvetica Neue" w:hAnsi="Helvetica Neue"/>
                <w:rtl w:val="0"/>
              </w:rPr>
            </w:r>
            <w:r>
              <w:rPr>
                <w:rFonts w:ascii="Helvetica Neue" w:cs="Helvetica Neue" w:eastAsia="Helvetica Neue" w:hAnsi="Helvetica Neue"/>
                <w:color w:val="233447"/>
                <w:rtl w:val="0"/>
              </w:rPr>
            </w:r>
            <w:r>
              <w:rPr>
                <w:rtl w:val="0"/>
              </w:rPr>
            </w:r>
          </w:p>
        </w:tc>
        <w:tc>
          <w:tcPr/>
          <w:p w14:paraId="0000001A">
            <w:pPr>
              <w:rPr>
                <w:rFonts w:ascii="Helvetica Neue" w:cs="Helvetica Neue" w:eastAsia="Helvetica Neue" w:hAnsi="Helvetica Neue"/>
              </w:rPr>
            </w:pPr>
            <w:r>
              <w:rPr>
                <w:rtl w:val="0"/>
              </w:rPr>
            </w:r>
          </w:p>
        </w:tc>
        <w:tc>
          <w:tcPr/>
          <w:p w14:paraId="0000001B">
            <w:pPr>
              <w:pStyle w:val="Heading3"/>
              <w:rPr/>
            </w:pPr>
            <w:bookmarkStart w:colFirst="0" w:colLast="0" w:name="_heading=h.jp27tbh10tsa" w:id="2"/>
            <w:bookmarkEnd w:id="2"/>
            <w:r>
              <w:rPr>
                <w:rtl w:val="0"/>
              </w:rPr>
              <w:t>LAST UPDATED</w:t>
              <w:br/>
              <w:t>September 23, 2026</w:t>
            </w:r>
            <w:r>
              <w:rPr>
                <w:rtl w:val="0"/>
              </w:rPr>
            </w:r>
          </w:p>
          <w:p w14:paraId="0000001C">
            <w:pPr>
              <w:spacing w:after="110" w:line="300" w:lineRule="auto"/>
              <w:rPr>
                <w:rFonts w:ascii="Helvetica Neue" w:cs="Helvetica Neue" w:eastAsia="Helvetica Neue" w:hAnsi="Helvetica Neue"/>
              </w:rPr>
            </w:pPr>
            <w:r>
              <w:rPr>
                <w:rFonts w:ascii="Helvetica Neue" w:cs="Helvetica Neue" w:eastAsia="Helvetica Neue" w:hAnsi="Helvetica Neue"/>
                <w:rtl w:val="0"/>
              </w:rPr>
            </w:r>
          </w:p>
        </w:tc>
      </w:tr>
    </w:tbl>
    <w:p w14:paraId="0000001D">
      <w:pPr>
        <w:spacing w:after="110" w:line="300" w:lineRule="auto"/>
        <w:rPr>
          <w:rFonts w:ascii="Helvetica Neue" w:cs="Helvetica Neue" w:eastAsia="Helvetica Neue" w:hAnsi="Helvetica Neue"/>
        </w:rPr>
      </w:pPr>
      <w:r>
        <w:rPr>
          <w:rtl w:val="0"/>
        </w:rPr>
      </w:r>
    </w:p>
    <w:tbl>
      <w:tblPr>
        <w:tblStyle w:val="Table2"/>
        <w:tblW w:w="10155.0" w:type="dxa"/>
        <w:jc w:val="center"/>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400"/>
      </w:tblPr>
      <w:tblGrid>
        <w:gridCol w:w="1815"/>
        <w:gridCol w:w="8340"/>
        <w:tblGridChange w:id="0">
          <w:tblGrid>
            <w:gridCol w:w="1815"/>
            <w:gridCol w:w="8340"/>
          </w:tblGrid>
        </w:tblGridChange>
      </w:tblGrid>
      <w:tr>
        <w:trPr>
          <w:cantSplit w:val="1"/>
          <w:tblHeader w:val="0"/>
          <w:cantSplit/>
        </w:trPr>
        <w:tc>
          <w:tcPr>
            <w:shd w:fill="cfe2f3" w:val="clear"/>
            <w:tcMar>
              <w:top w:w="110.0" w:type="dxa"/>
              <w:left w:w="120.0" w:type="dxa"/>
              <w:bottom w:w="110.0" w:type="dxa"/>
              <w:right w:w="120.0" w:type="dxa"/>
            </w:tcMar>
            <w:vAlign w:val="center"/>
          </w:tcPr>
          <w:p w14:paraId="0000001E">
            <w:pPr>
              <w:spacing w:after="25" w:before="20" w:line="285" w:lineRule="auto"/>
              <w:rPr>
                <w:rFonts w:ascii="Helvetica Neue" w:cs="Helvetica Neue" w:eastAsia="Helvetica Neue" w:hAnsi="Helvetica Neue"/>
                <w:color w:val="000000"/>
              </w:rPr>
            </w:pPr>
            <w:r>
              <w:rPr>
                <w:rFonts w:ascii="Helvetica Neue" w:cs="Helvetica Neue" w:eastAsia="Helvetica Neue" w:hAnsi="Helvetica Neue"/>
                <w:b w:val="1"/>
                <w:bCs w:val="1"/>
                <w:color w:val="000000"/>
                <w:rtl w:val="0"/>
              </w:rPr>
              <w:t xml:space="preserve">Authors</w:t>
            </w:r>
            <w:r>
              <w:rPr>
                <w:rtl w:val="0"/>
              </w:rPr>
            </w:r>
          </w:p>
        </w:tc>
        <w:tc>
          <w:tcPr>
            <w:tcBorders>
              <w:top w:color="ffffff" w:space="0" w:sz="8" w:val="single"/>
              <w:bottom w:color="ffffff" w:space="0" w:sz="8" w:val="single"/>
              <w:right w:color="ffffff" w:space="0" w:sz="8" w:val="single"/>
            </w:tcBorders>
            <w:shd w:fill="f6f9fc" w:val="clear"/>
            <w:tcMar>
              <w:top w:w="110.0" w:type="dxa"/>
              <w:left w:w="120.0" w:type="dxa"/>
              <w:bottom w:w="110.0" w:type="dxa"/>
              <w:right w:w="120.0" w:type="dxa"/>
            </w:tcMar>
            <w:vAlign w:val="center"/>
          </w:tcPr>
          <w:p w14:paraId="0000001F">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Averill project</w:t>
            </w:r>
            <w:r>
              <w:rPr>
                <w:rFonts w:ascii="Helvetica Neue" w:cs="Helvetica Neue" w:eastAsia="Helvetica Neue" w:hAnsi="Helvetica Neue"/>
                <w:rtl w:val="0"/>
              </w:rPr>
            </w:r>
            <w:r>
              <w:rPr>
                <w:rFonts w:ascii="Helvetica Neue" w:cs="Helvetica Neue" w:eastAsia="Helvetica Neue" w:hAnsi="Helvetica Neue"/>
                <w:color w:val="233447"/>
                <w:rtl w:val="0"/>
              </w:rPr>
            </w:r>
            <w:r>
              <w:rPr>
                <w:rtl w:val="0"/>
              </w:rPr>
            </w:r>
          </w:p>
        </w:tc>
      </w:tr>
      <w:tr>
        <w:trPr>
          <w:cantSplit w:val="1"/>
          <w:trHeight w:val="404.3103027343749" w:hRule="atLeast"/>
          <w:tblHeader w:val="0"/>
          <w:cantSplit/>
        </w:trPr>
        <w:tc>
          <w:tcPr>
            <w:shd w:fill="cfe2f3" w:val="clear"/>
            <w:tcMar>
              <w:top w:w="110.0" w:type="dxa"/>
              <w:left w:w="120.0" w:type="dxa"/>
              <w:bottom w:w="110.0" w:type="dxa"/>
              <w:right w:w="120.0" w:type="dxa"/>
            </w:tcMar>
            <w:vAlign w:val="center"/>
          </w:tcPr>
          <w:p w14:paraId="00000020">
            <w:pPr>
              <w:spacing w:after="25" w:before="20" w:line="285" w:lineRule="auto"/>
              <w:rPr>
                <w:rFonts w:ascii="Helvetica Neue" w:cs="Helvetica Neue" w:eastAsia="Helvetica Neue" w:hAnsi="Helvetica Neue"/>
                <w:color w:val="000000"/>
              </w:rPr>
            </w:pPr>
            <w:r>
              <w:rPr>
                <w:rFonts w:ascii="Helvetica Neue" w:cs="Helvetica Neue" w:eastAsia="Helvetica Neue" w:hAnsi="Helvetica Neue"/>
                <w:b w:val="1"/>
                <w:bCs w:val="1"/>
                <w:color w:val="000000"/>
                <w:rtl w:val="0"/>
              </w:rPr>
              <w:t xml:space="preserve">Reviewers</w:t>
            </w:r>
            <w:r>
              <w:rPr>
                <w:rtl w:val="0"/>
              </w:rPr>
            </w:r>
          </w:p>
        </w:tc>
        <w:tc>
          <w:tcPr>
            <w:tcBorders>
              <w:top w:color="ffffff" w:space="0" w:sz="8" w:val="single"/>
              <w:bottom w:color="ffffff" w:space="0" w:sz="8" w:val="single"/>
              <w:right w:color="ffffff" w:space="0" w:sz="8" w:val="single"/>
            </w:tcBorders>
            <w:shd w:fill="f6f9fc" w:val="clear"/>
            <w:tcMar>
              <w:top w:w="110.0" w:type="dxa"/>
              <w:left w:w="120.0" w:type="dxa"/>
              <w:bottom w:w="110.0" w:type="dxa"/>
              <w:right w:w="120.0" w:type="dxa"/>
            </w:tcMar>
            <w:vAlign w:val="center"/>
          </w:tcPr>
          <w:p w14:paraId="00000021">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Project contributors</w:t>
            </w:r>
            <w:r>
              <w:rPr>
                <w:rtl w:val="0"/>
              </w:rPr>
            </w:r>
          </w:p>
        </w:tc>
      </w:tr>
      <w:tr>
        <w:trPr>
          <w:cantSplit w:val="1"/>
          <w:tblHeader w:val="0"/>
          <w:cantSplit/>
        </w:trPr>
        <w:tc>
          <w:tcPr>
            <w:shd w:fill="cfe2f3" w:val="clear"/>
            <w:tcMar>
              <w:top w:w="110.0" w:type="dxa"/>
              <w:left w:w="120.0" w:type="dxa"/>
              <w:bottom w:w="110.0" w:type="dxa"/>
              <w:right w:w="120.0" w:type="dxa"/>
            </w:tcMar>
            <w:vAlign w:val="center"/>
          </w:tcPr>
          <w:p w14:paraId="00000022">
            <w:pPr>
              <w:spacing w:after="25" w:before="20" w:line="285" w:lineRule="auto"/>
              <w:rPr>
                <w:rFonts w:ascii="Helvetica Neue" w:cs="Helvetica Neue" w:eastAsia="Helvetica Neue" w:hAnsi="Helvetica Neue"/>
                <w:color w:val="000000"/>
              </w:rPr>
            </w:pPr>
            <w:r>
              <w:rPr>
                <w:rFonts w:ascii="Helvetica Neue" w:cs="Helvetica Neue" w:eastAsia="Helvetica Neue" w:hAnsi="Helvetica Neue"/>
                <w:b w:val="1"/>
                <w:bCs w:val="1"/>
                <w:color w:val="000000"/>
                <w:rtl w:val="0"/>
              </w:rPr>
              <w:t xml:space="preserve">Related docs</w:t>
            </w:r>
            <w:r>
              <w:rPr>
                <w:rtl w:val="0"/>
              </w:rPr>
            </w:r>
          </w:p>
        </w:tc>
        <w:tc>
          <w:tcPr>
            <w:tcBorders>
              <w:top w:color="ffffff" w:space="0" w:sz="8" w:val="single"/>
              <w:bottom w:color="ffffff" w:space="0" w:sz="8" w:val="single"/>
              <w:right w:color="ffffff" w:space="0" w:sz="8" w:val="single"/>
            </w:tcBorders>
            <w:shd w:fill="f6f9fc" w:val="clear"/>
            <w:tcMar>
              <w:top w:w="110.0" w:type="dxa"/>
              <w:left w:w="120.0" w:type="dxa"/>
              <w:bottom w:w="110.0" w:type="dxa"/>
              <w:right w:w="120.0" w:type="dxa"/>
            </w:tcMar>
            <w:vAlign w:val="center"/>
          </w:tcPr>
          <w:p w14:paraId="00000023">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PROJECT.md; ARCHITECTURE.md; DESIGN_SYSTEM.md</w:t>
            </w:r>
            <w:r>
              <w:rPr>
                <w:rFonts w:ascii="Helvetica Neue" w:cs="Helvetica Neue" w:eastAsia="Helvetica Neue" w:hAnsi="Helvetica Neue"/>
                <w:rtl w:val="0"/>
              </w:rPr>
            </w:r>
            <w:r>
              <w:rPr>
                <w:rFonts w:ascii="Helvetica Neue" w:cs="Helvetica Neue" w:eastAsia="Helvetica Neue" w:hAnsi="Helvetica Neue"/>
                <w:color w:val="233447"/>
                <w:rtl w:val="0"/>
              </w:rPr>
            </w:r>
            <w:r>
              <w:rPr>
                <w:rtl w:val="0"/>
              </w:rPr>
            </w:r>
          </w:p>
        </w:tc>
      </w:tr>
      <w:tr>
        <w:trPr>
          <w:cantSplit w:val="1"/>
          <w:tblHeader w:val="0"/>
          <w:cantSplit/>
        </w:trPr>
        <w:tc>
          <w:tcPr>
            <w:shd w:fill="cfe2f3" w:val="clear"/>
            <w:tcMar>
              <w:top w:w="110.0" w:type="dxa"/>
              <w:left w:w="120.0" w:type="dxa"/>
              <w:bottom w:w="110.0" w:type="dxa"/>
              <w:right w:w="120.0" w:type="dxa"/>
            </w:tcMar>
            <w:vAlign w:val="center"/>
          </w:tcPr>
          <w:p w14:paraId="00000024">
            <w:pPr>
              <w:spacing w:after="25" w:before="20" w:line="285" w:lineRule="auto"/>
              <w:rPr>
                <w:rFonts w:ascii="Helvetica Neue" w:cs="Helvetica Neue" w:eastAsia="Helvetica Neue" w:hAnsi="Helvetica Neue"/>
                <w:color w:val="000000"/>
              </w:rPr>
            </w:pPr>
            <w:r>
              <w:rPr>
                <w:rFonts w:ascii="Helvetica Neue" w:cs="Helvetica Neue" w:eastAsia="Helvetica Neue" w:hAnsi="Helvetica Neue"/>
                <w:b w:val="1"/>
                <w:bCs w:val="1"/>
                <w:color w:val="000000"/>
                <w:rtl w:val="0"/>
              </w:rPr>
              <w:t xml:space="preserve">Scope</w:t>
            </w:r>
            <w:r>
              <w:rPr>
                <w:rtl w:val="0"/>
              </w:rPr>
            </w:r>
          </w:p>
        </w:tc>
        <w:tc>
          <w:tcPr>
            <w:tcBorders>
              <w:top w:color="ffffff" w:space="0" w:sz="8" w:val="single"/>
              <w:bottom w:color="ffffff" w:space="0" w:sz="8" w:val="single"/>
              <w:right w:color="ffffff" w:space="0" w:sz="8" w:val="single"/>
            </w:tcBorders>
            <w:shd w:fill="f6f9fc" w:val="clear"/>
            <w:tcMar>
              <w:top w:w="110.0" w:type="dxa"/>
              <w:left w:w="120.0" w:type="dxa"/>
              <w:bottom w:w="110.0" w:type="dxa"/>
              <w:right w:w="120.0" w:type="dxa"/>
            </w:tcMar>
            <w:vAlign w:val="center"/>
          </w:tcPr>
          <w:p w14:paraId="00000025">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Current Electron prototype and extension boundaries</w:t>
            </w:r>
            <w:r>
              <w:rPr>
                <w:rtl w:val="0"/>
              </w:rPr>
            </w:r>
          </w:p>
        </w:tc>
      </w:tr>
    </w:tbl>
    <w:p w14:paraId="00000026">
      <w:pPr>
        <w:pStyle w:val="Heading1"/>
        <w:pBdr>
          <w:top w:color="2f6b9a" w:space="2" w:sz="0" w:val="none"/>
          <w:left w:color="2f6b9a" w:space="2" w:sz="0" w:val="none"/>
          <w:bottom w:color="2f6b9a" w:space="2" w:sz="0" w:val="none"/>
          <w:right w:color="2f6b9a" w:space="2" w:sz="0" w:val="none"/>
        </w:pBdr>
        <w:spacing w:after="130" w:before="0" w:line="285" w:lineRule="auto"/>
        <w:rPr>
          <w:rFonts w:ascii="Helvetica Neue" w:cs="Helvetica Neue" w:eastAsia="Helvetica Neue" w:hAnsi="Helvetica Neue"/>
          <w:color w:val="000000"/>
        </w:rPr>
      </w:pPr>
      <w:r>
        <w:rPr>
          <w:rFonts w:ascii="Helvetica Neue" w:cs="Helvetica Neue" w:eastAsia="Helvetica Neue" w:hAnsi="Helvetica Neue"/>
          <w:color w:val="082a4a"/>
          <w:rtl w:val="0"/>
        </w:rPr>
        <w:t xml:space="preserve">1.  Abstract</w:t>
      </w:r>
      <w:r>
        <w:rPr>
          <w:rtl w:val="0"/>
        </w:rPr>
      </w:r>
    </w:p>
    <w:p w14:paraId="00000027">
      <w:pPr>
        <w:spacing w:after="110" w:line="300" w:lineRule="auto"/>
        <w:jc w:val="both"/>
        <w:rPr>
          <w:rFonts w:ascii="Helvetica Neue" w:cs="Helvetica Neue" w:eastAsia="Helvetica Neue" w:hAnsi="Helvetica Neue"/>
        </w:rPr>
      </w:pPr>
      <w:r>
        <w:rPr>
          <w:rFonts w:ascii="Helvetica Neue" w:cs="Helvetica Neue" w:eastAsia="Helvetica Neue" w:hAnsi="Helvetica Neue"/>
          <w:color w:val="233447"/>
          <w:rtl w:val="0"/>
        </w:rPr>
        <w:t>Averill is a source-grounded company assistant for employees working across applications. The current Electron demo checks three supplied Aurelia Travel work windows after explicit sharing, then displays a concise finding linked to the approved local source. The employee remains responsible for every edit and publishing decision.</w:t>
      </w:r>
      <w:r>
        <w:rPr>
          <w:rtl w:val="0"/>
        </w:rPr>
      </w:r>
    </w:p>
    <w:p w14:paraId="00000028">
      <w:pPr>
        <w:spacing w:after="110" w:line="300" w:lineRule="auto"/>
        <w:jc w:val="both"/>
        <w:rPr>
          <w:rFonts w:ascii="Helvetica Neue" w:cs="Helvetica Neue" w:eastAsia="Helvetica Neue" w:hAnsi="Helvetica Neue"/>
        </w:rPr>
      </w:pPr>
      <w:r>
        <w:rPr>
          <w:rFonts w:ascii="Helvetica Neue" w:cs="Helvetica Neue" w:eastAsia="Helvetica Neue" w:hAnsi="Helvetica Neue"/>
          <w:color w:val="233447"/>
          <w:rtl w:val="0"/>
        </w:rPr>
        <w:t>This design documents the hackathon prototype and its expansion boundary. It supports one synthetic campaign, deterministic checks, local answers, and optional Nebius answers. It does not yet observe arbitrary macOS windows, inspect screenshots, edit other applications, or publish content.</w:t>
      </w:r>
      <w:r>
        <w:rPr>
          <w:rtl w:val="0"/>
        </w:rPr>
      </w:r>
    </w:p>
    <w:p w14:paraId="00000029">
      <w:pPr>
        <w:spacing w:after="0" w:line="120" w:lineRule="auto"/>
        <w:jc w:val="both"/>
        <w:rPr>
          <w:rFonts w:ascii="Helvetica Neue" w:cs="Helvetica Neue" w:eastAsia="Helvetica Neue" w:hAnsi="Helvetica Neue"/>
        </w:rPr>
      </w:pPr>
      <w:r>
        <w:rPr>
          <w:rtl w:val="0"/>
        </w:rPr>
      </w:r>
    </w:p>
    <w:p w14:paraId="0000002A">
      <w:pPr>
        <w:pStyle w:val="Heading1"/>
        <w:rPr>
          <w:rFonts w:ascii="Helvetica Neue" w:cs="Helvetica Neue" w:eastAsia="Helvetica Neue" w:hAnsi="Helvetica Neue"/>
        </w:rPr>
      </w:pPr>
      <w:r>
        <w:rPr>
          <w:rFonts w:ascii="Helvetica Neue" w:cs="Helvetica Neue" w:eastAsia="Helvetica Neue" w:hAnsi="Helvetica Neue"/>
          <w:rtl w:val="0"/>
        </w:rPr>
        <w:t xml:space="preserve">2.  Goals and Non-Goals</w:t>
      </w:r>
    </w:p>
    <w:tbl>
      <w:tblPr>
        <w:tblStyle w:val="Table3"/>
        <w:tblW w:w="10224.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00"/>
      </w:tblPr>
      <w:tblGrid>
        <w:gridCol w:w="5112"/>
        <w:gridCol w:w="5112"/>
        <w:tblGridChange w:id="0">
          <w:tblGrid>
            <w:gridCol w:w="5112"/>
            <w:gridCol w:w="5112"/>
          </w:tblGrid>
        </w:tblGridChange>
      </w:tblGrid>
      <w:tr>
        <w:trPr>
          <w:cantSplit w:val="1"/>
          <w:tblHeader w:val="1"/>
          <w:cantSplit/>
        </w:trPr>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2B">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 xml:space="preserve">Goals</w:t>
            </w:r>
            <w:r>
              <w:rPr>
                <w:rtl w:val="0"/>
              </w:rPr>
            </w:r>
          </w:p>
        </w:tc>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2C">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 xml:space="preserve">Non-goals</w:t>
            </w:r>
            <w:r>
              <w:rPr>
                <w:rtl w:val="0"/>
              </w:rPr>
            </w:r>
          </w:p>
        </w:tc>
      </w:tr>
      <w:tr>
        <w:trPr>
          <w:cantSplit w:val="1"/>
          <w:tblHeader w:val="0"/>
          <w:cantSplit/>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2D">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Show source-backed findings after an edit.</w:t>
            </w:r>
            <w:r>
              <w:rPr>
                <w:rtl w:val="0"/>
              </w:rPr>
            </w:r>
          </w:p>
        </w:tc>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2E">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Do not edit or publish on the employee’s behalf.</w:t>
            </w:r>
            <w:r>
              <w:rPr>
                <w:rtl w:val="0"/>
              </w:rPr>
            </w:r>
          </w:p>
        </w:tc>
      </w:tr>
      <w:tr>
        <w:trPr>
          <w:cantSplit w:val="1"/>
          <w:tblHeader w:val="0"/>
          <w:cantSplit/>
        </w:trPr>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2F">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Make sharing explicit and reversible.</w:t>
            </w:r>
            <w:r>
              <w:rPr>
                <w:rtl w:val="0"/>
              </w:rPr>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30">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No arbitrary macOS window observation in this build.</w:t>
            </w:r>
            <w:r>
              <w:rPr>
                <w:rtl w:val="0"/>
              </w:rPr>
            </w:r>
          </w:p>
        </w:tc>
      </w:tr>
      <w:tr>
        <w:trPr>
          <w:cantSplit w:val="1"/>
          <w:tblHeader w:val="0"/>
          <w:cantSplit/>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31">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Answer campaign questions with cited local sources.</w:t>
            </w:r>
            <w:r>
              <w:rPr>
                <w:rtl w:val="0"/>
              </w:rPr>
            </w:r>
          </w:p>
        </w:tc>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32">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No company-wide search or live document ingestion yet.</w:t>
            </w:r>
            <w:r>
              <w:rPr>
                <w:rtl w:val="0"/>
              </w:rPr>
            </w:r>
          </w:p>
        </w:tc>
      </w:tr>
      <w:tr>
        <w:trPr>
          <w:cantSplit w:val="1"/>
          <w:tblHeader w:val="0"/>
          <w:cantSplit/>
        </w:trPr>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33">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Keep the demo reliable offline.</w:t>
            </w:r>
            <w:r>
              <w:rPr>
                <w:rtl w:val="0"/>
              </w:rPr>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34">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No production security or scale guarantee.</w:t>
            </w:r>
            <w:r>
              <w:rPr>
                <w:rtl w:val="0"/>
              </w:rPr>
            </w:r>
          </w:p>
        </w:tc>
      </w:tr>
    </w:tbl>
    <w:p w14:paraId="00000035">
      <w:pPr>
        <w:pStyle w:val="Heading1"/>
        <w:spacing w:before="0" w:line="216" w:lineRule="auto"/>
        <w:rPr>
          <w:rFonts w:ascii="Helvetica Neue" w:cs="Helvetica Neue" w:eastAsia="Helvetica Neue" w:hAnsi="Helvetica Neue"/>
          <w:color w:val="000000"/>
        </w:rPr>
      </w:pPr>
      <w:r>
        <w:rPr>
          <w:rtl w:val="0"/>
        </w:rPr>
      </w:r>
    </w:p>
    <w:p w14:paraId="00000036">
      <w:pPr>
        <w:pStyle w:val="Heading1"/>
        <w:rPr>
          <w:rFonts w:ascii="Helvetica Neue" w:cs="Helvetica Neue" w:eastAsia="Helvetica Neue" w:hAnsi="Helvetica Neue"/>
        </w:rPr>
      </w:pPr>
      <w:r>
        <w:rPr>
          <w:rFonts w:ascii="Helvetica Neue" w:cs="Helvetica Neue" w:eastAsia="Helvetica Neue" w:hAnsi="Helvetica Neue"/>
          <w:rtl w:val="0"/>
        </w:rPr>
        <w:t xml:space="preserve">3.  Background and Problem Statement</w:t>
      </w:r>
    </w:p>
    <w:p w14:paraId="00000037">
      <w:pPr>
        <w:spacing w:after="110" w:line="300" w:lineRule="auto"/>
        <w:jc w:val="both"/>
        <w:rPr>
          <w:rFonts w:ascii="Helvetica Neue" w:cs="Helvetica Neue" w:eastAsia="Helvetica Neue" w:hAnsi="Helvetica Neue"/>
        </w:rPr>
      </w:pPr>
      <w:r>
        <w:rPr>
          <w:rFonts w:ascii="Helvetica Neue" w:cs="Helvetica Neue" w:eastAsia="Helvetica Neue" w:hAnsi="Helvetica Neue"/>
          <w:color w:val="233447"/>
          <w:rtl w:val="0"/>
        </w:rPr>
        <w:t>Campaign work spans briefs, email, social scheduling, and handovers. An old but plausible brief or creative can be used after a new version is approved. The prototype makes that conflict visible at the point of work and gives the employee a direct path to the current source.</w:t>
      </w:r>
      <w:r>
        <w:rPr>
          <w:rtl w:val="0"/>
        </w:rPr>
      </w:r>
    </w:p>
    <w:p w14:paraId="00000038">
      <w:pPr>
        <w:spacing w:after="110" w:line="300" w:lineRule="auto"/>
        <w:jc w:val="both"/>
        <w:rPr>
          <w:rFonts w:ascii="Helvetica Neue" w:cs="Helvetica Neue" w:eastAsia="Helvetica Neue" w:hAnsi="Helvetica Neue"/>
          <w:color w:val="000000"/>
        </w:rPr>
      </w:pPr>
      <w:r>
        <w:rPr>
          <w:rFonts w:ascii="Helvetica Neue" w:cs="Helvetica Neue" w:eastAsia="Helvetica Neue" w:hAnsi="Helvetica Neue"/>
          <w:color w:val="233447"/>
          <w:rtl w:val="0"/>
        </w:rPr>
        <w:t>Electron owns window state and IPC. Supplied work windows emit structured state after blur or selection; the main process validates the sender and runs deterministic checks only for shared windows. The assistant renderer displays findings and citations. Source files remain the authority for campaign facts.</w:t>
      </w:r>
      <w:r>
        <w:rPr>
          <w:rFonts w:ascii="Helvetica Neue" w:cs="Helvetica Neue" w:eastAsia="Helvetica Neue" w:hAnsi="Helvetica Neue"/>
          <w:sz w:val="13"/>
          <w:szCs w:val="13"/>
          <w:vertAlign w:val="superscript"/>
        </w:rPr>
      </w:r>
      <w:r/>
      <w:r>
        <w:rPr>
          <w:rtl w:val="0"/>
        </w:rPr>
      </w:r>
    </w:p>
    <w:p w14:paraId="00000039">
      <w:pPr>
        <w:pStyle w:val="Heading1"/>
        <w:rPr>
          <w:rFonts w:ascii="Helvetica Neue" w:cs="Helvetica Neue" w:eastAsia="Helvetica Neue" w:hAnsi="Helvetica Neue"/>
        </w:rPr>
      </w:pPr>
      <w:r>
        <w:rPr>
          <w:rFonts w:ascii="Helvetica Neue" w:cs="Helvetica Neue" w:eastAsia="Helvetica Neue" w:hAnsi="Helvetica Neue"/>
          <w:rtl w:val="0"/>
        </w:rPr>
        <w:t xml:space="preserve">4.  Proposed Architecture</w:t>
      </w:r>
    </w:p>
    <w:p w14:paraId="0000003A">
      <w:pPr>
        <w:spacing w:after="0" w:line="144" w:lineRule="auto"/>
        <w:rPr>
          <w:rFonts w:ascii="Helvetica Neue" w:cs="Helvetica Neue" w:eastAsia="Helvetica Neue" w:hAnsi="Helvetica Neue"/>
        </w:rPr>
      </w:pPr>
      <w:r>
        <w:rPr>
          <w:rtl w:val="0"/>
        </w:rPr>
      </w:r>
    </w:p>
    <w:p w14:paraId="0000003B">
      <w:pPr>
        <w:rPr>
          <w:rFonts w:ascii="Helvetica Neue" w:cs="Helvetica Neue" w:eastAsia="Helvetica Neue" w:hAnsi="Helvetica Neue"/>
        </w:rPr>
      </w:pPr>
      <w:r>
        <w:rPr>
          <w:rFonts w:ascii="Helvetica Neue" w:cs="Helvetica Neue" w:eastAsia="Helvetica Neue" w:hAnsi="Helvetica Neue"/>
        </w:rPr>
        <w:drawing>
          <wp:inline distB="0" distT="0" distL="0" distR="0">
            <wp:extent cx="6126480" cy="3139821"/>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6126480" cy="3139821"/>
                    </a:xfrm>
                    <a:prstGeom prst="rect"/>
                    <a:ln/>
                  </pic:spPr>
                </pic:pic>
              </a:graphicData>
            </a:graphic>
          </wp:inline>
        </w:drawing>
      </w:r>
      <w:r>
        <w:rPr>
          <w:rtl w:val="0"/>
        </w:rPr>
      </w:r>
    </w:p>
    <w:p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0" w:lineRule="auto"/>
        <w:ind w:left="0" w:right="0" w:firstLine="0"/>
        <w:jc w:val="left"/>
        <w:rPr>
          <w:rFonts w:ascii="Helvetica Neue" w:cs="Helvetica Neue" w:eastAsia="Helvetica Neue" w:hAnsi="Helvetica Neue"/>
          <w:color w:val="082a4a"/>
        </w:rPr>
      </w:pPr>
      <w:r>
        <w:rPr>
          <w:rFonts w:ascii="Helvetica Neue" w:cs="Helvetica Neue" w:eastAsia="Helvetica Neue" w:hAnsi="Helvetica Neue"/>
          <w:color w:val="082a4a"/>
          <w:rtl w:val="0"/>
        </w:rPr>
        <w:t>Figure 1. Averill prototype architecture and trust boundary.</w:t>
      </w:r>
    </w:p>
    <w:p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0" w:lineRule="auto"/>
        <w:ind w:left="0" w:right="0" w:firstLine="0"/>
        <w:jc w:val="left"/>
        <w:rPr>
          <w:rFonts w:ascii="Helvetica Neue" w:cs="Helvetica Neue" w:eastAsia="Helvetica Neue" w:hAnsi="Helvetica Neue"/>
          <w:color w:val="082a4a"/>
        </w:rPr>
      </w:pPr>
      <w:r>
        <w:rPr>
          <w:rtl w:val="0"/>
        </w:rPr>
      </w:r>
    </w:p>
    <w:p w14:paraId="0000003E">
      <w:pPr>
        <w:pStyle w:val="Heading3"/>
        <w:spacing w:after="90" w:line="280" w:lineRule="auto"/>
        <w:rPr/>
      </w:pPr>
      <w:bookmarkStart w:colFirst="0" w:colLast="0" w:name="_heading=h.z8y8vnqzkka4" w:id="3"/>
      <w:bookmarkEnd w:id="3"/>
      <w:r>
        <w:rPr>
          <w:rtl w:val="0"/>
        </w:rPr>
        <w:t xml:space="preserve">Core components</w:t>
      </w:r>
    </w:p>
    <w:p w14:paraId="0000003F">
      <w:pPr>
        <w:spacing w:after="0" w:before="20" w:line="240" w:lineRule="auto"/>
        <w:rPr>
          <w:rFonts w:ascii="Helvetica Neue" w:cs="Helvetica Neue" w:eastAsia="Helvetica Neue" w:hAnsi="Helvetica Neue"/>
          <w:sz w:val="16"/>
          <w:szCs w:val="16"/>
        </w:rPr>
      </w:pPr>
      <w:r>
        <w:rPr>
          <w:rtl w:val="0"/>
        </w:rPr>
      </w:r>
    </w:p>
    <w:tbl>
      <w:tblPr>
        <w:tblStyle w:val="Table4"/>
        <w:tblW w:w="10440.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00"/>
      </w:tblPr>
      <w:tblGrid>
        <w:gridCol w:w="2268"/>
        <w:gridCol w:w="3164"/>
        <w:gridCol w:w="2374"/>
        <w:gridCol w:w="2634"/>
        <w:tblGridChange w:id="0">
          <w:tblGrid>
            <w:gridCol w:w="2268"/>
            <w:gridCol w:w="3164"/>
            <w:gridCol w:w="2374"/>
            <w:gridCol w:w="2634"/>
          </w:tblGrid>
        </w:tblGridChange>
      </w:tblGrid>
      <w:tr>
        <w:trPr>
          <w:cantSplit w:val="1"/>
          <w:tblHeader w:val="1"/>
          <w:cantSplit/>
        </w:trPr>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40">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 xml:space="preserve">Component</w:t>
            </w:r>
            <w:r>
              <w:rPr>
                <w:rtl w:val="0"/>
              </w:rPr>
            </w:r>
          </w:p>
        </w:tc>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41">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 xml:space="preserve">Responsibility</w:t>
            </w:r>
            <w:r>
              <w:rPr>
                <w:rtl w:val="0"/>
              </w:rPr>
            </w:r>
          </w:p>
        </w:tc>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42">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 xml:space="preserve">Primary storage</w:t>
            </w:r>
            <w:r>
              <w:rPr>
                <w:rtl w:val="0"/>
              </w:rPr>
            </w:r>
          </w:p>
        </w:tc>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43">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 xml:space="preserve">Failure behavior</w:t>
            </w:r>
            <w:r>
              <w:rPr>
                <w:rtl w:val="0"/>
              </w:rPr>
            </w:r>
          </w:p>
        </w:tc>
      </w:tr>
      <w:tr>
        <w:trPr>
          <w:cantSplit w:val="1"/>
          <w:tblHeader w:val="0"/>
          <w:cantSplit/>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44">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Electron main</w:t>
            </w:r>
            <w:r>
              <w:rPr>
                <w:rtl w:val="0"/>
              </w:rPr>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45">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Owns windows, IPC, sharing, and snapshots.</w:t>
            </w:r>
            <w:r>
              <w:rPr>
                <w:rtl w:val="0"/>
              </w:rPr>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46">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Process memory</w:t>
            </w:r>
            <w:r>
              <w:rPr>
                <w:rtl w:val="0"/>
              </w:rPr>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47">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Window close clears state.</w:t>
            </w:r>
            <w:r>
              <w:rPr>
                <w:rtl w:val="0"/>
              </w:rPr>
            </w:r>
          </w:p>
        </w:tc>
      </w:tr>
      <w:tr>
        <w:trPr>
          <w:cantSplit w:val="1"/>
          <w:tblHeader w:val="0"/>
          <w:cantSplit/>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48">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Rule engine</w:t>
            </w:r>
            <w:r>
              <w:rPr>
                <w:rtl w:val="0"/>
              </w:rPr>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49">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Checks structured campaign state.</w:t>
            </w:r>
            <w:r>
              <w:rPr>
                <w:rtl w:val="0"/>
              </w:rPr>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4A">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Packaged source registry</w:t>
            </w:r>
            <w:r>
              <w:rPr>
                <w:rtl w:val="0"/>
              </w:rPr>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4B">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Returns no finding for unknown kind.</w:t>
            </w:r>
            <w:r>
              <w:rPr>
                <w:rtl w:val="0"/>
              </w:rPr>
            </w:r>
          </w:p>
        </w:tc>
      </w:tr>
      <w:tr>
        <w:trPr>
          <w:cantSplit w:val="1"/>
          <w:tblHeader w:val="0"/>
          <w:cantSplit/>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4C">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AI adapter</w:t>
            </w:r>
            <w:r>
              <w:rPr>
                <w:rtl w:val="0"/>
              </w:rPr>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4D">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Calls Nebius only after opt-in.</w:t>
            </w:r>
            <w:r>
              <w:rPr>
                <w:rtl w:val="0"/>
              </w:rPr>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4E">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Local sources and remote API</w:t>
            </w:r>
            <w:r>
              <w:rPr>
                <w:rtl w:val="0"/>
              </w:rPr>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4F">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Falls back to local answer.</w:t>
            </w:r>
            <w:r>
              <w:rPr>
                <w:rtl w:val="0"/>
              </w:rPr>
            </w:r>
          </w:p>
        </w:tc>
      </w:tr>
      <w:tr>
        <w:trPr>
          <w:cantSplit w:val="1"/>
          <w:tblHeader w:val="0"/>
          <w:cantSplit/>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50">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Work renderers</w:t>
            </w:r>
            <w:r>
              <w:rPr>
                <w:rtl w:val="0"/>
              </w:rPr>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51">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Capture supplied demo form state.</w:t>
            </w:r>
            <w:r>
              <w:rPr>
                <w:rtl w:val="0"/>
              </w:rPr>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52">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localStorage on Save draft</w:t>
            </w:r>
            <w:r>
              <w:rPr>
                <w:rtl w:val="0"/>
              </w:rPr>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53">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Unsaved changes are transient.</w:t>
            </w:r>
            <w:r>
              <w:rPr>
                <w:rtl w:val="0"/>
              </w:rPr>
            </w:r>
          </w:p>
        </w:tc>
      </w:tr>
      <w:tr>
        <w:trPr>
          <w:cantSplit w:val="1"/>
          <w:trHeight w:val="58" w:hRule="atLeast"/>
          <w:tblHeader w:val="0"/>
          <w:cantSplit/>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54">
            <w:pPr>
              <w:spacing w:after="25" w:line="285" w:lineRule="auto"/>
              <w:rPr>
                <w:rFonts w:ascii="Helvetica Neue" w:cs="Helvetica Neue" w:eastAsia="Helvetica Neue" w:hAnsi="Helvetica Neue"/>
              </w:rPr>
            </w:pPr>
            <w:r>
              <w:rPr>
                <w:rFonts w:ascii="Helvetica Neue" w:cs="Helvetica Neue" w:eastAsia="Helvetica Neue" w:hAnsi="Helvetica Neue"/>
                <w:color w:val="233447"/>
                <w:rtl w:val="0"/>
              </w:rPr>
              <w:t>Assistant renderer</w:t>
            </w:r>
            <w:r>
              <w:rPr>
                <w:rtl w:val="0"/>
              </w:rPr>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55">
            <w:pPr>
              <w:spacing w:after="25" w:line="285" w:lineRule="auto"/>
              <w:rPr>
                <w:rFonts w:ascii="Helvetica Neue" w:cs="Helvetica Neue" w:eastAsia="Helvetica Neue" w:hAnsi="Helvetica Neue"/>
              </w:rPr>
            </w:pPr>
            <w:r>
              <w:rPr>
                <w:rFonts w:ascii="Helvetica Neue" w:cs="Helvetica Neue" w:eastAsia="Helvetica Neue" w:hAnsi="Helvetica Neue"/>
                <w:color w:val="233447"/>
                <w:rtl w:val="0"/>
              </w:rPr>
              <w:t>Shows findings, sources, and answers.</w:t>
            </w:r>
            <w:r>
              <w:rPr>
                <w:rtl w:val="0"/>
              </w:rPr>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56">
            <w:pPr>
              <w:spacing w:after="25" w:line="285" w:lineRule="auto"/>
              <w:rPr>
                <w:rFonts w:ascii="Helvetica Neue" w:cs="Helvetica Neue" w:eastAsia="Helvetica Neue" w:hAnsi="Helvetica Neue"/>
              </w:rPr>
            </w:pPr>
            <w:r>
              <w:rPr>
                <w:rFonts w:ascii="Helvetica Neue" w:cs="Helvetica Neue" w:eastAsia="Helvetica Neue" w:hAnsi="Helvetica Neue"/>
                <w:color w:val="233447"/>
                <w:rtl w:val="0"/>
              </w:rPr>
              <w:t>No durable store</w:t>
            </w:r>
            <w:r>
              <w:rPr>
                <w:rtl w:val="0"/>
              </w:rPr>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57">
            <w:pPr>
              <w:spacing w:after="25" w:line="285" w:lineRule="auto"/>
              <w:rPr>
                <w:rFonts w:ascii="Helvetica Neue" w:cs="Helvetica Neue" w:eastAsia="Helvetica Neue" w:hAnsi="Helvetica Neue"/>
              </w:rPr>
            </w:pPr>
            <w:r>
              <w:rPr>
                <w:rFonts w:ascii="Helvetica Neue" w:cs="Helvetica Neue" w:eastAsia="Helvetica Neue" w:hAnsi="Helvetica Neue"/>
                <w:color w:val="233447"/>
                <w:rtl w:val="0"/>
              </w:rPr>
              <w:t>Can be reopened with a fresh view.</w:t>
            </w:r>
            <w:r>
              <w:rPr>
                <w:rtl w:val="0"/>
              </w:rPr>
            </w:r>
          </w:p>
        </w:tc>
      </w:tr>
    </w:tbl>
    <w:p w14:paraId="00000058">
      <w:pPr>
        <w:pStyle w:val="Heading1"/>
        <w:spacing w:before="0" w:line="120" w:lineRule="auto"/>
        <w:rPr>
          <w:rFonts w:ascii="Helvetica Neue" w:cs="Helvetica Neue" w:eastAsia="Helvetica Neue" w:hAnsi="Helvetica Neue"/>
          <w:color w:val="000000"/>
        </w:rPr>
      </w:pPr>
      <w:r>
        <w:rPr>
          <w:rtl w:val="0"/>
        </w:rPr>
      </w:r>
    </w:p>
    <w:p w14:paraId="00000059">
      <w:pPr>
        <w:pStyle w:val="Heading1"/>
        <w:spacing w:before="0" w:line="120" w:lineRule="auto"/>
        <w:rPr>
          <w:rFonts w:ascii="Helvetica Neue" w:cs="Helvetica Neue" w:eastAsia="Helvetica Neue" w:hAnsi="Helvetica Neue"/>
          <w:color w:val="000000"/>
        </w:rPr>
      </w:pPr>
      <w:r>
        <w:rPr>
          <w:rtl w:val="0"/>
        </w:rPr>
      </w:r>
    </w:p>
    <w:p w14:paraId="0000005A">
      <w:pPr>
        <w:pStyle w:val="Heading1"/>
        <w:rPr>
          <w:rFonts w:ascii="Helvetica Neue" w:cs="Helvetica Neue" w:eastAsia="Helvetica Neue" w:hAnsi="Helvetica Neue"/>
        </w:rPr>
      </w:pPr>
      <w:r>
        <w:rPr>
          <w:rFonts w:ascii="Helvetica Neue" w:cs="Helvetica Neue" w:eastAsia="Helvetica Neue" w:hAnsi="Helvetica Neue"/>
          <w:rtl w:val="0"/>
        </w:rPr>
        <w:t xml:space="preserve">5.  Request Lifecycle</w:t>
      </w:r>
    </w:p>
    <w:p w14:paraId="0000005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45" w:before="0" w:line="290" w:lineRule="auto"/>
        <w:ind w:left="360" w:right="0" w:hanging="360"/>
        <w:jc w:val="both"/>
        <w:rPr>
          <w:rFonts w:ascii="Helvetica Neue" w:cs="Helvetica Neue" w:eastAsia="Helvetica Neue" w:hAnsi="Helvetica Neue"/>
        </w:rPr>
      </w:pPr>
      <w:r>
        <w:rPr>
          <w:rFonts w:ascii="Helvetica Neue" w:cs="Helvetica Neue" w:eastAsia="Helvetica Neue" w:hAnsi="Helvetica Neue"/>
          <w:i w:val="0"/>
          <w:iCs w:val="0"/>
          <w:smallCaps w:val="0"/>
          <w:strike w:val="0"/>
          <w:color w:val="233447"/>
          <w:sz w:val="20"/>
          <w:szCs w:val="20"/>
          <w:u w:val="none"/>
          <w:shd w:fill="auto" w:val="clear"/>
          <w:vertAlign w:val="baseline"/>
          <w:rtl w:val="0"/>
        </w:rPr>
        <w:t>An employee opens and shares Email Studio, Social Publisher, or Campaign Files. Each renderer emits structured form state when a field is left or a selection changes.</w:t>
      </w:r>
      <w:r>
        <w:rPr>
          <w:rtl w:val="0"/>
        </w:rPr>
      </w:r>
    </w:p>
    <w:p w14:paraId="0000005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45" w:before="0" w:line="290" w:lineRule="auto"/>
        <w:ind w:left="360" w:right="0" w:hanging="360"/>
        <w:jc w:val="both"/>
        <w:rPr>
          <w:rFonts w:ascii="Helvetica Neue" w:cs="Helvetica Neue" w:eastAsia="Helvetica Neue" w:hAnsi="Helvetica Neue"/>
        </w:rPr>
      </w:pPr>
      <w:r>
        <w:rPr>
          <w:rFonts w:ascii="Helvetica Neue" w:cs="Helvetica Neue" w:eastAsia="Helvetica Neue" w:hAnsi="Helvetica Neue"/>
          <w:i w:val="0"/>
          <w:iCs w:val="0"/>
          <w:smallCaps w:val="0"/>
          <w:strike w:val="0"/>
          <w:color w:val="233447"/>
          <w:sz w:val="20"/>
          <w:szCs w:val="20"/>
          <w:u w:val="none"/>
          <w:shd w:fill="auto" w:val="clear"/>
          <w:vertAlign w:val="baseline"/>
          <w:rtl w:val="0"/>
        </w:rPr>
        <w:t>The main process accepts updates only from the matching open work window and one of three known work kinds. The prototype has no account or tenant authentication.</w:t>
      </w:r>
      <w:r>
        <w:rPr>
          <w:rtl w:val="0"/>
        </w:rPr>
      </w:r>
    </w:p>
    <w:p w14:paraId="0000005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45" w:before="0" w:line="290" w:lineRule="auto"/>
        <w:ind w:left="360" w:right="0" w:hanging="360"/>
        <w:jc w:val="both"/>
        <w:rPr>
          <w:rFonts w:ascii="Helvetica Neue" w:cs="Helvetica Neue" w:eastAsia="Helvetica Neue" w:hAnsi="Helvetica Neue"/>
        </w:rPr>
      </w:pPr>
      <w:r>
        <w:rPr>
          <w:rFonts w:ascii="Helvetica Neue" w:cs="Helvetica Neue" w:eastAsia="Helvetica Neue" w:hAnsi="Helvetica Neue"/>
          <w:i w:val="0"/>
          <w:iCs w:val="0"/>
          <w:smallCaps w:val="0"/>
          <w:strike w:val="0"/>
          <w:color w:val="233447"/>
          <w:sz w:val="20"/>
          <w:szCs w:val="20"/>
          <w:u w:val="none"/>
          <w:shd w:fill="auto" w:val="clear"/>
          <w:vertAlign w:val="baseline"/>
          <w:rtl w:val="0"/>
        </w:rPr>
        <w:t>The main process holds open windows, shared windows, and latest form state. The source registry resolves only fixed IDs to packaged local documents and assets.</w:t>
      </w:r>
      <w:r>
        <w:rPr>
          <w:rtl w:val="0"/>
        </w:rPr>
      </w:r>
    </w:p>
    <w:p w14:paraId="0000005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45" w:before="0" w:line="290" w:lineRule="auto"/>
        <w:ind w:left="360" w:right="0" w:hanging="360"/>
        <w:jc w:val="both"/>
        <w:rPr>
          <w:rFonts w:ascii="Helvetica Neue" w:cs="Helvetica Neue" w:eastAsia="Helvetica Neue" w:hAnsi="Helvetica Neue"/>
        </w:rPr>
      </w:pPr>
      <w:r>
        <w:rPr>
          <w:rFonts w:ascii="Helvetica Neue" w:cs="Helvetica Neue" w:eastAsia="Helvetica Neue" w:hAnsi="Helvetica Neue"/>
          <w:i w:val="0"/>
          <w:iCs w:val="0"/>
          <w:smallCaps w:val="0"/>
          <w:strike w:val="0"/>
          <w:color w:val="233447"/>
          <w:sz w:val="20"/>
          <w:szCs w:val="20"/>
          <w:u w:val="none"/>
          <w:shd w:fill="auto" w:val="clear"/>
          <w:vertAlign w:val="baseline"/>
          <w:rtl w:val="0"/>
        </w:rPr>
        <w:t>For shared windows, the rule engine inspects the state and returns findings with title, explanation, action, and source. Unshared state produces no finding.</w:t>
      </w:r>
      <w:r>
        <w:rPr>
          <w:rtl w:val="0"/>
        </w:rPr>
      </w:r>
    </w:p>
    <w:p w14:paraId="0000005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45" w:before="0" w:line="290" w:lineRule="auto"/>
        <w:ind w:left="360" w:right="0" w:hanging="360"/>
        <w:jc w:val="both"/>
        <w:rPr>
          <w:rFonts w:ascii="Helvetica Neue" w:cs="Helvetica Neue" w:eastAsia="Helvetica Neue" w:hAnsi="Helvetica Neue"/>
        </w:rPr>
      </w:pPr>
      <w:r>
        <w:rPr>
          <w:rFonts w:ascii="Helvetica Neue" w:cs="Helvetica Neue" w:eastAsia="Helvetica Neue" w:hAnsi="Helvetica Neue"/>
          <w:i w:val="0"/>
          <w:iCs w:val="0"/>
          <w:smallCaps w:val="0"/>
          <w:strike w:val="0"/>
          <w:color w:val="233447"/>
          <w:sz w:val="20"/>
          <w:szCs w:val="20"/>
          <w:u w:val="none"/>
          <w:shd w:fill="auto" w:val="clear"/>
          <w:vertAlign w:val="baseline"/>
          <w:rtl w:val="0"/>
        </w:rPr>
        <w:t>No durable write precedes a finding. A draft is saved to renderer localStorage only when the employee presses Save draft; Averill never saves or publishes it automatically.</w:t>
      </w:r>
      <w:r>
        <w:rPr>
          <w:rtl w:val="0"/>
        </w:rPr>
      </w:r>
    </w:p>
    <w:p w14:paraId="0000006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45" w:before="0" w:line="290" w:lineRule="auto"/>
        <w:ind w:left="360" w:right="0" w:hanging="360"/>
        <w:jc w:val="both"/>
        <w:rPr>
          <w:rFonts w:ascii="Helvetica Neue" w:cs="Helvetica Neue" w:eastAsia="Helvetica Neue" w:hAnsi="Helvetica Neue"/>
        </w:rPr>
      </w:pPr>
      <w:r>
        <w:rPr>
          <w:rFonts w:ascii="Helvetica Neue" w:cs="Helvetica Neue" w:eastAsia="Helvetica Neue" w:hAnsi="Helvetica Neue"/>
          <w:i w:val="0"/>
          <w:iCs w:val="0"/>
          <w:smallCaps w:val="0"/>
          <w:strike w:val="0"/>
          <w:color w:val="233447"/>
          <w:sz w:val="20"/>
          <w:szCs w:val="20"/>
          <w:u w:val="none"/>
          <w:shd w:fill="auto" w:val="clear"/>
          <w:vertAlign w:val="baseline"/>
          <w:rtl w:val="0"/>
        </w:rPr>
        <w:t>Question answers use local lookup by default. When explicitly enabled, Nebius receives the question and four synthetic text sources. The request has a 30-second timeout; failure returns the local answer.</w:t>
      </w:r>
      <w:r>
        <w:rPr>
          <w:rtl w:val="0"/>
        </w:rPr>
      </w:r>
    </w:p>
    <w:p w14:paraId="0000006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45" w:before="0" w:line="290" w:lineRule="auto"/>
        <w:ind w:left="360" w:right="0" w:hanging="360"/>
        <w:jc w:val="both"/>
        <w:rPr>
          <w:rFonts w:ascii="Helvetica Neue" w:cs="Helvetica Neue" w:eastAsia="Helvetica Neue" w:hAnsi="Helvetica Neue"/>
        </w:rPr>
      </w:pPr>
      <w:r>
        <w:rPr>
          <w:rFonts w:ascii="Helvetica Neue" w:cs="Helvetica Neue" w:eastAsia="Helvetica Neue" w:hAnsi="Helvetica Neue"/>
          <w:i w:val="0"/>
          <w:iCs w:val="0"/>
          <w:smallCaps w:val="0"/>
          <w:strike w:val="0"/>
          <w:color w:val="233447"/>
          <w:sz w:val="20"/>
          <w:szCs w:val="20"/>
          <w:u w:val="none"/>
          <w:shd w:fill="auto" w:val="clear"/>
          <w:vertAlign w:val="baseline"/>
          <w:rtl w:val="0"/>
        </w:rPr>
        <w:t>The main process emits a snapshot to the assistant and sharing state to work windows. There is no telemetry, server-side audit log, or automatic retry in this prototype.</w:t>
      </w:r>
      <w:r>
        <w:rPr>
          <w:rtl w:val="0"/>
        </w:rPr>
      </w:r>
    </w:p>
    <w:p w14:paraId="00000062">
      <w:pPr>
        <w:pStyle w:val="Heading1"/>
        <w:spacing w:before="0" w:line="168" w:lineRule="auto"/>
        <w:rPr>
          <w:rFonts w:ascii="Helvetica Neue" w:cs="Helvetica Neue" w:eastAsia="Helvetica Neue" w:hAnsi="Helvetica Neue"/>
          <w:color w:val="000000"/>
        </w:rPr>
      </w:pPr>
      <w:r>
        <w:rPr>
          <w:rtl w:val="0"/>
        </w:rPr>
      </w:r>
    </w:p>
    <w:p w14:paraId="00000063">
      <w:pPr>
        <w:pStyle w:val="Heading1"/>
        <w:rPr>
          <w:rFonts w:ascii="Helvetica Neue" w:cs="Helvetica Neue" w:eastAsia="Helvetica Neue" w:hAnsi="Helvetica Neue"/>
        </w:rPr>
      </w:pPr>
      <w:r>
        <w:rPr>
          <w:rFonts w:ascii="Helvetica Neue" w:cs="Helvetica Neue" w:eastAsia="Helvetica Neue" w:hAnsi="Helvetica Neue"/>
          <w:rtl w:val="0"/>
        </w:rPr>
        <w:t xml:space="preserve">6.  API and Data Contracts</w:t>
      </w:r>
    </w:p>
    <w:p w14:paraId="00000064">
      <w:pPr>
        <w:pStyle w:val="Heading3"/>
        <w:spacing w:after="90" w:line="280" w:lineRule="auto"/>
        <w:rPr/>
      </w:pPr>
      <w:bookmarkStart w:colFirst="0" w:colLast="0" w:name="_heading=h.tw1sfexklg0y" w:id="4"/>
      <w:bookmarkEnd w:id="4"/>
      <w:r>
        <w:rPr>
          <w:rtl w:val="0"/>
        </w:rPr>
        <w:t xml:space="preserve">Primary data contract</w:t>
      </w:r>
    </w:p>
    <w:p w14:paraId="00000065">
      <w:pPr>
        <w:spacing w:after="0" w:line="192" w:lineRule="auto"/>
        <w:rPr>
          <w:rFonts w:ascii="Helvetica Neue" w:cs="Helvetica Neue" w:eastAsia="Helvetica Neue" w:hAnsi="Helvetica Neue"/>
          <w:sz w:val="16"/>
          <w:szCs w:val="16"/>
        </w:rPr>
      </w:pPr>
      <w:r>
        <w:rPr>
          <w:rtl w:val="0"/>
        </w:rPr>
      </w:r>
    </w:p>
    <w:tbl>
      <w:tblPr>
        <w:tblStyle w:val="Table5"/>
        <w:tblW w:w="10440.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00"/>
      </w:tblPr>
      <w:tblGrid>
        <w:gridCol w:w="2344"/>
        <w:gridCol w:w="1921"/>
        <w:gridCol w:w="1873"/>
        <w:gridCol w:w="4302"/>
        <w:tblGridChange w:id="0">
          <w:tblGrid>
            <w:gridCol w:w="2344"/>
            <w:gridCol w:w="1921"/>
            <w:gridCol w:w="1873"/>
            <w:gridCol w:w="4302"/>
          </w:tblGrid>
        </w:tblGridChange>
      </w:tblGrid>
      <w:tr>
        <w:trPr>
          <w:cantSplit w:val="1"/>
          <w:tblHeader w:val="1"/>
          <w:cantSplit/>
        </w:trPr>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66">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 xml:space="preserve">Field</w:t>
            </w:r>
            <w:r>
              <w:rPr>
                <w:rtl w:val="0"/>
              </w:rPr>
            </w:r>
          </w:p>
        </w:tc>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67">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 xml:space="preserve">Type</w:t>
            </w:r>
            <w:r>
              <w:rPr>
                <w:rtl w:val="0"/>
              </w:rPr>
            </w:r>
          </w:p>
        </w:tc>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68">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 xml:space="preserve">Required</w:t>
            </w:r>
            <w:r>
              <w:rPr>
                <w:rtl w:val="0"/>
              </w:rPr>
            </w:r>
          </w:p>
        </w:tc>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69">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 xml:space="preserve">Description</w:t>
            </w:r>
            <w:r>
              <w:rPr>
                <w:rtl w:val="0"/>
              </w:rPr>
            </w:r>
          </w:p>
        </w:tc>
      </w:tr>
      <w:tr>
        <w:trPr>
          <w:cantSplit w:val="1"/>
          <w:tblHeader w:val="0"/>
          <w:cantSplit/>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6A">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kind</w:t>
            </w:r>
            <w:r>
              <w:rPr>
                <w:rtl w:val="0"/>
              </w:rPr>
            </w:r>
          </w:p>
        </w:tc>
        <w:tc>
          <w:tcPr>
            <w:tcBorders>
              <w:top w:color="ffffff" w:space="0" w:sz="6" w:val="single"/>
              <w:left w:color="ffffff" w:space="0" w:sz="6" w:val="single"/>
              <w:bottom w:color="ffffff" w:space="0" w:sz="6" w:val="single"/>
              <w:right w:color="ffffff" w:space="0" w:sz="6" w:val="single"/>
            </w:tcBorders>
            <w:tcMar>
              <w:top w:w="110.0" w:type="dxa"/>
              <w:left w:w="120.0" w:type="dxa"/>
              <w:bottom w:w="110.0" w:type="dxa"/>
              <w:right w:w="120.0" w:type="dxa"/>
            </w:tcMar>
            <w:vAlign w:val="center"/>
          </w:tcPr>
          <w:p w14:paraId="0000006B">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enum</w:t>
            </w:r>
            <w:r>
              <w:rPr>
                <w:rtl w:val="0"/>
              </w:rPr>
            </w:r>
          </w:p>
        </w:tc>
        <w:tc>
          <w:tcPr>
            <w:tcBorders>
              <w:top w:color="ffffff" w:space="0" w:sz="6" w:val="single"/>
              <w:left w:color="ffffff" w:space="0" w:sz="6" w:val="single"/>
              <w:bottom w:color="ffffff" w:space="0" w:sz="6" w:val="single"/>
              <w:right w:color="ffffff" w:space="0" w:sz="6" w:val="single"/>
            </w:tcBorders>
            <w:tcMar>
              <w:top w:w="110.0" w:type="dxa"/>
              <w:left w:w="120.0" w:type="dxa"/>
              <w:bottom w:w="110.0" w:type="dxa"/>
              <w:right w:w="120.0" w:type="dxa"/>
            </w:tcMar>
            <w:vAlign w:val="center"/>
          </w:tcPr>
          <w:p w14:paraId="0000006C">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Yes</w:t>
            </w:r>
            <w:r>
              <w:rPr>
                <w:rtl w:val="0"/>
              </w:rPr>
            </w:r>
          </w:p>
        </w:tc>
        <w:tc>
          <w:tcPr>
            <w:tcBorders>
              <w:top w:color="ffffff" w:space="0" w:sz="6" w:val="single"/>
              <w:left w:color="ffffff" w:space="0" w:sz="6" w:val="single"/>
              <w:bottom w:color="ffffff" w:space="0" w:sz="6" w:val="single"/>
              <w:right w:color="ffffff" w:space="0" w:sz="6" w:val="single"/>
            </w:tcBorders>
            <w:tcMar>
              <w:top w:w="110.0" w:type="dxa"/>
              <w:left w:w="120.0" w:type="dxa"/>
              <w:bottom w:w="110.0" w:type="dxa"/>
              <w:right w:w="120.0" w:type="dxa"/>
            </w:tcMar>
            <w:vAlign w:val="center"/>
          </w:tcPr>
          <w:p w14:paraId="0000006D">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email, social, or handover.</w:t>
            </w:r>
            <w:r>
              <w:rPr>
                <w:rtl w:val="0"/>
              </w:rPr>
            </w:r>
          </w:p>
        </w:tc>
      </w:tr>
      <w:tr>
        <w:trPr>
          <w:cantSplit w:val="1"/>
          <w:tblHeader w:val="0"/>
          <w:cantSplit/>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6E">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data</w:t>
            </w:r>
            <w:r>
              <w:rPr>
                <w:rtl w:val="0"/>
              </w:rPr>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6F">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object</w:t>
            </w:r>
            <w:r>
              <w:rPr>
                <w:rtl w:val="0"/>
              </w:rPr>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70">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Yes</w:t>
            </w:r>
            <w:r>
              <w:rPr>
                <w:rtl w:val="0"/>
              </w:rPr>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71">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Structured fields from its own work window.</w:t>
            </w:r>
            <w:r>
              <w:rPr>
                <w:rtl w:val="0"/>
              </w:rPr>
            </w:r>
          </w:p>
        </w:tc>
      </w:tr>
      <w:tr>
        <w:trPr>
          <w:cantSplit w:val="1"/>
          <w:tblHeader w:val="0"/>
          <w:cantSplit/>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72">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shared</w:t>
            </w:r>
            <w:r>
              <w:rPr>
                <w:rtl w:val="0"/>
              </w:rPr>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73">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boolean</w:t>
            </w:r>
            <w:r>
              <w:rPr>
                <w:rtl w:val="0"/>
              </w:rPr>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74">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Derived</w:t>
            </w:r>
            <w:r>
              <w:rPr>
                <w:rtl w:val="0"/>
              </w:rPr>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75">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Main-process state gates findings.</w:t>
            </w:r>
            <w:r>
              <w:rPr>
                <w:rtl w:val="0"/>
              </w:rPr>
            </w:r>
          </w:p>
        </w:tc>
      </w:tr>
      <w:tr>
        <w:trPr>
          <w:cantSplit w:val="1"/>
          <w:tblHeader w:val="0"/>
          <w:cantSplit/>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76">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finding.id</w:t>
            </w:r>
            <w:r>
              <w:rPr>
                <w:rtl w:val="0"/>
              </w:rPr>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77">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string</w:t>
            </w:r>
            <w:r>
              <w:rPr>
                <w:rtl w:val="0"/>
              </w:rPr>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78">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Output</w:t>
            </w:r>
            <w:r>
              <w:rPr>
                <w:rtl w:val="0"/>
              </w:rPr>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79">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Stable rule identifier for the issue.</w:t>
            </w:r>
            <w:r>
              <w:rPr>
                <w:rtl w:val="0"/>
              </w:rPr>
            </w:r>
          </w:p>
        </w:tc>
      </w:tr>
      <w:tr>
        <w:trPr>
          <w:cantSplit w:val="1"/>
          <w:tblHeader w:val="0"/>
          <w:cantSplit/>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7A">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finding.source</w:t>
            </w:r>
            <w:r>
              <w:rPr>
                <w:rtl w:val="0"/>
              </w:rPr>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7B">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object</w:t>
            </w:r>
            <w:r>
              <w:rPr>
                <w:rtl w:val="0"/>
              </w:rPr>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7C">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Output</w:t>
            </w:r>
            <w:r>
              <w:rPr>
                <w:rtl w:val="0"/>
              </w:rPr>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7D">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Fixed registry entry; no arbitrary path.</w:t>
            </w:r>
            <w:r>
              <w:rPr>
                <w:rtl w:val="0"/>
              </w:rPr>
            </w:r>
          </w:p>
        </w:tc>
      </w:tr>
      <w:tr>
        <w:trPr>
          <w:cantSplit w:val="1"/>
          <w:tblHeader w:val="0"/>
          <w:cantSplit/>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7E">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question</w:t>
            </w:r>
            <w:r>
              <w:rPr>
                <w:rtl w:val="0"/>
              </w:rPr>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7F">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string</w:t>
            </w:r>
            <w:r>
              <w:rPr>
                <w:rtl w:val="0"/>
              </w:rPr>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80">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For ask</w:t>
            </w:r>
            <w:r>
              <w:rPr>
                <w:rtl w:val="0"/>
              </w:rPr>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81">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Trimmed and capped at 1,000 characters.</w:t>
            </w:r>
            <w:r>
              <w:rPr>
                <w:rtl w:val="0"/>
              </w:rPr>
            </w:r>
          </w:p>
        </w:tc>
      </w:tr>
      <w:tr>
        <w:trPr>
          <w:cantSplit w:val="1"/>
          <w:tblHeader w:val="0"/>
          <w:cantSplit/>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82">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source_ids</w:t>
            </w:r>
            <w:r>
              <w:rPr>
                <w:rtl w:val="0"/>
              </w:rPr>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83">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string[]</w:t>
            </w:r>
            <w:r>
              <w:rPr>
                <w:rtl w:val="0"/>
              </w:rPr>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84">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AI output</w:t>
            </w:r>
            <w:r>
              <w:rPr>
                <w:rtl w:val="0"/>
              </w:rPr>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85">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Validated against text-source registry.</w:t>
            </w:r>
            <w:r>
              <w:rPr>
                <w:rtl w:val="0"/>
              </w:rPr>
            </w:r>
          </w:p>
        </w:tc>
      </w:tr>
    </w:tbl>
    <w:p w14:paraId="00000086">
      <w:pPr>
        <w:spacing w:after="0" w:line="192" w:lineRule="auto"/>
        <w:rPr>
          <w:rFonts w:ascii="Helvetica Neue" w:cs="Helvetica Neue" w:eastAsia="Helvetica Neue" w:hAnsi="Helvetica Neue"/>
          <w:sz w:val="16"/>
          <w:szCs w:val="16"/>
        </w:rPr>
      </w:pPr>
      <w:r>
        <w:rPr>
          <w:rtl w:val="0"/>
        </w:rPr>
      </w:r>
    </w:p>
    <w:p w14:paraId="00000087">
      <w:pPr>
        <w:pStyle w:val="Heading3"/>
        <w:spacing w:after="90" w:line="280" w:lineRule="auto"/>
        <w:rPr/>
      </w:pPr>
      <w:bookmarkStart w:colFirst="0" w:colLast="0" w:name="_heading=h.379jmrhyew9b" w:id="5"/>
      <w:bookmarkEnd w:id="5"/>
      <w:r>
        <w:rPr>
          <w:rtl w:val="0"/>
        </w:rPr>
        <w:t xml:space="preserve">Contract guarantees</w:t>
      </w:r>
    </w:p>
    <w:p w14:paraId="00000088">
      <w:pPr>
        <w:spacing w:after="0" w:line="192" w:lineRule="auto"/>
        <w:rPr>
          <w:rFonts w:ascii="Helvetica Neue" w:cs="Helvetica Neue" w:eastAsia="Helvetica Neue" w:hAnsi="Helvetica Neue"/>
          <w:sz w:val="16"/>
          <w:szCs w:val="16"/>
        </w:rPr>
      </w:pPr>
      <w:r>
        <w:rPr>
          <w:rtl w:val="0"/>
        </w:rPr>
      </w:r>
    </w:p>
    <w:p w14:paraId="000000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5" w:before="0" w:line="290" w:lineRule="auto"/>
        <w:ind w:left="720" w:right="0" w:hanging="360"/>
        <w:jc w:val="both"/>
        <w:rPr>
          <w:rFonts w:ascii="Helvetica Neue" w:cs="Helvetica Neue" w:eastAsia="Helvetica Neue" w:hAnsi="Helvetica Neue"/>
        </w:rPr>
      </w:pPr>
      <w:r>
        <w:rPr>
          <w:rFonts w:ascii="Helvetica Neue" w:cs="Helvetica Neue" w:eastAsia="Helvetica Neue" w:hAnsi="Helvetica Neue"/>
          <w:i w:val="0"/>
          <w:iCs w:val="0"/>
          <w:smallCaps w:val="0"/>
          <w:strike w:val="0"/>
          <w:color w:val="233447"/>
          <w:sz w:val="20"/>
          <w:szCs w:val="20"/>
          <w:u w:val="none"/>
          <w:shd w:fill="auto" w:val="clear"/>
          <w:vertAlign w:val="baseline"/>
          <w:rtl w:val="0"/>
        </w:rPr>
        <w:t>Only a matching open work window may submit its own state. Sharing controls whether findings are emitted; source IDs must exist in the fixed registry.</w:t>
      </w:r>
      <w:r>
        <w:rPr>
          <w:rtl w:val="0"/>
        </w:rPr>
      </w:r>
    </w:p>
    <w:p w14:paraId="000000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5" w:before="0" w:line="290" w:lineRule="auto"/>
        <w:ind w:left="720" w:right="0" w:hanging="360"/>
        <w:jc w:val="both"/>
        <w:rPr>
          <w:rFonts w:ascii="Helvetica Neue" w:cs="Helvetica Neue" w:eastAsia="Helvetica Neue" w:hAnsi="Helvetica Neue"/>
        </w:rPr>
      </w:pPr>
      <w:r>
        <w:rPr>
          <w:rFonts w:ascii="Helvetica Neue" w:cs="Helvetica Neue" w:eastAsia="Helvetica Neue" w:hAnsi="Helvetica Neue"/>
          <w:i w:val="0"/>
          <w:iCs w:val="0"/>
          <w:smallCaps w:val="0"/>
          <w:strike w:val="0"/>
          <w:color w:val="233447"/>
          <w:sz w:val="20"/>
          <w:szCs w:val="20"/>
          <w:u w:val="none"/>
          <w:shd w:fill="auto" w:val="clear"/>
          <w:vertAlign w:val="baseline"/>
          <w:rtl w:val="0"/>
        </w:rPr>
        <w:t>State is overwritten per work kind. The prototype does not use event IDs, durable ordering, or cross-window replay.</w:t>
      </w:r>
      <w:r>
        <w:rPr>
          <w:rtl w:val="0"/>
        </w:rPr>
      </w:r>
    </w:p>
    <w:p w14:paraId="000000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5" w:before="0" w:line="290" w:lineRule="auto"/>
        <w:ind w:left="720" w:right="0" w:hanging="360"/>
        <w:jc w:val="both"/>
        <w:rPr>
          <w:rFonts w:ascii="Helvetica Neue" w:cs="Helvetica Neue" w:eastAsia="Helvetica Neue" w:hAnsi="Helvetica Neue"/>
        </w:rPr>
      </w:pPr>
      <w:r>
        <w:rPr>
          <w:rFonts w:ascii="Helvetica Neue" w:cs="Helvetica Neue" w:eastAsia="Helvetica Neue" w:hAnsi="Helvetica Neue"/>
          <w:i w:val="0"/>
          <w:iCs w:val="0"/>
          <w:smallCaps w:val="0"/>
          <w:strike w:val="0"/>
          <w:color w:val="233447"/>
          <w:sz w:val="20"/>
          <w:szCs w:val="20"/>
          <w:u w:val="none"/>
          <w:shd w:fill="auto" w:val="clear"/>
          <w:vertAlign w:val="baseline"/>
          <w:rtl w:val="0"/>
        </w:rPr>
        <w:t>Sources have stable registry IDs. The approved brief version is v2; v1 is intentionally superseded. The code does not yet record per-finding source hashes.</w:t>
      </w:r>
      <w:r>
        <w:rPr>
          <w:rtl w:val="0"/>
        </w:rPr>
      </w:r>
    </w:p>
    <w:p w14:paraId="000000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5" w:before="0" w:line="290" w:lineRule="auto"/>
        <w:ind w:left="720" w:right="0" w:hanging="360"/>
        <w:jc w:val="both"/>
        <w:rPr>
          <w:rFonts w:ascii="Helvetica Neue" w:cs="Helvetica Neue" w:eastAsia="Helvetica Neue" w:hAnsi="Helvetica Neue"/>
        </w:rPr>
      </w:pPr>
      <w:r>
        <w:rPr>
          <w:rFonts w:ascii="Helvetica Neue" w:cs="Helvetica Neue" w:eastAsia="Helvetica Neue" w:hAnsi="Helvetica Neue"/>
          <w:i w:val="0"/>
          <w:iCs w:val="0"/>
          <w:smallCaps w:val="0"/>
          <w:strike w:val="0"/>
          <w:color w:val="233447"/>
          <w:sz w:val="20"/>
          <w:szCs w:val="20"/>
          <w:u w:val="none"/>
          <w:shd w:fill="auto" w:val="clear"/>
          <w:vertAlign w:val="baseline"/>
          <w:rtl w:val="0"/>
        </w:rPr>
        <w:t>The static source pack is authoritative for this synthetic campaign. Renderer state is only a draft snapshot, not a company source of truth.</w:t>
      </w:r>
      <w:r>
        <w:rPr>
          <w:rtl w:val="0"/>
        </w:rPr>
      </w:r>
    </w:p>
    <w:p w14:paraId="0000008D">
      <w:pPr>
        <w:spacing w:after="110" w:line="300" w:lineRule="auto"/>
        <w:rPr>
          <w:rFonts w:ascii="Helvetica Neue" w:cs="Helvetica Neue" w:eastAsia="Helvetica Neue" w:hAnsi="Helvetica Neue"/>
        </w:rPr>
      </w:pPr>
      <w:r>
        <w:rPr>
          <w:rFonts w:ascii="Helvetica Neue" w:cs="Helvetica Neue" w:eastAsia="Helvetica Neue" w:hAnsi="Helvetica Neue"/>
          <w:color w:val="233447"/>
          <w:rtl w:val="0"/>
        </w:rPr>
        <w:t>The current bridge is defined in travel-desktop/preload.js and the handlers in travel-desktop/main.js.</w:t>
      </w:r>
      <w:r>
        <w:rPr>
          <w:rtl w:val="0"/>
        </w:rPr>
      </w:r>
    </w:p>
    <w:p w14:paraId="0000008E">
      <w:pPr>
        <w:spacing w:after="110" w:line="300" w:lineRule="auto"/>
        <w:rPr>
          <w:rFonts w:ascii="Helvetica Neue" w:cs="Helvetica Neue" w:eastAsia="Helvetica Neue" w:hAnsi="Helvetica Neue"/>
        </w:rPr>
      </w:pPr>
      <w:r>
        <w:rPr>
          <w:rFonts w:ascii="Helvetica Neue" w:cs="Helvetica Neue" w:eastAsia="Helvetica Neue" w:hAnsi="Helvetica Neue"/>
          <w:color w:val="233447"/>
          <w:rtl w:val="0"/>
        </w:rPr>
      </w:r>
      <w:r>
        <w:rPr>
          <w:rtl w:val="0"/>
        </w:rPr>
      </w:r>
    </w:p>
    <w:p w14:paraId="0000008F">
      <w:pPr>
        <w:pStyle w:val="Heading1"/>
        <w:spacing w:before="0" w:line="120" w:lineRule="auto"/>
        <w:rPr>
          <w:rFonts w:ascii="Helvetica Neue" w:cs="Helvetica Neue" w:eastAsia="Helvetica Neue" w:hAnsi="Helvetica Neue"/>
          <w:color w:val="000000"/>
        </w:rPr>
      </w:pPr>
      <w:r>
        <w:rPr>
          <w:rtl w:val="0"/>
        </w:rPr>
      </w:r>
    </w:p>
    <w:p w14:paraId="00000090">
      <w:pPr>
        <w:pStyle w:val="Heading1"/>
        <w:rPr>
          <w:rFonts w:ascii="Helvetica Neue" w:cs="Helvetica Neue" w:eastAsia="Helvetica Neue" w:hAnsi="Helvetica Neue"/>
        </w:rPr>
      </w:pPr>
      <w:r>
        <w:rPr>
          <w:rFonts w:ascii="Helvetica Neue" w:cs="Helvetica Neue" w:eastAsia="Helvetica Neue" w:hAnsi="Helvetica Neue"/>
          <w:rtl w:val="0"/>
        </w:rPr>
        <w:t xml:space="preserve">7. Consistency, Idempotency, and Replay</w:t>
      </w:r>
    </w:p>
    <w:p w14:paraId="00000091">
      <w:pPr>
        <w:spacing w:after="0" w:line="96" w:lineRule="auto"/>
        <w:rPr>
          <w:rFonts w:ascii="Helvetica Neue" w:cs="Helvetica Neue" w:eastAsia="Helvetica Neue" w:hAnsi="Helvetica Neue"/>
        </w:rPr>
      </w:pPr>
      <w:r>
        <w:rPr>
          <w:rtl w:val="0"/>
        </w:rPr>
      </w:r>
    </w:p>
    <w:p w14:paraId="00000092">
      <w:pPr>
        <w:spacing w:after="110" w:line="300" w:lineRule="auto"/>
        <w:jc w:val="both"/>
        <w:rPr>
          <w:rFonts w:ascii="Helvetica Neue" w:cs="Helvetica Neue" w:eastAsia="Helvetica Neue" w:hAnsi="Helvetica Neue"/>
        </w:rPr>
      </w:pPr>
      <w:r>
        <w:rPr>
          <w:rFonts w:ascii="Helvetica Neue" w:cs="Helvetica Neue" w:eastAsia="Helvetica Neue" w:hAnsi="Helvetica Neue"/>
          <w:color w:val="233447"/>
          <w:rtl w:val="0"/>
        </w:rPr>
        <w:t>Latest submitted state per work kind wins in memory. Repeated updates recalculate the same deterministic findings and create no external side effect. Closing a window clears its state and sharing. Draft persistence is explicit and local; there is no replay log or durability guarantee after a crash.</w:t>
      </w:r>
      <w:r>
        <w:rPr>
          <w:rtl w:val="0"/>
        </w:rPr>
      </w:r>
    </w:p>
    <w:tbl>
      <w:tblPr>
        <w:tblStyle w:val="Table6"/>
        <w:tblW w:w="10440.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00"/>
      </w:tblPr>
      <w:tblGrid>
        <w:gridCol w:w="3337"/>
        <w:gridCol w:w="3722"/>
        <w:gridCol w:w="3381"/>
        <w:tblGridChange w:id="0">
          <w:tblGrid>
            <w:gridCol w:w="3337"/>
            <w:gridCol w:w="3722"/>
            <w:gridCol w:w="3381"/>
          </w:tblGrid>
        </w:tblGridChange>
      </w:tblGrid>
      <w:tr>
        <w:trPr>
          <w:cantSplit w:val="1"/>
          <w:tblHeader w:val="1"/>
          <w:cantSplit/>
        </w:trPr>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93">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 xml:space="preserve">Scenario</w:t>
            </w:r>
            <w:r>
              <w:rPr>
                <w:rtl w:val="0"/>
              </w:rPr>
            </w:r>
          </w:p>
        </w:tc>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94">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 xml:space="preserve">Expected behavior</w:t>
            </w:r>
            <w:r>
              <w:rPr>
                <w:rtl w:val="0"/>
              </w:rPr>
            </w:r>
          </w:p>
        </w:tc>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95">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 xml:space="preserve">Reasoning</w:t>
            </w:r>
            <w:r>
              <w:rPr>
                <w:rtl w:val="0"/>
              </w:rPr>
            </w:r>
          </w:p>
        </w:tc>
      </w:tr>
      <w:tr>
        <w:trPr>
          <w:cantSplit w:val="1"/>
          <w:tblHeader w:val="0"/>
          <w:cantSplit/>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96">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Repeated field update</w:t>
            </w:r>
            <w:r>
              <w:rPr>
                <w:rtl w:val="0"/>
              </w:rPr>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97">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Same current findings are recalculated.</w:t>
            </w:r>
            <w:r>
              <w:rPr>
                <w:rtl w:val="0"/>
              </w:rPr>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98">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No external side effect.</w:t>
            </w:r>
            <w:r>
              <w:rPr>
                <w:rtl w:val="0"/>
              </w:rPr>
            </w:r>
          </w:p>
        </w:tc>
      </w:tr>
      <w:tr>
        <w:trPr>
          <w:cantSplit w:val="1"/>
          <w:tblHeader w:val="0"/>
          <w:cantSplit/>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99">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Work window closes</w:t>
            </w:r>
            <w:r>
              <w:rPr>
                <w:rtl w:val="0"/>
              </w:rPr>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9A">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State and sharing are removed.</w:t>
            </w:r>
            <w:r>
              <w:rPr>
                <w:rtl w:val="0"/>
              </w:rPr>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9B">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No stale finding survives.</w:t>
            </w:r>
            <w:r>
              <w:rPr>
                <w:rtl w:val="0"/>
              </w:rPr>
            </w:r>
          </w:p>
        </w:tc>
      </w:tr>
      <w:tr>
        <w:trPr>
          <w:cantSplit w:val="1"/>
          <w:tblHeader w:val="0"/>
          <w:cantSplit/>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9C">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Nebius fails or times out</w:t>
            </w:r>
            <w:r>
              <w:rPr>
                <w:rtl w:val="0"/>
              </w:rPr>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9D">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Local answer is returned.</w:t>
            </w:r>
            <w:r>
              <w:rPr>
                <w:rtl w:val="0"/>
              </w:rPr>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9E">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No unverified model citation shown.</w:t>
            </w:r>
            <w:r>
              <w:rPr>
                <w:rtl w:val="0"/>
              </w:rPr>
            </w:r>
          </w:p>
        </w:tc>
      </w:tr>
      <w:tr>
        <w:trPr>
          <w:cantSplit w:val="1"/>
          <w:tblHeader w:val="0"/>
          <w:cantSplit/>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9F">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Source file changes</w:t>
            </w:r>
            <w:r>
              <w:rPr>
                <w:rtl w:val="0"/>
              </w:rPr>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A0">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Next read uses packaged file.</w:t>
            </w:r>
            <w:r>
              <w:rPr>
                <w:rtl w:val="0"/>
              </w:rPr>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A1">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No live version pinning yet.</w:t>
            </w:r>
            <w:r>
              <w:rPr>
                <w:rtl w:val="0"/>
              </w:rPr>
            </w:r>
          </w:p>
        </w:tc>
      </w:tr>
    </w:tbl>
    <w:p w14:paraId="000000A2">
      <w:pPr>
        <w:pStyle w:val="Heading1"/>
        <w:spacing w:before="0" w:line="269" w:lineRule="auto"/>
        <w:rPr>
          <w:rFonts w:ascii="Helvetica Neue" w:cs="Helvetica Neue" w:eastAsia="Helvetica Neue" w:hAnsi="Helvetica Neue"/>
          <w:color w:val="000000"/>
        </w:rPr>
      </w:pPr>
      <w:r>
        <w:rPr>
          <w:rtl w:val="0"/>
        </w:rPr>
      </w:r>
    </w:p>
    <w:p w14:paraId="000000A3">
      <w:pPr>
        <w:pStyle w:val="Heading1"/>
        <w:rPr>
          <w:rFonts w:ascii="Helvetica Neue" w:cs="Helvetica Neue" w:eastAsia="Helvetica Neue" w:hAnsi="Helvetica Neue"/>
        </w:rPr>
      </w:pPr>
      <w:r>
        <w:rPr>
          <w:rFonts w:ascii="Helvetica Neue" w:cs="Helvetica Neue" w:eastAsia="Helvetica Neue" w:hAnsi="Helvetica Neue"/>
          <w:rtl w:val="0"/>
        </w:rPr>
        <w:t xml:space="preserve">8. Security and Privacy Considerations</w:t>
      </w:r>
    </w:p>
    <w:p w14:paraId="000000A4">
      <w:pPr>
        <w:spacing w:after="0" w:line="96" w:lineRule="auto"/>
        <w:rPr>
          <w:rFonts w:ascii="Helvetica Neue" w:cs="Helvetica Neue" w:eastAsia="Helvetica Neue" w:hAnsi="Helvetica Neue"/>
        </w:rPr>
      </w:pPr>
      <w:r>
        <w:rPr>
          <w:rtl w:val="0"/>
        </w:rPr>
      </w:r>
    </w:p>
    <w:p w14:paraId="000000A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5" w:before="0" w:line="290" w:lineRule="auto"/>
        <w:ind w:left="360" w:right="0" w:hanging="360"/>
        <w:jc w:val="both"/>
        <w:rPr>
          <w:rFonts w:ascii="Helvetica Neue" w:cs="Helvetica Neue" w:eastAsia="Helvetica Neue" w:hAnsi="Helvetica Neue"/>
        </w:rPr>
      </w:pPr>
      <w:r>
        <w:rPr>
          <w:rFonts w:ascii="Helvetica Neue" w:cs="Helvetica Neue" w:eastAsia="Helvetica Neue" w:hAnsi="Helvetica Neue"/>
          <w:i w:val="0"/>
          <w:iCs w:val="0"/>
          <w:smallCaps w:val="0"/>
          <w:strike w:val="0"/>
          <w:color w:val="233447"/>
          <w:sz w:val="20"/>
          <w:szCs w:val="20"/>
          <w:u w:val="none"/>
          <w:shd w:fill="auto" w:val="clear"/>
          <w:vertAlign w:val="baseline"/>
          <w:rtl w:val="0"/>
        </w:rPr>
        <w:t>The demo has no user accounts. Main-process sender checks and fixed source IDs limit the IPC boundary; this does not constitute production tenant isolation.</w:t>
      </w:r>
      <w:r>
        <w:rPr>
          <w:rtl w:val="0"/>
        </w:rPr>
      </w:r>
    </w:p>
    <w:p w14:paraId="000000A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5" w:before="0" w:line="290" w:lineRule="auto"/>
        <w:ind w:left="360" w:right="0" w:hanging="360"/>
        <w:jc w:val="both"/>
        <w:rPr>
          <w:rFonts w:ascii="Helvetica Neue" w:cs="Helvetica Neue" w:eastAsia="Helvetica Neue" w:hAnsi="Helvetica Neue"/>
        </w:rPr>
      </w:pPr>
      <w:r>
        <w:rPr>
          <w:rFonts w:ascii="Helvetica Neue" w:cs="Helvetica Neue" w:eastAsia="Helvetica Neue" w:hAnsi="Helvetica Neue"/>
          <w:i w:val="0"/>
          <w:iCs w:val="0"/>
          <w:smallCaps w:val="0"/>
          <w:strike w:val="0"/>
          <w:color w:val="233447"/>
          <w:sz w:val="20"/>
          <w:szCs w:val="20"/>
          <w:u w:val="none"/>
          <w:shd w:fill="auto" w:val="clear"/>
          <w:vertAlign w:val="baseline"/>
          <w:rtl w:val="0"/>
        </w:rPr>
        <w:t>Only structured demo fields are shared. Nebius mode sends the employee question and four synthetic documents after explicit opt-in. Do not log secrets, headers, or prompt contents.</w:t>
      </w:r>
      <w:r>
        <w:rPr>
          <w:rtl w:val="0"/>
        </w:rPr>
      </w:r>
    </w:p>
    <w:p w14:paraId="000000A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5" w:before="0" w:line="290" w:lineRule="auto"/>
        <w:ind w:left="360" w:right="0" w:hanging="360"/>
        <w:jc w:val="both"/>
        <w:rPr>
          <w:rFonts w:ascii="Helvetica Neue" w:cs="Helvetica Neue" w:eastAsia="Helvetica Neue" w:hAnsi="Helvetica Neue"/>
        </w:rPr>
      </w:pPr>
      <w:r>
        <w:rPr>
          <w:rFonts w:ascii="Helvetica Neue" w:cs="Helvetica Neue" w:eastAsia="Helvetica Neue" w:hAnsi="Helvetica Neue"/>
          <w:i w:val="0"/>
          <w:iCs w:val="0"/>
          <w:smallCaps w:val="0"/>
          <w:strike w:val="0"/>
          <w:color w:val="233447"/>
          <w:sz w:val="20"/>
          <w:szCs w:val="20"/>
          <w:u w:val="none"/>
          <w:shd w:fill="auto" w:val="clear"/>
          <w:vertAlign w:val="baseline"/>
          <w:rtl w:val="0"/>
        </w:rPr>
        <w:t>NEBIUS_API_KEY stays in a local ignored .env.local or process environment and is read in the main process. Never commit it or expose it through the renderer bridge.</w:t>
      </w:r>
      <w:r>
        <w:rPr>
          <w:rtl w:val="0"/>
        </w:rPr>
      </w:r>
    </w:p>
    <w:p w14:paraId="000000A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5" w:before="0" w:line="290" w:lineRule="auto"/>
        <w:ind w:left="360" w:right="0" w:hanging="360"/>
        <w:jc w:val="both"/>
        <w:rPr>
          <w:rFonts w:ascii="Helvetica Neue" w:cs="Helvetica Neue" w:eastAsia="Helvetica Neue" w:hAnsi="Helvetica Neue"/>
        </w:rPr>
      </w:pPr>
      <w:r>
        <w:rPr>
          <w:rFonts w:ascii="Helvetica Neue" w:cs="Helvetica Neue" w:eastAsia="Helvetica Neue" w:hAnsi="Helvetica Neue"/>
          <w:i w:val="0"/>
          <w:iCs w:val="0"/>
          <w:smallCaps w:val="0"/>
          <w:strike w:val="0"/>
          <w:color w:val="233447"/>
          <w:sz w:val="20"/>
          <w:szCs w:val="20"/>
          <w:u w:val="none"/>
          <w:shd w:fill="auto" w:val="clear"/>
          <w:vertAlign w:val="baseline"/>
          <w:rtl w:val="0"/>
        </w:rPr>
        <w:t>Local lookup is the default. Nebius failure falls back to local answers; unknown sources are rejected. The assistant has no edit, send, or publish action.</w:t>
      </w:r>
      <w:r>
        <w:rPr>
          <w:rtl w:val="0"/>
        </w:rPr>
      </w:r>
    </w:p>
    <w:p w14:paraId="000000A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5" w:before="0" w:line="290" w:lineRule="auto"/>
        <w:ind w:left="360" w:right="0" w:hanging="360"/>
        <w:jc w:val="both"/>
        <w:rPr>
          <w:rFonts w:ascii="Helvetica Neue" w:cs="Helvetica Neue" w:eastAsia="Helvetica Neue" w:hAnsi="Helvetica Neue"/>
        </w:rPr>
      </w:pPr>
      <w:r>
        <w:rPr>
          <w:rFonts w:ascii="Helvetica Neue" w:cs="Helvetica Neue" w:eastAsia="Helvetica Neue" w:hAnsi="Helvetica Neue"/>
          <w:i w:val="0"/>
          <w:iCs w:val="0"/>
          <w:smallCaps w:val="0"/>
          <w:strike w:val="0"/>
          <w:color w:val="233447"/>
          <w:sz w:val="20"/>
          <w:szCs w:val="20"/>
          <w:u w:val="none"/>
          <w:shd w:fill="auto" w:val="clear"/>
          <w:vertAlign w:val="baseline"/>
          <w:rtl w:val="0"/>
        </w:rPr>
        <w:t>Drafts remain in Electron renderer localStorage until the user clears them. The demo has no remote storage or retention service. Real company content requires explicit retention and deletion design.</w:t>
      </w:r>
      <w:r>
        <w:rPr>
          <w:rtl w:val="0"/>
        </w:rPr>
      </w:r>
    </w:p>
    <w:p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192" w:lineRule="auto"/>
        <w:ind w:left="0" w:right="0" w:firstLine="0"/>
        <w:jc w:val="both"/>
        <w:rPr>
          <w:rFonts w:ascii="Helvetica Neue" w:cs="Helvetica Neue" w:eastAsia="Helvetica Neue" w:hAnsi="Helvetica Neue"/>
          <w:i w:val="0"/>
          <w:iCs w:val="0"/>
          <w:smallCaps w:val="0"/>
          <w:strike w:val="0"/>
          <w:color w:val="1e252e"/>
          <w:sz w:val="20"/>
          <w:szCs w:val="20"/>
          <w:u w:val="none"/>
          <w:shd w:fill="auto" w:val="clear"/>
          <w:vertAlign w:val="baseline"/>
        </w:rPr>
      </w:pPr>
      <w:r>
        <w:rPr>
          <w:rtl w:val="0"/>
        </w:rPr>
      </w:r>
    </w:p>
    <w:p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192" w:lineRule="auto"/>
        <w:ind w:left="0" w:right="0" w:firstLine="0"/>
        <w:jc w:val="both"/>
        <w:rPr>
          <w:rFonts w:ascii="Helvetica Neue" w:cs="Helvetica Neue" w:eastAsia="Helvetica Neue" w:hAnsi="Helvetica Neue"/>
          <w:i w:val="0"/>
          <w:iCs w:val="0"/>
          <w:smallCaps w:val="0"/>
          <w:strike w:val="0"/>
          <w:color w:val="1e252e"/>
          <w:sz w:val="20"/>
          <w:szCs w:val="20"/>
          <w:u w:val="none"/>
          <w:shd w:fill="auto" w:val="clear"/>
          <w:vertAlign w:val="baseline"/>
        </w:rPr>
      </w:pPr>
      <w:r>
        <w:rPr>
          <w:rtl w:val="0"/>
        </w:rPr>
      </w:r>
    </w:p>
    <w:p w14:paraId="000000AC">
      <w:pPr>
        <w:pStyle w:val="Heading1"/>
        <w:rPr>
          <w:rFonts w:ascii="Helvetica Neue" w:cs="Helvetica Neue" w:eastAsia="Helvetica Neue" w:hAnsi="Helvetica Neue"/>
        </w:rPr>
      </w:pPr>
      <w:r>
        <w:rPr>
          <w:rFonts w:ascii="Helvetica Neue" w:cs="Helvetica Neue" w:eastAsia="Helvetica Neue" w:hAnsi="Helvetica Neue"/>
          <w:rtl w:val="0"/>
        </w:rPr>
        <w:t xml:space="preserve">9.  Operational Readiness</w:t>
      </w:r>
    </w:p>
    <w:tbl>
      <w:tblPr>
        <w:tblStyle w:val="Table7"/>
        <w:tblW w:w="10440.0" w:type="dxa"/>
        <w:jc w:val="center"/>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400"/>
      </w:tblPr>
      <w:tblGrid>
        <w:gridCol w:w="2268"/>
        <w:gridCol w:w="3521"/>
        <w:gridCol w:w="2306"/>
        <w:gridCol w:w="2345"/>
        <w:tblGridChange w:id="0">
          <w:tblGrid>
            <w:gridCol w:w="2268"/>
            <w:gridCol w:w="3521"/>
            <w:gridCol w:w="2306"/>
            <w:gridCol w:w="2345"/>
          </w:tblGrid>
        </w:tblGridChange>
      </w:tblGrid>
      <w:tr>
        <w:trPr>
          <w:cantSplit w:val="1"/>
          <w:tblHeader w:val="1"/>
          <w:cantSplit/>
        </w:trPr>
        <w:tc>
          <w:tcPr>
            <w:tcBorders>
              <w:top w:color="ffffff" w:space="0" w:sz="8" w:val="single"/>
              <w:left w:color="ffffff" w:space="0" w:sz="8" w:val="single"/>
              <w:bottom w:color="ffffff" w:space="0" w:sz="8" w:val="single"/>
              <w:right w:color="ffffff" w:space="0" w:sz="8" w:val="single"/>
            </w:tcBorders>
            <w:shd w:fill="082a4a" w:val="clear"/>
            <w:tcMar>
              <w:top w:w="110.0" w:type="dxa"/>
              <w:left w:w="120.0" w:type="dxa"/>
              <w:bottom w:w="110.0" w:type="dxa"/>
              <w:right w:w="120.0" w:type="dxa"/>
            </w:tcMar>
            <w:vAlign w:val="center"/>
          </w:tcPr>
          <w:p w14:paraId="000000AD">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 xml:space="preserve">Signal</w:t>
            </w:r>
            <w:r>
              <w:rPr>
                <w:rtl w:val="0"/>
              </w:rPr>
            </w:r>
          </w:p>
        </w:tc>
        <w:tc>
          <w:tcPr>
            <w:tcBorders>
              <w:top w:color="ffffff" w:space="0" w:sz="8" w:val="single"/>
              <w:left w:color="ffffff" w:space="0" w:sz="8" w:val="single"/>
              <w:bottom w:color="ffffff" w:space="0" w:sz="8" w:val="single"/>
              <w:right w:color="ffffff" w:space="0" w:sz="8" w:val="single"/>
            </w:tcBorders>
            <w:shd w:fill="082a4a" w:val="clear"/>
            <w:tcMar>
              <w:top w:w="110.0" w:type="dxa"/>
              <w:left w:w="120.0" w:type="dxa"/>
              <w:bottom w:w="110.0" w:type="dxa"/>
              <w:right w:w="120.0" w:type="dxa"/>
            </w:tcMar>
            <w:vAlign w:val="center"/>
          </w:tcPr>
          <w:p w14:paraId="000000AE">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 xml:space="preserve">SLO or alert</w:t>
            </w:r>
            <w:r>
              <w:rPr>
                <w:rtl w:val="0"/>
              </w:rPr>
            </w:r>
          </w:p>
        </w:tc>
        <w:tc>
          <w:tcPr>
            <w:tcBorders>
              <w:top w:color="ffffff" w:space="0" w:sz="8" w:val="single"/>
              <w:left w:color="ffffff" w:space="0" w:sz="8" w:val="single"/>
              <w:bottom w:color="ffffff" w:space="0" w:sz="8" w:val="single"/>
              <w:right w:color="ffffff" w:space="0" w:sz="8" w:val="single"/>
            </w:tcBorders>
            <w:shd w:fill="082a4a" w:val="clear"/>
            <w:tcMar>
              <w:top w:w="110.0" w:type="dxa"/>
              <w:left w:w="120.0" w:type="dxa"/>
              <w:bottom w:w="110.0" w:type="dxa"/>
              <w:right w:w="120.0" w:type="dxa"/>
            </w:tcMar>
            <w:vAlign w:val="center"/>
          </w:tcPr>
          <w:p w14:paraId="000000AF">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 xml:space="preserve">Owner</w:t>
            </w:r>
            <w:r>
              <w:rPr>
                <w:rtl w:val="0"/>
              </w:rPr>
            </w:r>
          </w:p>
        </w:tc>
        <w:tc>
          <w:tcPr>
            <w:tcBorders>
              <w:top w:color="ffffff" w:space="0" w:sz="8" w:val="single"/>
              <w:left w:color="ffffff" w:space="0" w:sz="8" w:val="single"/>
              <w:bottom w:color="ffffff" w:space="0" w:sz="8" w:val="single"/>
              <w:right w:color="ffffff" w:space="0" w:sz="8" w:val="single"/>
            </w:tcBorders>
            <w:shd w:fill="082a4a" w:val="clear"/>
            <w:tcMar>
              <w:top w:w="110.0" w:type="dxa"/>
              <w:left w:w="120.0" w:type="dxa"/>
              <w:bottom w:w="110.0" w:type="dxa"/>
              <w:right w:w="120.0" w:type="dxa"/>
            </w:tcMar>
            <w:vAlign w:val="center"/>
          </w:tcPr>
          <w:p w14:paraId="000000B0">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sz w:val="16"/>
                <w:szCs w:val="16"/>
                <w:rtl w:val="0"/>
              </w:rPr>
              <w:t xml:space="preserve">Launch gate</w:t>
            </w:r>
            <w:r>
              <w:rPr>
                <w:rtl w:val="0"/>
              </w:rPr>
            </w:r>
          </w:p>
        </w:tc>
      </w:tr>
      <w:tr>
        <w:trPr>
          <w:cantSplit w:val="1"/>
          <w:tblHeader w:val="0"/>
          <w:cantSplit/>
        </w:trPr>
        <w:tc>
          <w:tcPr>
            <w:tcBorders>
              <w:top w:color="ffffff" w:space="0" w:sz="8" w:val="single"/>
              <w:left w:color="ffffff" w:space="0" w:sz="8" w:val="single"/>
              <w:bottom w:color="ffffff" w:space="0" w:sz="8" w:val="single"/>
              <w:right w:color="ffffff" w:space="0" w:sz="8" w:val="single"/>
            </w:tcBorders>
            <w:shd w:fill="e6f0f8" w:val="clear"/>
            <w:tcMar>
              <w:top w:w="110.0" w:type="dxa"/>
              <w:left w:w="120.0" w:type="dxa"/>
              <w:bottom w:w="110.0" w:type="dxa"/>
              <w:right w:w="120.0" w:type="dxa"/>
            </w:tcMar>
            <w:vAlign w:val="center"/>
          </w:tcPr>
          <w:p w14:paraId="000000B1">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Demo checks</w:t>
            </w:r>
            <w:r>
              <w:rPr>
                <w:rtl w:val="0"/>
              </w:rPr>
            </w:r>
          </w:p>
        </w:tc>
        <w:tc>
          <w:tcPr>
            <w:tcBorders>
              <w:top w:color="ffffff" w:space="0" w:sz="8" w:val="single"/>
              <w:left w:color="ffffff" w:space="0" w:sz="8" w:val="single"/>
              <w:bottom w:color="ffffff" w:space="0" w:sz="8" w:val="single"/>
              <w:right w:color="ffffff" w:space="0" w:sz="8" w:val="single"/>
            </w:tcBorders>
            <w:shd w:fill="ffffff" w:val="clear"/>
            <w:tcMar>
              <w:top w:w="110.0" w:type="dxa"/>
              <w:left w:w="120.0" w:type="dxa"/>
              <w:bottom w:w="110.0" w:type="dxa"/>
              <w:right w:w="120.0" w:type="dxa"/>
            </w:tcMar>
            <w:vAlign w:val="center"/>
          </w:tcPr>
          <w:p w14:paraId="000000B2">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All three scenarios pass</w:t>
            </w:r>
            <w:r>
              <w:rPr>
                <w:rtl w:val="0"/>
              </w:rPr>
            </w:r>
          </w:p>
        </w:tc>
        <w:tc>
          <w:tcPr>
            <w:tcBorders>
              <w:top w:color="ffffff" w:space="0" w:sz="8" w:val="single"/>
              <w:left w:color="ffffff" w:space="0" w:sz="8" w:val="single"/>
              <w:bottom w:color="ffffff" w:space="0" w:sz="8" w:val="single"/>
              <w:right w:color="ffffff" w:space="0" w:sz="8" w:val="single"/>
            </w:tcBorders>
            <w:shd w:fill="ffffff" w:val="clear"/>
            <w:tcMar>
              <w:top w:w="110.0" w:type="dxa"/>
              <w:left w:w="120.0" w:type="dxa"/>
              <w:bottom w:w="110.0" w:type="dxa"/>
              <w:right w:w="120.0" w:type="dxa"/>
            </w:tcMar>
            <w:vAlign w:val="center"/>
          </w:tcPr>
          <w:p w14:paraId="000000B3">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Project team</w:t>
            </w:r>
            <w:r>
              <w:rPr>
                <w:rtl w:val="0"/>
              </w:rPr>
            </w:r>
          </w:p>
        </w:tc>
        <w:tc>
          <w:tcPr>
            <w:tcBorders>
              <w:top w:color="ffffff" w:space="0" w:sz="8" w:val="single"/>
              <w:left w:color="ffffff" w:space="0" w:sz="8" w:val="single"/>
              <w:bottom w:color="ffffff" w:space="0" w:sz="8" w:val="single"/>
              <w:right w:color="ffffff" w:space="0" w:sz="8" w:val="single"/>
            </w:tcBorders>
            <w:shd w:fill="ffffff" w:val="clear"/>
            <w:tcMar>
              <w:top w:w="110.0" w:type="dxa"/>
              <w:left w:w="120.0" w:type="dxa"/>
              <w:bottom w:w="110.0" w:type="dxa"/>
              <w:right w:w="120.0" w:type="dxa"/>
            </w:tcMar>
            <w:vAlign w:val="center"/>
          </w:tcPr>
          <w:p w14:paraId="000000B4">
            <w:pPr>
              <w:spacing w:after="25" w:before="20" w:line="285" w:lineRule="auto"/>
              <w:rPr>
                <w:rFonts w:ascii="Helvetica Neue" w:cs="Helvetica Neue" w:eastAsia="Helvetica Neue" w:hAnsi="Helvetica Neue"/>
                <w:sz w:val="16"/>
                <w:szCs w:val="16"/>
              </w:rPr>
            </w:pPr>
            <w:r>
              <w:rPr>
                <w:rFonts w:ascii="Helvetica Neue" w:cs="Helvetica Neue" w:eastAsia="Helvetica Neue" w:hAnsi="Helvetica Neue"/>
                <w:color w:val="233447"/>
                <w:sz w:val="16"/>
                <w:szCs w:val="16"/>
                <w:rtl w:val="0"/>
              </w:rPr>
              <w:t>Required</w:t>
            </w:r>
            <w:r>
              <w:rPr>
                <w:rtl w:val="0"/>
              </w:rPr>
            </w:r>
          </w:p>
        </w:tc>
      </w:tr>
      <w:tr>
        <w:trPr>
          <w:cantSplit w:val="1"/>
          <w:tblHeader w:val="0"/>
          <w:cantSplit/>
        </w:trPr>
        <w:tc>
          <w:tcPr>
            <w:tcBorders>
              <w:top w:color="ffffff" w:space="0" w:sz="8" w:val="single"/>
              <w:left w:color="ffffff" w:space="0" w:sz="8" w:val="single"/>
              <w:bottom w:color="ffffff" w:space="0" w:sz="8" w:val="single"/>
              <w:right w:color="ffffff" w:space="0" w:sz="8" w:val="single"/>
            </w:tcBorders>
            <w:shd w:fill="e6f0f8" w:val="clear"/>
            <w:tcMar>
              <w:top w:w="110.0" w:type="dxa"/>
              <w:left w:w="120.0" w:type="dxa"/>
              <w:bottom w:w="110.0" w:type="dxa"/>
              <w:right w:w="120.0" w:type="dxa"/>
            </w:tcMar>
            <w:vAlign w:val="center"/>
          </w:tcPr>
          <w:p w14:paraId="000000B5">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UI timing</w:t>
            </w:r>
            <w:r>
              <w:rPr>
                <w:rtl w:val="0"/>
              </w:rPr>
            </w:r>
          </w:p>
        </w:tc>
        <w:tc>
          <w:tcPr>
            <w:tcBorders>
              <w:top w:color="ffffff" w:space="0" w:sz="8" w:val="single"/>
              <w:left w:color="ffffff" w:space="0" w:sz="8" w:val="single"/>
              <w:bottom w:color="ffffff" w:space="0" w:sz="8" w:val="single"/>
              <w:right w:color="ffffff" w:space="0" w:sz="8" w:val="single"/>
            </w:tcBorders>
            <w:shd w:fill="f6f9fc" w:val="clear"/>
            <w:tcMar>
              <w:top w:w="110.0" w:type="dxa"/>
              <w:left w:w="120.0" w:type="dxa"/>
              <w:bottom w:w="110.0" w:type="dxa"/>
              <w:right w:w="120.0" w:type="dxa"/>
            </w:tcMar>
            <w:vAlign w:val="center"/>
          </w:tcPr>
          <w:p w14:paraId="000000B6">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Feedback after blur or selection</w:t>
            </w:r>
            <w:r>
              <w:rPr>
                <w:rtl w:val="0"/>
              </w:rPr>
            </w:r>
          </w:p>
        </w:tc>
        <w:tc>
          <w:tcPr>
            <w:tcBorders>
              <w:top w:color="ffffff" w:space="0" w:sz="8" w:val="single"/>
              <w:left w:color="ffffff" w:space="0" w:sz="8" w:val="single"/>
              <w:bottom w:color="ffffff" w:space="0" w:sz="8" w:val="single"/>
              <w:right w:color="ffffff" w:space="0" w:sz="8" w:val="single"/>
            </w:tcBorders>
            <w:shd w:fill="f6f9fc" w:val="clear"/>
            <w:tcMar>
              <w:top w:w="110.0" w:type="dxa"/>
              <w:left w:w="120.0" w:type="dxa"/>
              <w:bottom w:w="110.0" w:type="dxa"/>
              <w:right w:w="120.0" w:type="dxa"/>
            </w:tcMar>
            <w:vAlign w:val="center"/>
          </w:tcPr>
          <w:p w14:paraId="000000B7">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Project team</w:t>
            </w:r>
            <w:r>
              <w:rPr>
                <w:rtl w:val="0"/>
              </w:rPr>
            </w:r>
          </w:p>
        </w:tc>
        <w:tc>
          <w:tcPr>
            <w:tcBorders>
              <w:top w:color="ffffff" w:space="0" w:sz="8" w:val="single"/>
              <w:left w:color="ffffff" w:space="0" w:sz="8" w:val="single"/>
              <w:bottom w:color="ffffff" w:space="0" w:sz="8" w:val="single"/>
              <w:right w:color="ffffff" w:space="0" w:sz="8" w:val="single"/>
            </w:tcBorders>
            <w:shd w:fill="f6f9fc" w:val="clear"/>
            <w:tcMar>
              <w:top w:w="110.0" w:type="dxa"/>
              <w:left w:w="120.0" w:type="dxa"/>
              <w:bottom w:w="110.0" w:type="dxa"/>
              <w:right w:w="120.0" w:type="dxa"/>
            </w:tcMar>
            <w:vAlign w:val="center"/>
          </w:tcPr>
          <w:p w14:paraId="000000B8">
            <w:pPr>
              <w:spacing w:after="25" w:before="20" w:line="285" w:lineRule="auto"/>
              <w:rPr>
                <w:rFonts w:ascii="Helvetica Neue" w:cs="Helvetica Neue" w:eastAsia="Helvetica Neue" w:hAnsi="Helvetica Neue"/>
                <w:sz w:val="16"/>
                <w:szCs w:val="16"/>
              </w:rPr>
            </w:pPr>
            <w:r>
              <w:rPr>
                <w:rFonts w:ascii="Helvetica Neue" w:cs="Helvetica Neue" w:eastAsia="Helvetica Neue" w:hAnsi="Helvetica Neue"/>
                <w:color w:val="233447"/>
                <w:sz w:val="16"/>
                <w:szCs w:val="16"/>
                <w:rtl w:val="0"/>
              </w:rPr>
              <w:t>Required</w:t>
            </w:r>
            <w:r>
              <w:rPr>
                <w:rtl w:val="0"/>
              </w:rPr>
            </w:r>
          </w:p>
        </w:tc>
      </w:tr>
      <w:tr>
        <w:trPr>
          <w:cantSplit w:val="1"/>
          <w:tblHeader w:val="0"/>
          <w:cantSplit/>
        </w:trPr>
        <w:tc>
          <w:tcPr>
            <w:tcBorders>
              <w:top w:color="ffffff" w:space="0" w:sz="8" w:val="single"/>
              <w:left w:color="ffffff" w:space="0" w:sz="8" w:val="single"/>
              <w:bottom w:color="ffffff" w:space="0" w:sz="8" w:val="single"/>
              <w:right w:color="ffffff" w:space="0" w:sz="8" w:val="single"/>
            </w:tcBorders>
            <w:shd w:fill="e6f0f8" w:val="clear"/>
            <w:tcMar>
              <w:top w:w="110.0" w:type="dxa"/>
              <w:left w:w="120.0" w:type="dxa"/>
              <w:bottom w:w="110.0" w:type="dxa"/>
              <w:right w:w="120.0" w:type="dxa"/>
            </w:tcMar>
            <w:vAlign w:val="center"/>
          </w:tcPr>
          <w:p w14:paraId="000000B9">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AI fallback</w:t>
            </w:r>
            <w:r>
              <w:rPr>
                <w:rtl w:val="0"/>
              </w:rPr>
            </w:r>
          </w:p>
        </w:tc>
        <w:tc>
          <w:tcPr>
            <w:tcBorders>
              <w:top w:color="ffffff" w:space="0" w:sz="8" w:val="single"/>
              <w:left w:color="ffffff" w:space="0" w:sz="8" w:val="single"/>
              <w:bottom w:color="ffffff" w:space="0" w:sz="8" w:val="single"/>
              <w:right w:color="ffffff" w:space="0" w:sz="8" w:val="single"/>
            </w:tcBorders>
            <w:shd w:fill="ffffff" w:val="clear"/>
            <w:tcMar>
              <w:top w:w="110.0" w:type="dxa"/>
              <w:left w:w="120.0" w:type="dxa"/>
              <w:bottom w:w="110.0" w:type="dxa"/>
              <w:right w:w="120.0" w:type="dxa"/>
            </w:tcMar>
            <w:vAlign w:val="center"/>
          </w:tcPr>
          <w:p w14:paraId="000000BA">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Local answer after API error</w:t>
            </w:r>
            <w:r>
              <w:rPr>
                <w:rtl w:val="0"/>
              </w:rPr>
            </w:r>
          </w:p>
        </w:tc>
        <w:tc>
          <w:tcPr>
            <w:tcBorders>
              <w:top w:color="ffffff" w:space="0" w:sz="8" w:val="single"/>
              <w:left w:color="ffffff" w:space="0" w:sz="8" w:val="single"/>
              <w:bottom w:color="ffffff" w:space="0" w:sz="8" w:val="single"/>
              <w:right w:color="ffffff" w:space="0" w:sz="8" w:val="single"/>
            </w:tcBorders>
            <w:shd w:fill="ffffff" w:val="clear"/>
            <w:tcMar>
              <w:top w:w="110.0" w:type="dxa"/>
              <w:left w:w="120.0" w:type="dxa"/>
              <w:bottom w:w="110.0" w:type="dxa"/>
              <w:right w:w="120.0" w:type="dxa"/>
            </w:tcMar>
            <w:vAlign w:val="center"/>
          </w:tcPr>
          <w:p w14:paraId="000000BB">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Project team</w:t>
            </w:r>
            <w:r>
              <w:rPr>
                <w:rtl w:val="0"/>
              </w:rPr>
            </w:r>
          </w:p>
        </w:tc>
        <w:tc>
          <w:tcPr>
            <w:tcBorders>
              <w:top w:color="ffffff" w:space="0" w:sz="8" w:val="single"/>
              <w:left w:color="ffffff" w:space="0" w:sz="8" w:val="single"/>
              <w:bottom w:color="ffffff" w:space="0" w:sz="8" w:val="single"/>
              <w:right w:color="ffffff" w:space="0" w:sz="8" w:val="single"/>
            </w:tcBorders>
            <w:shd w:fill="ffffff" w:val="clear"/>
            <w:tcMar>
              <w:top w:w="110.0" w:type="dxa"/>
              <w:left w:w="120.0" w:type="dxa"/>
              <w:bottom w:w="110.0" w:type="dxa"/>
              <w:right w:w="120.0" w:type="dxa"/>
            </w:tcMar>
            <w:vAlign w:val="center"/>
          </w:tcPr>
          <w:p w14:paraId="000000BC">
            <w:pPr>
              <w:spacing w:after="25" w:before="20" w:line="285" w:lineRule="auto"/>
              <w:rPr>
                <w:rFonts w:ascii="Helvetica Neue" w:cs="Helvetica Neue" w:eastAsia="Helvetica Neue" w:hAnsi="Helvetica Neue"/>
                <w:sz w:val="16"/>
                <w:szCs w:val="16"/>
              </w:rPr>
            </w:pPr>
            <w:r>
              <w:rPr>
                <w:rFonts w:ascii="Helvetica Neue" w:cs="Helvetica Neue" w:eastAsia="Helvetica Neue" w:hAnsi="Helvetica Neue"/>
                <w:color w:val="233447"/>
                <w:sz w:val="16"/>
                <w:szCs w:val="16"/>
                <w:rtl w:val="0"/>
              </w:rPr>
              <w:t>Required</w:t>
            </w:r>
            <w:r>
              <w:rPr>
                <w:rtl w:val="0"/>
              </w:rPr>
            </w:r>
          </w:p>
        </w:tc>
      </w:tr>
      <w:tr>
        <w:trPr>
          <w:cantSplit w:val="1"/>
          <w:tblHeader w:val="0"/>
          <w:cantSplit/>
        </w:trPr>
        <w:tc>
          <w:tcPr>
            <w:tcBorders>
              <w:top w:color="ffffff" w:space="0" w:sz="8" w:val="single"/>
              <w:left w:color="ffffff" w:space="0" w:sz="8" w:val="single"/>
              <w:bottom w:color="ffffff" w:space="0" w:sz="8" w:val="single"/>
              <w:right w:color="ffffff" w:space="0" w:sz="8" w:val="single"/>
            </w:tcBorders>
            <w:shd w:fill="e6f0f8" w:val="clear"/>
            <w:tcMar>
              <w:top w:w="110.0" w:type="dxa"/>
              <w:left w:w="120.0" w:type="dxa"/>
              <w:bottom w:w="110.0" w:type="dxa"/>
              <w:right w:w="120.0" w:type="dxa"/>
            </w:tcMar>
            <w:vAlign w:val="center"/>
          </w:tcPr>
          <w:p w14:paraId="000000BD">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Sharing state</w:t>
            </w:r>
            <w:r>
              <w:rPr>
                <w:rtl w:val="0"/>
              </w:rPr>
            </w:r>
          </w:p>
        </w:tc>
        <w:tc>
          <w:tcPr>
            <w:tcBorders>
              <w:top w:color="ffffff" w:space="0" w:sz="8" w:val="single"/>
              <w:left w:color="ffffff" w:space="0" w:sz="8" w:val="single"/>
              <w:bottom w:color="ffffff" w:space="0" w:sz="8" w:val="single"/>
              <w:right w:color="ffffff" w:space="0" w:sz="8" w:val="single"/>
            </w:tcBorders>
            <w:shd w:fill="f6f9fc" w:val="clear"/>
            <w:tcMar>
              <w:top w:w="110.0" w:type="dxa"/>
              <w:left w:w="120.0" w:type="dxa"/>
              <w:bottom w:w="110.0" w:type="dxa"/>
              <w:right w:w="120.0" w:type="dxa"/>
            </w:tcMar>
            <w:vAlign w:val="center"/>
          </w:tcPr>
          <w:p w14:paraId="000000BE">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Stop and close clear findings</w:t>
            </w:r>
            <w:r>
              <w:rPr>
                <w:rtl w:val="0"/>
              </w:rPr>
            </w:r>
          </w:p>
        </w:tc>
        <w:tc>
          <w:tcPr>
            <w:tcBorders>
              <w:top w:color="ffffff" w:space="0" w:sz="8" w:val="single"/>
              <w:left w:color="ffffff" w:space="0" w:sz="8" w:val="single"/>
              <w:bottom w:color="ffffff" w:space="0" w:sz="8" w:val="single"/>
              <w:right w:color="ffffff" w:space="0" w:sz="8" w:val="single"/>
            </w:tcBorders>
            <w:shd w:fill="f6f9fc" w:val="clear"/>
            <w:tcMar>
              <w:top w:w="110.0" w:type="dxa"/>
              <w:left w:w="120.0" w:type="dxa"/>
              <w:bottom w:w="110.0" w:type="dxa"/>
              <w:right w:w="120.0" w:type="dxa"/>
            </w:tcMar>
            <w:vAlign w:val="center"/>
          </w:tcPr>
          <w:p w14:paraId="000000BF">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Project team</w:t>
            </w:r>
            <w:r>
              <w:rPr>
                <w:rtl w:val="0"/>
              </w:rPr>
            </w:r>
          </w:p>
        </w:tc>
        <w:tc>
          <w:tcPr>
            <w:tcBorders>
              <w:top w:color="ffffff" w:space="0" w:sz="8" w:val="single"/>
              <w:left w:color="ffffff" w:space="0" w:sz="8" w:val="single"/>
              <w:bottom w:color="ffffff" w:space="0" w:sz="8" w:val="single"/>
              <w:right w:color="ffffff" w:space="0" w:sz="8" w:val="single"/>
            </w:tcBorders>
            <w:shd w:fill="f6f9fc" w:val="clear"/>
            <w:tcMar>
              <w:top w:w="110.0" w:type="dxa"/>
              <w:left w:w="120.0" w:type="dxa"/>
              <w:bottom w:w="110.0" w:type="dxa"/>
              <w:right w:w="120.0" w:type="dxa"/>
            </w:tcMar>
            <w:vAlign w:val="center"/>
          </w:tcPr>
          <w:p w14:paraId="000000C0">
            <w:pPr>
              <w:spacing w:after="25" w:before="20" w:line="285" w:lineRule="auto"/>
              <w:rPr>
                <w:rFonts w:ascii="Helvetica Neue" w:cs="Helvetica Neue" w:eastAsia="Helvetica Neue" w:hAnsi="Helvetica Neue"/>
                <w:sz w:val="16"/>
                <w:szCs w:val="16"/>
              </w:rPr>
            </w:pPr>
            <w:r>
              <w:rPr>
                <w:rFonts w:ascii="Helvetica Neue" w:cs="Helvetica Neue" w:eastAsia="Helvetica Neue" w:hAnsi="Helvetica Neue"/>
                <w:color w:val="233447"/>
                <w:sz w:val="16"/>
                <w:szCs w:val="16"/>
                <w:rtl w:val="0"/>
              </w:rPr>
              <w:t>Required</w:t>
            </w:r>
            <w:r>
              <w:rPr>
                <w:rtl w:val="0"/>
              </w:rPr>
            </w:r>
          </w:p>
        </w:tc>
      </w:tr>
      <w:tr>
        <w:trPr>
          <w:cantSplit w:val="1"/>
          <w:tblHeader w:val="0"/>
          <w:cantSplit/>
        </w:trPr>
        <w:tc>
          <w:tcPr>
            <w:tcBorders>
              <w:top w:color="ffffff" w:space="0" w:sz="8" w:val="single"/>
              <w:left w:color="ffffff" w:space="0" w:sz="8" w:val="single"/>
              <w:bottom w:color="ffffff" w:space="0" w:sz="8" w:val="single"/>
              <w:right w:color="ffffff" w:space="0" w:sz="8" w:val="single"/>
            </w:tcBorders>
            <w:shd w:fill="e6f0f8" w:val="clear"/>
            <w:tcMar>
              <w:top w:w="110.0" w:type="dxa"/>
              <w:left w:w="120.0" w:type="dxa"/>
              <w:bottom w:w="110.0" w:type="dxa"/>
              <w:right w:w="120.0" w:type="dxa"/>
            </w:tcMar>
            <w:vAlign w:val="center"/>
          </w:tcPr>
          <w:p w14:paraId="000000C1">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Source access</w:t>
            </w:r>
            <w:r>
              <w:rPr>
                <w:rtl w:val="0"/>
              </w:rPr>
            </w:r>
          </w:p>
        </w:tc>
        <w:tc>
          <w:tcPr>
            <w:tcBorders>
              <w:top w:color="ffffff" w:space="0" w:sz="8" w:val="single"/>
              <w:left w:color="ffffff" w:space="0" w:sz="8" w:val="single"/>
              <w:bottom w:color="ffffff" w:space="0" w:sz="8" w:val="single"/>
              <w:right w:color="ffffff" w:space="0" w:sz="8" w:val="single"/>
            </w:tcBorders>
            <w:shd w:fill="ffffff" w:val="clear"/>
            <w:tcMar>
              <w:top w:w="110.0" w:type="dxa"/>
              <w:left w:w="120.0" w:type="dxa"/>
              <w:bottom w:w="110.0" w:type="dxa"/>
              <w:right w:w="120.0" w:type="dxa"/>
            </w:tcMar>
            <w:vAlign w:val="center"/>
          </w:tcPr>
          <w:p w14:paraId="000000C2">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Cited file opens locally</w:t>
            </w:r>
            <w:r>
              <w:rPr>
                <w:rtl w:val="0"/>
              </w:rPr>
            </w:r>
          </w:p>
        </w:tc>
        <w:tc>
          <w:tcPr>
            <w:tcBorders>
              <w:top w:color="ffffff" w:space="0" w:sz="8" w:val="single"/>
              <w:left w:color="ffffff" w:space="0" w:sz="8" w:val="single"/>
              <w:bottom w:color="ffffff" w:space="0" w:sz="8" w:val="single"/>
              <w:right w:color="ffffff" w:space="0" w:sz="8" w:val="single"/>
            </w:tcBorders>
            <w:shd w:fill="ffffff" w:val="clear"/>
            <w:tcMar>
              <w:top w:w="110.0" w:type="dxa"/>
              <w:left w:w="120.0" w:type="dxa"/>
              <w:bottom w:w="110.0" w:type="dxa"/>
              <w:right w:w="120.0" w:type="dxa"/>
            </w:tcMar>
            <w:vAlign w:val="center"/>
          </w:tcPr>
          <w:p w14:paraId="000000C3">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Project team</w:t>
            </w:r>
            <w:r>
              <w:rPr>
                <w:rtl w:val="0"/>
              </w:rPr>
            </w:r>
          </w:p>
        </w:tc>
        <w:tc>
          <w:tcPr>
            <w:tcBorders>
              <w:top w:color="ffffff" w:space="0" w:sz="8" w:val="single"/>
              <w:left w:color="ffffff" w:space="0" w:sz="8" w:val="single"/>
              <w:bottom w:color="ffffff" w:space="0" w:sz="8" w:val="single"/>
              <w:right w:color="ffffff" w:space="0" w:sz="8" w:val="single"/>
            </w:tcBorders>
            <w:shd w:fill="ffffff" w:val="clear"/>
            <w:tcMar>
              <w:top w:w="110.0" w:type="dxa"/>
              <w:left w:w="120.0" w:type="dxa"/>
              <w:bottom w:w="110.0" w:type="dxa"/>
              <w:right w:w="120.0" w:type="dxa"/>
            </w:tcMar>
            <w:vAlign w:val="center"/>
          </w:tcPr>
          <w:p w14:paraId="000000C4">
            <w:pPr>
              <w:spacing w:after="25" w:before="20" w:line="285" w:lineRule="auto"/>
              <w:rPr>
                <w:rFonts w:ascii="Helvetica Neue" w:cs="Helvetica Neue" w:eastAsia="Helvetica Neue" w:hAnsi="Helvetica Neue"/>
                <w:sz w:val="16"/>
                <w:szCs w:val="16"/>
              </w:rPr>
            </w:pPr>
            <w:r>
              <w:rPr>
                <w:rFonts w:ascii="Helvetica Neue" w:cs="Helvetica Neue" w:eastAsia="Helvetica Neue" w:hAnsi="Helvetica Neue"/>
                <w:color w:val="233447"/>
                <w:sz w:val="16"/>
                <w:szCs w:val="16"/>
                <w:rtl w:val="0"/>
              </w:rPr>
              <w:t>Required</w:t>
            </w:r>
            <w:r>
              <w:rPr>
                <w:rtl w:val="0"/>
              </w:rPr>
            </w:r>
          </w:p>
        </w:tc>
      </w:tr>
      <w:tr>
        <w:trPr>
          <w:cantSplit w:val="1"/>
          <w:tblHeader w:val="0"/>
          <w:cantSplit/>
        </w:trPr>
        <w:tc>
          <w:tcPr>
            <w:gridSpan w:val="4"/>
            <w:tcBorders>
              <w:top w:color="ffffff" w:space="0" w:sz="8" w:val="single"/>
              <w:left w:color="ffffff" w:space="0" w:sz="8" w:val="single"/>
              <w:bottom w:color="ffffff" w:space="0" w:sz="8" w:val="single"/>
              <w:right w:color="ffffff" w:space="0" w:sz="8" w:val="single"/>
            </w:tcBorders>
            <w:shd w:fill="ffffff" w:val="clear"/>
            <w:tcMar>
              <w:top w:w="110.0" w:type="dxa"/>
              <w:left w:w="120.0" w:type="dxa"/>
              <w:bottom w:w="110.0" w:type="dxa"/>
              <w:right w:w="120.0" w:type="dxa"/>
            </w:tcMar>
            <w:vAlign w:val="center"/>
          </w:tcPr>
          <w:p w14:paraId="000000C5">
            <w:pPr>
              <w:spacing w:after="25" w:before="20" w:line="285" w:lineRule="auto"/>
              <w:rPr>
                <w:rFonts w:ascii="Helvetica Neue" w:cs="Helvetica Neue" w:eastAsia="Helvetica Neue" w:hAnsi="Helvetica Neue"/>
              </w:rPr>
            </w:pPr>
            <w:r>
              <w:rPr>
                <w:rFonts w:ascii="Helvetica Neue" w:cs="Helvetica Neue" w:eastAsia="Helvetica Neue" w:hAnsi="Helvetica Neue"/>
                <w:color w:val="082a4a"/>
                <w:rtl w:val="0"/>
              </w:rPr>
              <w:t>Rollout constraint: publish only after a secret scan and complete local demo rehearsal.</w:t>
            </w:r>
            <w:r>
              <w:rPr>
                <w:rtl w:val="0"/>
              </w:rPr>
            </w:r>
          </w:p>
        </w:tc>
      </w:tr>
    </w:tbl>
    <w:p w14:paraId="000000C9">
      <w:pPr>
        <w:pStyle w:val="Heading1"/>
        <w:spacing w:before="0" w:lineRule="auto"/>
        <w:rPr>
          <w:rFonts w:ascii="Helvetica Neue" w:cs="Helvetica Neue" w:eastAsia="Helvetica Neue" w:hAnsi="Helvetica Neue"/>
          <w:color w:val="000000"/>
        </w:rPr>
      </w:pPr>
      <w:r>
        <w:rPr>
          <w:rtl w:val="0"/>
        </w:rPr>
      </w:r>
    </w:p>
    <w:p w14:paraId="000000CA">
      <w:pPr>
        <w:pStyle w:val="Heading1"/>
        <w:rPr>
          <w:rFonts w:ascii="Helvetica Neue" w:cs="Helvetica Neue" w:eastAsia="Helvetica Neue" w:hAnsi="Helvetica Neue"/>
        </w:rPr>
      </w:pPr>
      <w:r>
        <w:rPr>
          <w:rFonts w:ascii="Helvetica Neue" w:cs="Helvetica Neue" w:eastAsia="Helvetica Neue" w:hAnsi="Helvetica Neue"/>
          <w:rtl w:val="0"/>
        </w:rPr>
        <w:t xml:space="preserve">10. Alternatives Considered</w:t>
      </w:r>
    </w:p>
    <w:p w14:paraId="000000CB">
      <w:pPr>
        <w:spacing w:after="0" w:line="14.399999999999999" w:lineRule="auto"/>
        <w:rPr>
          <w:rFonts w:ascii="Helvetica Neue" w:cs="Helvetica Neue" w:eastAsia="Helvetica Neue" w:hAnsi="Helvetica Neue"/>
        </w:rPr>
      </w:pPr>
      <w:r>
        <w:rPr>
          <w:rtl w:val="0"/>
        </w:rPr>
      </w:r>
    </w:p>
    <w:p w14:paraId="000000CC">
      <w:pPr>
        <w:spacing w:after="0" w:line="192" w:lineRule="auto"/>
        <w:rPr>
          <w:rFonts w:ascii="Helvetica Neue" w:cs="Helvetica Neue" w:eastAsia="Helvetica Neue" w:hAnsi="Helvetica Neue"/>
        </w:rPr>
      </w:pPr>
      <w:r>
        <w:rPr>
          <w:rtl w:val="0"/>
        </w:rPr>
      </w:r>
    </w:p>
    <w:tbl>
      <w:tblPr>
        <w:tblStyle w:val="Table8"/>
        <w:tblW w:w="10440.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00"/>
      </w:tblPr>
      <w:tblGrid>
        <w:gridCol w:w="3303"/>
        <w:gridCol w:w="3313"/>
        <w:gridCol w:w="3824"/>
        <w:tblGridChange w:id="0">
          <w:tblGrid>
            <w:gridCol w:w="3303"/>
            <w:gridCol w:w="3313"/>
            <w:gridCol w:w="3824"/>
          </w:tblGrid>
        </w:tblGridChange>
      </w:tblGrid>
      <w:tr>
        <w:trPr>
          <w:cantSplit w:val="1"/>
          <w:tblHeader w:val="1"/>
          <w:cantSplit/>
        </w:trPr>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CD">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 xml:space="preserve">Alternative</w:t>
            </w:r>
            <w:r>
              <w:rPr>
                <w:rtl w:val="0"/>
              </w:rPr>
            </w:r>
          </w:p>
        </w:tc>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CE">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 xml:space="preserve">Why it was considered</w:t>
            </w:r>
            <w:r>
              <w:rPr>
                <w:rtl w:val="0"/>
              </w:rPr>
            </w:r>
          </w:p>
        </w:tc>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CF">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 xml:space="preserve">Why it was not selected</w:t>
            </w:r>
            <w:r>
              <w:rPr>
                <w:rtl w:val="0"/>
              </w:rPr>
            </w:r>
          </w:p>
        </w:tc>
      </w:tr>
      <w:tr>
        <w:trPr>
          <w:cantSplit w:val="1"/>
          <w:tblHeader w:val="0"/>
          <w:cantSplit/>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D0">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Embedded website agent</w:t>
            </w:r>
            <w:r>
              <w:rPr>
                <w:rtl w:val="0"/>
              </w:rPr>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D1">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Easy to add to a web page.</w:t>
            </w:r>
            <w:r>
              <w:rPr>
                <w:rtl w:val="0"/>
              </w:rPr>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D2">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Does not span employee work windows.</w:t>
            </w:r>
            <w:r>
              <w:rPr>
                <w:rtl w:val="0"/>
              </w:rPr>
            </w:r>
          </w:p>
        </w:tc>
      </w:tr>
      <w:tr>
        <w:trPr>
          <w:cantSplit w:val="1"/>
          <w:tblHeader w:val="0"/>
          <w:cantSplit/>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D3">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Always-on capture</w:t>
            </w:r>
            <w:r>
              <w:rPr>
                <w:rtl w:val="0"/>
              </w:rPr>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D4">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Could observe more context.</w:t>
            </w:r>
            <w:r>
              <w:rPr>
                <w:rtl w:val="0"/>
              </w:rPr>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D5">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Violates explicit sharing boundary.</w:t>
            </w:r>
            <w:r>
              <w:rPr>
                <w:rtl w:val="0"/>
              </w:rPr>
            </w:r>
          </w:p>
        </w:tc>
      </w:tr>
      <w:tr>
        <w:trPr>
          <w:cantSplit w:val="1"/>
          <w:tblHeader w:val="0"/>
          <w:cantSplit/>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D6">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Model-only findings</w:t>
            </w:r>
            <w:r>
              <w:rPr>
                <w:rtl w:val="0"/>
              </w:rPr>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D7">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Flexible across cases.</w:t>
            </w:r>
            <w:r>
              <w:rPr>
                <w:rtl w:val="0"/>
              </w:rPr>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D8">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Less repeatable for the demo.</w:t>
            </w:r>
            <w:r>
              <w:rPr>
                <w:rtl w:val="0"/>
              </w:rPr>
            </w:r>
          </w:p>
        </w:tc>
      </w:tr>
      <w:tr>
        <w:trPr>
          <w:cantSplit w:val="1"/>
          <w:tblHeader w:val="0"/>
          <w:cantSplit/>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D9">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Autonomous edits</w:t>
            </w:r>
            <w:r>
              <w:rPr>
                <w:rtl w:val="0"/>
              </w:rPr>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DA">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Faster correction.</w:t>
            </w:r>
            <w:r>
              <w:rPr>
                <w:rtl w:val="0"/>
              </w:rPr>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DB">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Removes employee control.</w:t>
            </w:r>
            <w:r>
              <w:rPr>
                <w:rtl w:val="0"/>
              </w:rPr>
            </w:r>
          </w:p>
        </w:tc>
      </w:tr>
    </w:tbl>
    <w:p w14:paraId="000000DC">
      <w:pPr>
        <w:pStyle w:val="Heading1"/>
        <w:spacing w:before="0" w:line="269" w:lineRule="auto"/>
        <w:rPr>
          <w:rFonts w:ascii="Helvetica Neue" w:cs="Helvetica Neue" w:eastAsia="Helvetica Neue" w:hAnsi="Helvetica Neue"/>
          <w:color w:val="000000"/>
        </w:rPr>
      </w:pPr>
      <w:r>
        <w:rPr>
          <w:rtl w:val="0"/>
        </w:rPr>
      </w:r>
    </w:p>
    <w:p w14:paraId="000000DD">
      <w:pPr>
        <w:pStyle w:val="Heading1"/>
        <w:rPr>
          <w:rFonts w:ascii="Helvetica Neue" w:cs="Helvetica Neue" w:eastAsia="Helvetica Neue" w:hAnsi="Helvetica Neue"/>
        </w:rPr>
      </w:pPr>
      <w:r>
        <w:rPr>
          <w:rFonts w:ascii="Helvetica Neue" w:cs="Helvetica Neue" w:eastAsia="Helvetica Neue" w:hAnsi="Helvetica Neue"/>
          <w:rtl w:val="0"/>
        </w:rPr>
        <w:t xml:space="preserve">11. Open Questions</w:t>
      </w:r>
    </w:p>
    <w:p w14:paraId="000000D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5" w:before="0" w:line="290" w:lineRule="auto"/>
        <w:ind w:left="360" w:right="0" w:hanging="360"/>
        <w:jc w:val="both"/>
        <w:rPr>
          <w:rFonts w:ascii="Helvetica Neue" w:cs="Helvetica Neue" w:eastAsia="Helvetica Neue" w:hAnsi="Helvetica Neue"/>
        </w:rPr>
      </w:pPr>
      <w:r>
        <w:rPr>
          <w:rFonts w:ascii="Helvetica Neue" w:cs="Helvetica Neue" w:eastAsia="Helvetica Neue" w:hAnsi="Helvetica Neue"/>
          <w:i w:val="0"/>
          <w:iCs w:val="0"/>
          <w:smallCaps w:val="0"/>
          <w:strike w:val="0"/>
          <w:color w:val="233447"/>
          <w:sz w:val="20"/>
          <w:szCs w:val="20"/>
          <w:u w:val="none"/>
          <w:shd w:fill="auto" w:val="clear"/>
          <w:vertAlign w:val="baseline"/>
          <w:rtl w:val="0"/>
        </w:rPr>
        <w:t>Which macOS capture and accessibility path gives user-visible, revocable per-window sharing for external applications?</w:t>
      </w:r>
      <w:r>
        <w:rPr>
          <w:rtl w:val="0"/>
        </w:rPr>
      </w:r>
    </w:p>
    <w:p w14:paraId="000000D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5" w:before="0" w:line="290" w:lineRule="auto"/>
        <w:ind w:left="360" w:right="0" w:hanging="360"/>
        <w:jc w:val="both"/>
        <w:rPr>
          <w:rFonts w:ascii="Helvetica Neue" w:cs="Helvetica Neue" w:eastAsia="Helvetica Neue" w:hAnsi="Helvetica Neue"/>
        </w:rPr>
      </w:pPr>
      <w:r>
        <w:rPr>
          <w:rFonts w:ascii="Helvetica Neue" w:cs="Helvetica Neue" w:eastAsia="Helvetica Neue" w:hAnsi="Helvetica Neue"/>
          <w:i w:val="0"/>
          <w:iCs w:val="0"/>
          <w:smallCaps w:val="0"/>
          <w:strike w:val="0"/>
          <w:color w:val="233447"/>
          <w:sz w:val="20"/>
          <w:szCs w:val="20"/>
          <w:u w:val="none"/>
          <w:shd w:fill="auto" w:val="clear"/>
          <w:vertAlign w:val="baseline"/>
          <w:rtl w:val="0"/>
        </w:rPr>
        <w:t>How should version authority be represented when real company files contain conflicting approval states?</w:t>
      </w:r>
      <w:r>
        <w:rPr>
          <w:rtl w:val="0"/>
        </w:rPr>
      </w:r>
    </w:p>
    <w:p w14:paraId="000000E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5" w:before="0" w:line="290" w:lineRule="auto"/>
        <w:ind w:left="360" w:right="0" w:hanging="360"/>
        <w:jc w:val="both"/>
        <w:rPr>
          <w:rFonts w:ascii="Helvetica Neue" w:cs="Helvetica Neue" w:eastAsia="Helvetica Neue" w:hAnsi="Helvetica Neue"/>
        </w:rPr>
      </w:pPr>
      <w:r>
        <w:rPr>
          <w:rFonts w:ascii="Helvetica Neue" w:cs="Helvetica Neue" w:eastAsia="Helvetica Neue" w:hAnsi="Helvetica Neue"/>
          <w:i w:val="0"/>
          <w:iCs w:val="0"/>
          <w:smallCaps w:val="0"/>
          <w:strike w:val="0"/>
          <w:color w:val="233447"/>
          <w:sz w:val="20"/>
          <w:szCs w:val="20"/>
          <w:u w:val="none"/>
          <w:shd w:fill="auto" w:val="clear"/>
          <w:vertAlign w:val="baseline"/>
          <w:rtl w:val="0"/>
        </w:rPr>
        <w:t>What packaging, signing, and offline requirements will apply beyond the local hackathon demo?</w:t>
      </w:r>
      <w:r>
        <w:rPr>
          <w:rtl w:val="0"/>
        </w:rPr>
      </w:r>
    </w:p>
    <w:p w14:paraId="000000E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5" w:before="0" w:line="290" w:lineRule="auto"/>
        <w:ind w:left="360" w:right="0" w:hanging="360"/>
        <w:jc w:val="both"/>
        <w:rPr>
          <w:rFonts w:ascii="Helvetica Neue" w:cs="Helvetica Neue" w:eastAsia="Helvetica Neue" w:hAnsi="Helvetica Neue"/>
        </w:rPr>
      </w:pPr>
      <w:r>
        <w:rPr>
          <w:rFonts w:ascii="Helvetica Neue" w:cs="Helvetica Neue" w:eastAsia="Helvetica Neue" w:hAnsi="Helvetica Neue"/>
          <w:i w:val="0"/>
          <w:iCs w:val="0"/>
          <w:smallCaps w:val="0"/>
          <w:strike w:val="0"/>
          <w:color w:val="233447"/>
          <w:sz w:val="20"/>
          <w:szCs w:val="20"/>
          <w:u w:val="none"/>
          <w:shd w:fill="auto" w:val="clear"/>
          <w:vertAlign w:val="baseline"/>
          <w:rtl w:val="0"/>
        </w:rPr>
        <w:t>Who owns access decisions, source review, and citation quality when the first real company is onboarded?</w:t>
      </w:r>
      <w:r>
        <w:rPr>
          <w:rtl w:val="0"/>
        </w:rPr>
      </w:r>
    </w:p>
    <w:p w14:paraId="000000E2">
      <w:pPr>
        <w:pStyle w:val="Heading1"/>
        <w:spacing w:before="0" w:lineRule="auto"/>
        <w:rPr>
          <w:rFonts w:ascii="Helvetica Neue" w:cs="Helvetica Neue" w:eastAsia="Helvetica Neue" w:hAnsi="Helvetica Neue"/>
          <w:color w:val="000000"/>
        </w:rPr>
      </w:pPr>
      <w:r>
        <w:rPr>
          <w:rtl w:val="0"/>
        </w:rPr>
      </w:r>
    </w:p>
    <w:p w14:paraId="000000E3">
      <w:pPr>
        <w:pStyle w:val="Heading1"/>
        <w:pageBreakBefore/>
        <w:rPr>
          <w:rFonts w:ascii="Helvetica Neue" w:cs="Helvetica Neue" w:eastAsia="Helvetica Neue" w:hAnsi="Helvetica Neue"/>
        </w:rPr>
      </w:pPr>
      <w:r>
        <w:rPr>
          <w:rFonts w:ascii="Helvetica Neue" w:cs="Helvetica Neue" w:eastAsia="Helvetica Neue" w:hAnsi="Helvetica Neue"/>
          <w:rtl w:val="0"/>
        </w:rPr>
        <w:t xml:space="preserve">12. Decision and Next Steps</w:t>
      </w:r>
    </w:p>
    <w:p w14:paraId="000000E4">
      <w:pPr>
        <w:spacing w:after="110" w:line="300" w:lineRule="auto"/>
        <w:jc w:val="both"/>
        <w:rPr>
          <w:rFonts w:ascii="Helvetica Neue" w:cs="Helvetica Neue" w:eastAsia="Helvetica Neue" w:hAnsi="Helvetica Neue"/>
        </w:rPr>
      </w:pPr>
      <w:r>
        <w:rPr>
          <w:rFonts w:ascii="Helvetica Neue" w:cs="Helvetica Neue" w:eastAsia="Helvetica Neue" w:hAnsi="Helvetica Neue"/>
          <w:color w:val="233447"/>
          <w:rtl w:val="0"/>
        </w:rPr>
        <w:t>Proceed with the current explicit-sharing prototype for the hackathon. First implement the approved Petrol / Coral / Ice interface, then add permission-aware external-window observation and versioned folder retrieval. Validate each boundary before claiming general desktop support or using real company content.</w:t>
      </w:r>
      <w:r>
        <w:rPr>
          <w:rtl w:val="0"/>
        </w:rPr>
      </w:r>
    </w:p>
    <w:tbl>
      <w:tblPr>
        <w:tblStyle w:val="Table9"/>
        <w:tblW w:w="10440.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00"/>
      </w:tblPr>
      <w:tblGrid>
        <w:gridCol w:w="2954"/>
        <w:gridCol w:w="3713"/>
        <w:gridCol w:w="3773"/>
        <w:tblGridChange w:id="0">
          <w:tblGrid>
            <w:gridCol w:w="2954"/>
            <w:gridCol w:w="3713"/>
            <w:gridCol w:w="3773"/>
          </w:tblGrid>
        </w:tblGridChange>
      </w:tblGrid>
      <w:tr>
        <w:trPr>
          <w:cantSplit w:val="1"/>
          <w:tblHeader w:val="1"/>
          <w:cantSplit/>
        </w:trPr>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E5">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 xml:space="preserve">Milestone</w:t>
            </w:r>
            <w:r>
              <w:rPr>
                <w:rtl w:val="0"/>
              </w:rPr>
            </w:r>
          </w:p>
        </w:tc>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E6">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 xml:space="preserve">Deliverable</w:t>
            </w:r>
            <w:r>
              <w:rPr>
                <w:rtl w:val="0"/>
              </w:rPr>
            </w:r>
          </w:p>
        </w:tc>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14:paraId="000000E7">
            <w:pPr>
              <w:spacing w:after="0" w:before="20" w:line="265" w:lineRule="auto"/>
              <w:rPr>
                <w:rFonts w:ascii="Helvetica Neue" w:cs="Helvetica Neue" w:eastAsia="Helvetica Neue" w:hAnsi="Helvetica Neue"/>
              </w:rPr>
            </w:pPr>
            <w:r>
              <w:rPr>
                <w:rFonts w:ascii="Helvetica Neue" w:cs="Helvetica Neue" w:eastAsia="Helvetica Neue" w:hAnsi="Helvetica Neue"/>
                <w:b w:val="1"/>
                <w:bCs w:val="1"/>
                <w:color w:val="ffffff"/>
                <w:rtl w:val="0"/>
              </w:rPr>
              <w:t xml:space="preserve">Exit criteria</w:t>
            </w:r>
            <w:r>
              <w:rPr>
                <w:rtl w:val="0"/>
              </w:rPr>
            </w:r>
          </w:p>
        </w:tc>
      </w:tr>
      <w:tr>
        <w:trPr>
          <w:cantSplit w:val="1"/>
          <w:tblHeader w:val="0"/>
          <w:cantSplit/>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E8">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M1</w:t>
            </w:r>
            <w:r>
              <w:rPr>
                <w:rtl w:val="0"/>
              </w:rPr>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E9">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Restyle Averill window</w:t>
            </w:r>
            <w:r>
              <w:rPr>
                <w:rtl w:val="0"/>
              </w:rPr>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EA">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Match approved tokens and verify access.</w:t>
            </w:r>
            <w:r>
              <w:rPr>
                <w:rtl w:val="0"/>
              </w:rPr>
            </w:r>
          </w:p>
        </w:tc>
      </w:tr>
      <w:tr>
        <w:trPr>
          <w:cantSplit w:val="1"/>
          <w:tblHeader w:val="0"/>
          <w:cantSplit/>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EB">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M2</w:t>
            </w:r>
            <w:r>
              <w:rPr>
                <w:rtl w:val="0"/>
              </w:rPr>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EC">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External window sharing</w:t>
            </w:r>
            <w:r>
              <w:rPr>
                <w:rtl w:val="0"/>
              </w:rPr>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ED">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Consent, revoke, and stop tests pass.</w:t>
            </w:r>
            <w:r>
              <w:rPr>
                <w:rtl w:val="0"/>
              </w:rPr>
            </w:r>
          </w:p>
        </w:tc>
      </w:tr>
      <w:tr>
        <w:trPr>
          <w:cantSplit w:val="1"/>
          <w:tblHeader w:val="0"/>
          <w:cantSplit/>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EE">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M3</w:t>
            </w:r>
            <w:r>
              <w:rPr>
                <w:rtl w:val="0"/>
              </w:rPr>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EF">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Versioned folder retrieval</w:t>
            </w:r>
            <w:r>
              <w:rPr>
                <w:rtl w:val="0"/>
              </w:rPr>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14:paraId="000000F0">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Answers cite approved files correctly.</w:t>
            </w:r>
            <w:r>
              <w:rPr>
                <w:rtl w:val="0"/>
              </w:rPr>
            </w:r>
          </w:p>
        </w:tc>
      </w:tr>
      <w:tr>
        <w:trPr>
          <w:cantSplit w:val="1"/>
          <w:tblHeader w:val="0"/>
          <w:cantSplit/>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14:paraId="000000F1">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M4</w:t>
            </w:r>
            <w:r>
              <w:rPr>
                <w:rtl w:val="0"/>
              </w:rPr>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F2">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Live demonstration</w:t>
            </w:r>
            <w:r>
              <w:rPr>
                <w:rtl w:val="0"/>
              </w:rPr>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14:paraId="000000F3">
            <w:pPr>
              <w:spacing w:after="25" w:before="20" w:line="285" w:lineRule="auto"/>
              <w:rPr>
                <w:rFonts w:ascii="Helvetica Neue" w:cs="Helvetica Neue" w:eastAsia="Helvetica Neue" w:hAnsi="Helvetica Neue"/>
              </w:rPr>
            </w:pPr>
            <w:r>
              <w:rPr>
                <w:rFonts w:ascii="Helvetica Neue" w:cs="Helvetica Neue" w:eastAsia="Helvetica Neue" w:hAnsi="Helvetica Neue"/>
                <w:color w:val="233447"/>
                <w:rtl w:val="0"/>
              </w:rPr>
              <w:t>End-to-end rehearsal and failure paths pass.</w:t>
            </w:r>
            <w:r>
              <w:rPr>
                <w:rtl w:val="0"/>
              </w:rPr>
            </w:r>
          </w:p>
        </w:tc>
      </w:tr>
    </w:tbl>
    <w:p w14:paraId="000000F4">
      <w:pPr>
        <w:spacing w:after="120" w:line="269" w:lineRule="auto"/>
        <w:rPr>
          <w:rFonts w:ascii="Helvetica Neue" w:cs="Helvetica Neue" w:eastAsia="Helvetica Neue" w:hAnsi="Helvetica Neue"/>
        </w:rPr>
      </w:pPr>
      <w:r>
        <w:rPr>
          <w:rtl w:val="0"/>
        </w:rPr>
      </w:r>
    </w:p>
    <w:sectPr>
      <w:headerReference r:id="rId10" w:type="default"/>
      <w:headerReference r:id="rId11" w:type="first"/>
      <w:footerReference r:id="rId12" w:type="default"/>
      <w:footerReference r:id="rId13" w:type="first"/>
      <w:pgSz w:h="15840" w:w="12240" w:orient="portrait"/>
      <w:pgMar w:bottom="893" w:top="1008" w:left="1008" w:right="1008"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Ligh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60" w:lineRule="auto"/>
      <w:ind w:left="0" w:right="0" w:firstLine="0"/>
      <w:jc w:val="center"/>
      <w:rPr>
        <w:rFonts w:ascii="Arial" w:cs="Arial" w:eastAsia="Arial" w:hAnsi="Arial"/>
        <w:b w:val="0"/>
        <w:bCs w:val="0"/>
        <w:i w:val="0"/>
        <w:iCs w:val="0"/>
        <w:smallCaps w:val="0"/>
        <w:strike w:val="0"/>
        <w:color w:val="5b7085"/>
        <w:sz w:val="20"/>
        <w:szCs w:val="20"/>
        <w:u w:val="none"/>
        <w:shd w:fill="auto" w:val="clear"/>
        <w:vertAlign w:val="baseline"/>
      </w:rPr>
    </w:pPr>
    <w:r>
      <w:rPr>
        <w:rFonts w:ascii="Arial" w:cs="Arial" w:eastAsia="Arial" w:hAnsi="Arial"/>
        <w:b w:val="0"/>
        <w:bCs w:val="0"/>
        <w:i w:val="0"/>
        <w:iCs w:val="0"/>
        <w:smallCaps w:val="0"/>
        <w:strike w:val="0"/>
        <w:color w:val="5b7085"/>
        <w:sz w:val="16"/>
        <w:szCs w:val="16"/>
        <w:u w:val="none"/>
        <w:shd w:fill="auto" w:val="clear"/>
        <w:vertAlign w:val="baseline"/>
        <w:rtl w:val="0"/>
      </w:rPr>
      <w:t>Averill | System Design RFC</w:t>
    </w:r>
    <w:r>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9">
    <w:pPr>
      <w:rPr/>
    </w:pPr>
    <w:r>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14:paraId="000000F5">
      <w:pPr>
        <w:spacing w:after="0" w:line="270" w:lineRule="auto"/>
        <w:jc w:val="both"/>
        <w:rPr/>
      </w:pPr>
      <w:r>
        <w:rPr>
          <w:rStyle w:val="FootnoteReference"/>
          <w:vertAlign w:val="superscript"/>
        </w:rPr>
        <w:footnoteRef/>
      </w:r>
      <w:r>
        <w:rPr>
          <w:color w:val="233447"/>
          <w:rtl w:val="0"/>
        </w:rPr>
        <w:t xml:space="preserve">Shared means the employee selected one supplied work window in this prototype.</w:t>
      </w:r>
      <w:r>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6">
    <w:pPr>
      <w:rPr/>
    </w:pPr>
    <w:r>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8">
    <w:pPr>
      <w:rPr/>
    </w:pP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lowerLetter"/>
      <w:lvlText w:val="%1."/>
      <w:lvlJc w:val="left"/>
      <w:pPr>
        <w:ind w:left="360" w:hanging="360"/>
      </w:pPr>
      <w:rPr/>
    </w:lvl>
    <w:lvl w:ilvl="1">
      <w:start w:val="1"/>
      <w:numFmt w:val="lowerLetter"/>
      <w:lvlText w:val="%2)"/>
      <w:lvlJc w:val="left"/>
      <w:pPr>
        <w:ind w:left="720" w:hanging="360"/>
      </w:pPr>
      <w:rPr/>
    </w:lvl>
    <w:lvl w:ilvl="2">
      <w:start w:val="1"/>
      <w:numFmt w:val="lowerRoman"/>
      <w:lvlText w:val="%3)"/>
      <w:lvlJc w:val="left"/>
      <w:pPr>
        <w:ind w:left="1080" w:hanging="360"/>
      </w:pPr>
      <w:rPr/>
    </w:lvl>
    <w:lvl w:ilvl="3">
      <w:start w:val="1"/>
      <w:numFmt w:val="decimal"/>
      <w:lvlText w:val="(%4)"/>
      <w:lvlJc w:val="left"/>
      <w:pPr>
        <w:ind w:left="1440" w:hanging="360"/>
      </w:pPr>
      <w:rPr/>
    </w:lvl>
    <w:lvl w:ilvl="4">
      <w:start w:val="1"/>
      <w:numFmt w:val="lowerLetter"/>
      <w:lvlText w:val="(%5)"/>
      <w:lvlJc w:val="left"/>
      <w:pPr>
        <w:ind w:left="1800" w:hanging="360"/>
      </w:pPr>
      <w:rPr/>
    </w:lvl>
    <w:lvl w:ilvl="5">
      <w:start w:val="1"/>
      <w:numFmt w:val="lowerRoman"/>
      <w:lvlText w:val="(%6)"/>
      <w:lvlJc w:val="left"/>
      <w:pPr>
        <w:ind w:left="2160" w:hanging="360"/>
      </w:pPr>
      <w:rPr/>
    </w:lvl>
    <w:lvl w:ilvl="6">
      <w:start w:val="1"/>
      <w:numFmt w:val="decimal"/>
      <w:lvlText w:val="%7."/>
      <w:lvlJc w:val="left"/>
      <w:pPr>
        <w:ind w:left="2520" w:hanging="360"/>
      </w:pPr>
      <w:rPr/>
    </w:lvl>
    <w:lvl w:ilvl="7">
      <w:start w:val="1"/>
      <w:numFmt w:val="lowerLetter"/>
      <w:lvlText w:val="%8."/>
      <w:lvlJc w:val="left"/>
      <w:pPr>
        <w:ind w:left="2880" w:hanging="360"/>
      </w:pPr>
      <w:rPr/>
    </w:lvl>
    <w:lvl w:ilvl="8">
      <w:start w:val="1"/>
      <w:numFmt w:val="lowerRoman"/>
      <w:lvlText w:val="%9."/>
      <w:lvlJc w:val="left"/>
      <w:pPr>
        <w:ind w:left="3240" w:hanging="360"/>
      </w:pPr>
      <w:rPr/>
    </w:lvl>
  </w:abstractNum>
  <w:abstractNum w:abstractNumId="3">
    <w:lvl w:ilvl="0">
      <w:start w:val="1"/>
      <w:numFmt w:val="lowerLetter"/>
      <w:lvlText w:val="%1."/>
      <w:lvlJc w:val="left"/>
      <w:pPr>
        <w:ind w:left="360" w:hanging="360"/>
      </w:pPr>
      <w:rPr/>
    </w:lvl>
    <w:lvl w:ilvl="1">
      <w:start w:val="1"/>
      <w:numFmt w:val="lowerLetter"/>
      <w:lvlText w:val="%2)"/>
      <w:lvlJc w:val="left"/>
      <w:pPr>
        <w:ind w:left="720" w:hanging="360"/>
      </w:pPr>
      <w:rPr/>
    </w:lvl>
    <w:lvl w:ilvl="2">
      <w:start w:val="1"/>
      <w:numFmt w:val="lowerRoman"/>
      <w:lvlText w:val="%3)"/>
      <w:lvlJc w:val="left"/>
      <w:pPr>
        <w:ind w:left="1080" w:hanging="360"/>
      </w:pPr>
      <w:rPr/>
    </w:lvl>
    <w:lvl w:ilvl="3">
      <w:start w:val="1"/>
      <w:numFmt w:val="decimal"/>
      <w:lvlText w:val="(%4)"/>
      <w:lvlJc w:val="left"/>
      <w:pPr>
        <w:ind w:left="1440" w:hanging="360"/>
      </w:pPr>
      <w:rPr/>
    </w:lvl>
    <w:lvl w:ilvl="4">
      <w:start w:val="1"/>
      <w:numFmt w:val="lowerLetter"/>
      <w:lvlText w:val="(%5)"/>
      <w:lvlJc w:val="left"/>
      <w:pPr>
        <w:ind w:left="1800" w:hanging="360"/>
      </w:pPr>
      <w:rPr/>
    </w:lvl>
    <w:lvl w:ilvl="5">
      <w:start w:val="1"/>
      <w:numFmt w:val="lowerRoman"/>
      <w:lvlText w:val="(%6)"/>
      <w:lvlJc w:val="left"/>
      <w:pPr>
        <w:ind w:left="2160" w:hanging="360"/>
      </w:pPr>
      <w:rPr/>
    </w:lvl>
    <w:lvl w:ilvl="6">
      <w:start w:val="1"/>
      <w:numFmt w:val="decimal"/>
      <w:lvlText w:val="%7."/>
      <w:lvlJc w:val="left"/>
      <w:pPr>
        <w:ind w:left="2520" w:hanging="360"/>
      </w:pPr>
      <w:rPr/>
    </w:lvl>
    <w:lvl w:ilvl="7">
      <w:start w:val="1"/>
      <w:numFmt w:val="lowerLetter"/>
      <w:lvlText w:val="%8."/>
      <w:lvlJc w:val="left"/>
      <w:pPr>
        <w:ind w:left="2880" w:hanging="360"/>
      </w:pPr>
      <w:rPr/>
    </w:lvl>
    <w:lvl w:ilvl="8">
      <w:start w:val="1"/>
      <w:numFmt w:val="lowerRoman"/>
      <w:lvlText w:val="%9."/>
      <w:lvlJc w:val="left"/>
      <w:pPr>
        <w:ind w:left="3240" w:hanging="360"/>
      </w:pPr>
      <w:rPr/>
    </w:lvl>
  </w:abstractNum>
  <w:abstractNum w:abstractNumId="4">
    <w:lvl w:ilvl="0">
      <w:start w:val="1"/>
      <w:numFmt w:val="lowerLetter"/>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233447"/>
        <w:lang w:val="en"/>
      </w:rPr>
    </w:rPrDefault>
    <w:pPrDefault>
      <w:pPr>
        <w:spacing w:after="110" w:line="3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2f6b9a" w:space="2" w:sz="0" w:val="none"/>
        <w:left w:color="2f6b9a" w:space="2" w:sz="0" w:val="none"/>
        <w:bottom w:color="2f6b9a" w:space="2" w:sz="0" w:val="none"/>
        <w:right w:color="2f6b9a" w:space="2" w:sz="0" w:val="none"/>
      </w:pBdr>
      <w:spacing w:after="130" w:line="285" w:lineRule="auto"/>
    </w:pPr>
    <w:rPr>
      <w:b w:val="1"/>
      <w:bCs w:val="1"/>
      <w:color w:val="082a4a"/>
      <w:sz w:val="27"/>
      <w:szCs w:val="27"/>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smallCaps w:val="1"/>
      <w:color w:val="082a4a"/>
      <w:sz w:val="19"/>
      <w:szCs w:val="19"/>
    </w:rPr>
  </w:style>
  <w:style w:type="paragraph" w:styleId="Heading3">
    <w:name w:val="heading 3"/>
    <w:basedOn w:val="Normal"/>
    <w:next w:val="Normal"/>
    <w:pPr>
      <w:keepNext w:val="1"/>
      <w:keepLines w:val="1"/>
    </w:pPr>
    <w:rPr>
      <w:rFonts w:ascii="Helvetica Neue" w:cs="Helvetica Neue" w:eastAsia="Helvetica Neue" w:hAnsi="Helvetica Neue"/>
      <w:b w:val="1"/>
      <w:bCs w:val="1"/>
      <w:color w:val="5b7085"/>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082a4a"/>
    </w:rPr>
  </w:style>
  <w:style w:type="paragraph" w:styleId="Heading5">
    <w:name w:val="heading 5"/>
    <w:basedOn w:val="Normal"/>
    <w:next w:val="Normal"/>
    <w:pPr>
      <w:keepNext w:val="1"/>
      <w:keepLines w:val="1"/>
      <w:spacing w:after="0" w:before="200" w:lineRule="auto"/>
    </w:pPr>
    <w:rPr>
      <w:rFonts w:ascii="Calibri" w:cs="Calibri" w:eastAsia="Calibri" w:hAnsi="Calibri"/>
      <w:color w:val="082a4a"/>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082a4a"/>
    </w:rPr>
  </w:style>
  <w:style w:type="paragraph" w:styleId="Title">
    <w:name w:val="Title"/>
    <w:basedOn w:val="Normal"/>
    <w:next w:val="Normal"/>
    <w:pPr>
      <w:spacing w:after="150" w:lineRule="auto"/>
    </w:pPr>
    <w:rPr>
      <w:b w:val="1"/>
      <w:bCs w:val="1"/>
      <w:color w:val="082a4a"/>
      <w:sz w:val="44"/>
      <w:szCs w:val="44"/>
    </w:rPr>
  </w:style>
  <w:style w:type="paragraph" w:styleId="Subtitle">
    <w:name w:val="Subtitle"/>
    <w:basedOn w:val="Normal"/>
    <w:next w:val="Normal"/>
    <w:pPr/>
    <w:rPr>
      <w:rFonts w:ascii="Calibri" w:cs="Calibri" w:eastAsia="Calibri" w:hAnsi="Calibri"/>
      <w:i w:val="1"/>
      <w:iCs w:val="1"/>
      <w:color w:val="082a4a"/>
      <w:sz w:val="24"/>
      <w:szCs w:val="24"/>
    </w:rPr>
  </w:style>
  <w:style w:type="table" w:styleId="Table1">
    <w:basedOn w:val="TableNormal"/>
    <w:tblPr>
      <w:tblStyleRowBandSize w:val="1"/>
      <w:tblStyleColBandSize w:val="1"/>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eader" Target="header1.xml"/><Relationship Id="rId13" Type="http://schemas.openxmlformats.org/officeDocument/2006/relationships/footer" Target="footer2.xm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example.com/system-design/contracts" TargetMode="External"/><Relationship Id="rId5" Type="http://schemas.openxmlformats.org/officeDocument/2006/relationships/numbering" Target="numbering.xml"/><Relationship Id="rId6" Type="http://schemas.openxmlformats.org/officeDocument/2006/relationships/styles" Target="styles.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 Id="rId5" Type="http://schemas.openxmlformats.org/officeDocument/2006/relationships/font" Target="fonts/HelveticaNeueLight-regular.ttf"/><Relationship Id="rId6" Type="http://schemas.openxmlformats.org/officeDocument/2006/relationships/font" Target="fonts/HelveticaNeueLight-bold.ttf"/><Relationship Id="rId7" Type="http://schemas.openxmlformats.org/officeDocument/2006/relationships/font" Target="fonts/HelveticaNeueLight-italic.ttf"/><Relationship Id="rId8" Type="http://schemas.openxmlformats.org/officeDocument/2006/relationships/font" Target="fonts/HelveticaNeueLigh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