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AF084">
      <w:pPr>
        <w:pStyle w:val="4"/>
        <w:keepNext w:val="0"/>
        <w:keepLines w:val="0"/>
        <w:widowControl/>
        <w:suppressLineNumbers w:val="0"/>
        <w:shd w:val="clear" w:fill="FFFFFF"/>
        <w:ind w:left="0" w:firstLine="0"/>
        <w:rPr>
          <w:rFonts w:ascii="Arial" w:hAnsi="Arial" w:cs="Arial"/>
          <w:i w:val="0"/>
          <w:iCs w:val="0"/>
          <w:caps w:val="0"/>
          <w:color w:val="231F20"/>
          <w:spacing w:val="0"/>
          <w:sz w:val="18"/>
          <w:szCs w:val="18"/>
        </w:rPr>
      </w:pPr>
      <w:r>
        <w:rPr>
          <w:rFonts w:hint="default" w:ascii="Arial" w:hAnsi="Arial" w:cs="Arial"/>
          <w:i w:val="0"/>
          <w:iCs w:val="0"/>
          <w:caps w:val="0"/>
          <w:color w:val="231F20"/>
          <w:spacing w:val="0"/>
          <w:sz w:val="18"/>
          <w:szCs w:val="18"/>
          <w:shd w:val="clear" w:fill="FFFFFF"/>
        </w:rPr>
        <w:t>In this unit, you have learned how to evaluate portfolio performance. You will now apply that knowledge to create an informative performance report.</w:t>
      </w:r>
    </w:p>
    <w:p w14:paraId="004A9315">
      <w:pPr>
        <w:pStyle w:val="4"/>
        <w:keepNext w:val="0"/>
        <w:keepLines w:val="0"/>
        <w:widowControl/>
        <w:suppressLineNumbers w:val="0"/>
        <w:shd w:val="clear" w:fill="FFFFFF"/>
        <w:ind w:left="0" w:firstLine="0"/>
        <w:rPr>
          <w:rFonts w:hint="default" w:ascii="Arial" w:hAnsi="Arial" w:cs="Arial"/>
          <w:i w:val="0"/>
          <w:iCs w:val="0"/>
          <w:caps w:val="0"/>
          <w:color w:val="231F20"/>
          <w:spacing w:val="0"/>
          <w:sz w:val="18"/>
          <w:szCs w:val="18"/>
        </w:rPr>
      </w:pPr>
      <w:r>
        <w:rPr>
          <w:rFonts w:hint="default" w:ascii="Arial" w:hAnsi="Arial" w:cs="Arial"/>
          <w:i w:val="0"/>
          <w:iCs w:val="0"/>
          <w:caps w:val="0"/>
          <w:color w:val="231F20"/>
          <w:spacing w:val="0"/>
          <w:sz w:val="18"/>
          <w:szCs w:val="18"/>
          <w:shd w:val="clear" w:fill="FFFFFF"/>
        </w:rPr>
        <w:t>The following file contains SAA, TAA, and a USD 5,000,000 equity carve-out which will be invested in a UK Equity Fund in GBP, so you will also have to apply a currency hedge. You will start by analyzing the distribution of the returns over the period 1/31/2018–3/29/2019. The TAA tilts were determined by optimizing using the period 9/28/2018–12/31/2018. </w:t>
      </w:r>
    </w:p>
    <w:p w14:paraId="5AD47BF1">
      <w:pPr>
        <w:pStyle w:val="4"/>
        <w:keepNext w:val="0"/>
        <w:keepLines w:val="0"/>
        <w:widowControl/>
        <w:suppressLineNumbers w:val="0"/>
        <w:shd w:val="clear" w:fill="FFFFFF"/>
        <w:ind w:left="0" w:firstLine="0"/>
        <w:rPr>
          <w:rFonts w:hint="default" w:ascii="Arial" w:hAnsi="Arial" w:cs="Arial"/>
          <w:i w:val="0"/>
          <w:iCs w:val="0"/>
          <w:caps w:val="0"/>
          <w:color w:val="231F20"/>
          <w:spacing w:val="0"/>
          <w:sz w:val="18"/>
          <w:szCs w:val="18"/>
        </w:rPr>
      </w:pPr>
      <w:r>
        <w:rPr>
          <w:rFonts w:hint="default" w:ascii="Arial" w:hAnsi="Arial" w:cs="Arial"/>
          <w:i w:val="0"/>
          <w:iCs w:val="0"/>
          <w:caps w:val="0"/>
          <w:color w:val="231F20"/>
          <w:spacing w:val="0"/>
          <w:sz w:val="18"/>
          <w:szCs w:val="18"/>
          <w:shd w:val="clear" w:fill="FFFFFF"/>
        </w:rPr>
        <w:t> </w:t>
      </w:r>
    </w:p>
    <w:p w14:paraId="71DC0525">
      <w:pPr>
        <w:pStyle w:val="4"/>
        <w:keepNext w:val="0"/>
        <w:keepLines w:val="0"/>
        <w:widowControl/>
        <w:suppressLineNumbers w:val="0"/>
        <w:shd w:val="clear" w:fill="FFFFFF"/>
        <w:ind w:left="0" w:firstLine="0"/>
        <w:rPr>
          <w:rFonts w:hint="default" w:ascii="Arial" w:hAnsi="Arial" w:cs="Arial"/>
          <w:i w:val="0"/>
          <w:iCs w:val="0"/>
          <w:caps w:val="0"/>
          <w:color w:val="231F20"/>
          <w:spacing w:val="0"/>
          <w:sz w:val="18"/>
          <w:szCs w:val="18"/>
        </w:rPr>
      </w:pPr>
      <w:r>
        <w:rPr>
          <w:rFonts w:hint="default" w:ascii="Arial" w:hAnsi="Arial" w:cs="Arial"/>
          <w:i w:val="0"/>
          <w:iCs w:val="0"/>
          <w:caps w:val="0"/>
          <w:color w:val="231F20"/>
          <w:spacing w:val="0"/>
          <w:sz w:val="18"/>
          <w:szCs w:val="18"/>
          <w:shd w:val="clear" w:fill="FFFFFF"/>
        </w:rPr>
        <w:t>Follow the steps below to complete this assignment:</w:t>
      </w:r>
    </w:p>
    <w:p w14:paraId="5FADCD4D">
      <w:pPr>
        <w:pStyle w:val="4"/>
        <w:keepNext w:val="0"/>
        <w:keepLines w:val="0"/>
        <w:widowControl/>
        <w:suppressLineNumbers w:val="0"/>
        <w:shd w:val="clear" w:fill="FFFFFF"/>
        <w:ind w:left="0" w:firstLine="0"/>
        <w:rPr>
          <w:rFonts w:hint="default" w:ascii="Arial" w:hAnsi="Arial" w:cs="Arial"/>
          <w:i w:val="0"/>
          <w:iCs w:val="0"/>
          <w:caps w:val="0"/>
          <w:color w:val="231F20"/>
          <w:spacing w:val="0"/>
          <w:sz w:val="18"/>
          <w:szCs w:val="18"/>
        </w:rPr>
      </w:pPr>
      <w:r>
        <w:rPr>
          <w:rFonts w:hint="default" w:ascii="Arial" w:hAnsi="Arial" w:cs="Arial"/>
          <w:i w:val="0"/>
          <w:iCs w:val="0"/>
          <w:caps w:val="0"/>
          <w:color w:val="231F20"/>
          <w:spacing w:val="0"/>
          <w:sz w:val="18"/>
          <w:szCs w:val="18"/>
          <w:shd w:val="clear" w:fill="FFFFFF"/>
        </w:rPr>
        <w:t xml:space="preserve">1: Download the </w:t>
      </w:r>
      <w:r>
        <w:rPr>
          <w:rStyle w:val="5"/>
          <w:rFonts w:hint="default" w:ascii="Arial" w:hAnsi="Arial" w:cs="Arial"/>
          <w:b/>
          <w:bCs/>
          <w:i w:val="0"/>
          <w:iCs w:val="0"/>
          <w:caps w:val="0"/>
          <w:color w:val="231F20"/>
          <w:spacing w:val="0"/>
          <w:sz w:val="18"/>
          <w:szCs w:val="18"/>
          <w:shd w:val="clear" w:fill="FFFFFF"/>
        </w:rPr>
        <w:t>Unit 6: Assignment Start File.</w:t>
      </w:r>
    </w:p>
    <w:p w14:paraId="475B3085">
      <w:pPr>
        <w:pStyle w:val="4"/>
        <w:keepNext w:val="0"/>
        <w:keepLines w:val="0"/>
        <w:widowControl/>
        <w:suppressLineNumbers w:val="0"/>
        <w:shd w:val="clear" w:fill="FFFFFF"/>
        <w:ind w:left="0" w:firstLine="0"/>
        <w:rPr>
          <w:rFonts w:hint="default" w:ascii="Arial" w:hAnsi="Arial" w:cs="Arial"/>
          <w:i w:val="0"/>
          <w:iCs w:val="0"/>
          <w:caps w:val="0"/>
          <w:color w:val="231F20"/>
          <w:spacing w:val="0"/>
          <w:sz w:val="18"/>
          <w:szCs w:val="18"/>
        </w:rPr>
      </w:pPr>
      <w:r>
        <w:rPr>
          <w:rFonts w:hint="default" w:ascii="Arial" w:hAnsi="Arial" w:cs="Arial"/>
          <w:i w:val="0"/>
          <w:iCs w:val="0"/>
          <w:caps w:val="0"/>
          <w:color w:val="231F20"/>
          <w:spacing w:val="0"/>
          <w:sz w:val="18"/>
          <w:szCs w:val="18"/>
          <w:shd w:val="clear" w:fill="FFFFFF"/>
        </w:rPr>
        <w:t>2. Begin by analyzing the distribution of returns for the period from January 31, 2018, to March 29, 2019. Use this data to evaluate both the Strategic Asset Allocation (SAA) and the Tactical Asset Allocation (TAA).</w:t>
      </w:r>
    </w:p>
    <w:p w14:paraId="5D0B6456">
      <w:pPr>
        <w:pStyle w:val="4"/>
        <w:keepNext w:val="0"/>
        <w:keepLines w:val="0"/>
        <w:widowControl/>
        <w:suppressLineNumbers w:val="0"/>
        <w:shd w:val="clear" w:fill="FFFFFF"/>
        <w:ind w:left="0" w:firstLine="0"/>
        <w:rPr>
          <w:rFonts w:hint="default" w:ascii="Arial" w:hAnsi="Arial" w:cs="Arial"/>
          <w:i w:val="0"/>
          <w:iCs w:val="0"/>
          <w:caps w:val="0"/>
          <w:color w:val="231F20"/>
          <w:spacing w:val="0"/>
          <w:sz w:val="18"/>
          <w:szCs w:val="18"/>
        </w:rPr>
      </w:pPr>
      <w:r>
        <w:rPr>
          <w:rFonts w:hint="default" w:ascii="Arial" w:hAnsi="Arial" w:cs="Arial"/>
          <w:i w:val="0"/>
          <w:iCs w:val="0"/>
          <w:caps w:val="0"/>
          <w:color w:val="231F20"/>
          <w:spacing w:val="0"/>
          <w:sz w:val="18"/>
          <w:szCs w:val="18"/>
          <w:shd w:val="clear" w:fill="FFFFFF"/>
        </w:rPr>
        <w:t>3. Calculate key statistical measures for both SAA and TAA, including portfolio mean, risk, skewness, and kurtosis. Generate a histogram to visualize the returns distribution under each allocation strategy.</w:t>
      </w:r>
    </w:p>
    <w:p w14:paraId="0361245A">
      <w:pPr>
        <w:pStyle w:val="4"/>
        <w:keepNext w:val="0"/>
        <w:keepLines w:val="0"/>
        <w:widowControl/>
        <w:suppressLineNumbers w:val="0"/>
        <w:shd w:val="clear" w:fill="FFFFFF"/>
        <w:ind w:left="0" w:firstLine="0"/>
        <w:rPr>
          <w:rFonts w:hint="default" w:ascii="Arial" w:hAnsi="Arial" w:cs="Arial"/>
          <w:i w:val="0"/>
          <w:iCs w:val="0"/>
          <w:caps w:val="0"/>
          <w:color w:val="231F20"/>
          <w:spacing w:val="0"/>
          <w:sz w:val="18"/>
          <w:szCs w:val="18"/>
        </w:rPr>
      </w:pPr>
      <w:r>
        <w:rPr>
          <w:rFonts w:hint="default" w:ascii="Arial" w:hAnsi="Arial" w:cs="Arial"/>
          <w:i w:val="0"/>
          <w:iCs w:val="0"/>
          <w:caps w:val="0"/>
          <w:color w:val="231F20"/>
          <w:spacing w:val="0"/>
          <w:sz w:val="18"/>
          <w:szCs w:val="18"/>
          <w:shd w:val="clear" w:fill="FFFFFF"/>
        </w:rPr>
        <w:t>4. Calculate the downside risk using the Sortino ratio, setting the minimum acceptable return at the risk-free rate of 2.35%. Assess the impact of the TAA compared to the SAA, focusing on whether the TAA added value and enhanced the portfolio’s return profile.</w:t>
      </w:r>
    </w:p>
    <w:p w14:paraId="0FF7E63F">
      <w:pPr>
        <w:pStyle w:val="4"/>
        <w:keepNext w:val="0"/>
        <w:keepLines w:val="0"/>
        <w:widowControl/>
        <w:suppressLineNumbers w:val="0"/>
        <w:shd w:val="clear" w:fill="FFFFFF"/>
        <w:ind w:left="0" w:firstLine="0"/>
        <w:rPr>
          <w:rFonts w:hint="default" w:ascii="Arial" w:hAnsi="Arial" w:cs="Arial"/>
          <w:i w:val="0"/>
          <w:iCs w:val="0"/>
          <w:caps w:val="0"/>
          <w:color w:val="231F20"/>
          <w:spacing w:val="0"/>
          <w:sz w:val="18"/>
          <w:szCs w:val="18"/>
        </w:rPr>
      </w:pPr>
      <w:r>
        <w:rPr>
          <w:rFonts w:hint="default" w:ascii="Arial" w:hAnsi="Arial" w:cs="Arial"/>
          <w:i w:val="0"/>
          <w:iCs w:val="0"/>
          <w:caps w:val="0"/>
          <w:color w:val="231F20"/>
          <w:spacing w:val="0"/>
          <w:sz w:val="18"/>
          <w:szCs w:val="18"/>
          <w:shd w:val="clear" w:fill="FFFFFF"/>
        </w:rPr>
        <w:t>5. Analyze the performance of the USD 5,000,000 equity carve-out invested in a UK Equity Fund, and consider the currency exposure to GBP, noting its volatility relative to USD.</w:t>
      </w:r>
    </w:p>
    <w:p w14:paraId="538BDB15">
      <w:pPr>
        <w:pStyle w:val="4"/>
        <w:keepNext w:val="0"/>
        <w:keepLines w:val="0"/>
        <w:widowControl/>
        <w:suppressLineNumbers w:val="0"/>
        <w:shd w:val="clear" w:fill="FFFFFF"/>
        <w:ind w:left="0" w:firstLine="0"/>
        <w:rPr>
          <w:rFonts w:hint="default" w:ascii="Arial" w:hAnsi="Arial" w:cs="Arial"/>
          <w:i w:val="0"/>
          <w:iCs w:val="0"/>
          <w:caps w:val="0"/>
          <w:color w:val="231F20"/>
          <w:spacing w:val="0"/>
          <w:sz w:val="18"/>
          <w:szCs w:val="18"/>
        </w:rPr>
      </w:pPr>
      <w:r>
        <w:rPr>
          <w:rFonts w:hint="default" w:ascii="Arial" w:hAnsi="Arial" w:cs="Arial"/>
          <w:i w:val="0"/>
          <w:iCs w:val="0"/>
          <w:caps w:val="0"/>
          <w:color w:val="231F20"/>
          <w:spacing w:val="0"/>
          <w:sz w:val="18"/>
          <w:szCs w:val="18"/>
          <w:shd w:val="clear" w:fill="FFFFFF"/>
        </w:rPr>
        <w:t>6. Calculate the performance of the GBP investment, including the effects of shorting futures contracts to hedge against currency risk. Apply a 50% hedge ratio to manage the currency exposure effectively.</w:t>
      </w:r>
    </w:p>
    <w:p w14:paraId="2788CB4B">
      <w:pPr>
        <w:pStyle w:val="4"/>
        <w:keepNext w:val="0"/>
        <w:keepLines w:val="0"/>
        <w:widowControl/>
        <w:suppressLineNumbers w:val="0"/>
        <w:shd w:val="clear" w:fill="FFFFFF"/>
        <w:ind w:left="0" w:firstLine="0"/>
        <w:rPr>
          <w:rFonts w:hint="default" w:ascii="Arial" w:hAnsi="Arial" w:cs="Arial"/>
          <w:i w:val="0"/>
          <w:iCs w:val="0"/>
          <w:caps w:val="0"/>
          <w:color w:val="231F20"/>
          <w:spacing w:val="0"/>
          <w:sz w:val="18"/>
          <w:szCs w:val="18"/>
        </w:rPr>
      </w:pPr>
      <w:r>
        <w:rPr>
          <w:rFonts w:hint="default" w:ascii="Arial" w:hAnsi="Arial" w:cs="Arial"/>
          <w:i w:val="0"/>
          <w:iCs w:val="0"/>
          <w:caps w:val="0"/>
          <w:color w:val="231F20"/>
          <w:spacing w:val="0"/>
          <w:sz w:val="18"/>
          <w:szCs w:val="18"/>
          <w:shd w:val="clear" w:fill="FFFFFF"/>
        </w:rPr>
        <w:t>7. Compile your findings into a short, informative report. Highlight the performance information relevant to return objectives, risk tolerances, and chosen benchmarks for the investment committee.</w:t>
      </w:r>
    </w:p>
    <w:p w14:paraId="2AC5B6B5">
      <w:pPr>
        <w:pStyle w:val="4"/>
        <w:keepNext w:val="0"/>
        <w:keepLines w:val="0"/>
        <w:widowControl/>
        <w:suppressLineNumbers w:val="0"/>
        <w:shd w:val="clear" w:fill="FFFFFF"/>
        <w:ind w:left="0" w:firstLine="0"/>
        <w:rPr>
          <w:rFonts w:hint="default" w:ascii="Arial" w:hAnsi="Arial" w:cs="Arial"/>
          <w:i w:val="0"/>
          <w:iCs w:val="0"/>
          <w:caps w:val="0"/>
          <w:color w:val="231F20"/>
          <w:spacing w:val="0"/>
          <w:sz w:val="18"/>
          <w:szCs w:val="18"/>
        </w:rPr>
      </w:pPr>
      <w:r>
        <w:rPr>
          <w:rFonts w:hint="default" w:ascii="Arial" w:hAnsi="Arial" w:cs="Arial"/>
          <w:i w:val="0"/>
          <w:iCs w:val="0"/>
          <w:caps w:val="0"/>
          <w:color w:val="231F20"/>
          <w:spacing w:val="0"/>
          <w:sz w:val="18"/>
          <w:szCs w:val="18"/>
          <w:shd w:val="clear" w:fill="FFFFFF"/>
        </w:rPr>
        <w:t> </w:t>
      </w:r>
    </w:p>
    <w:p w14:paraId="55FC0D45">
      <w:pPr>
        <w:pStyle w:val="4"/>
        <w:keepNext w:val="0"/>
        <w:keepLines w:val="0"/>
        <w:widowControl/>
        <w:suppressLineNumbers w:val="0"/>
        <w:shd w:val="clear" w:fill="FFFFFF"/>
        <w:ind w:left="0" w:firstLine="0"/>
        <w:rPr>
          <w:rFonts w:hint="default" w:ascii="Arial" w:hAnsi="Arial" w:cs="Arial"/>
          <w:i w:val="0"/>
          <w:iCs w:val="0"/>
          <w:caps w:val="0"/>
          <w:color w:val="231F20"/>
          <w:spacing w:val="0"/>
          <w:sz w:val="18"/>
          <w:szCs w:val="18"/>
        </w:rPr>
      </w:pPr>
      <w:r>
        <w:rPr>
          <w:rFonts w:hint="default" w:ascii="Arial" w:hAnsi="Arial" w:cs="Arial"/>
          <w:i w:val="0"/>
          <w:iCs w:val="0"/>
          <w:caps w:val="0"/>
          <w:color w:val="231F20"/>
          <w:spacing w:val="0"/>
          <w:sz w:val="18"/>
          <w:szCs w:val="18"/>
          <w:shd w:val="clear" w:fill="FFFFFF"/>
        </w:rPr>
        <w:t xml:space="preserve">Next, complete the following survey. Upload your completed </w:t>
      </w:r>
      <w:r>
        <w:rPr>
          <w:rStyle w:val="5"/>
          <w:rFonts w:hint="default" w:ascii="Arial" w:hAnsi="Arial" w:cs="Arial"/>
          <w:b/>
          <w:bCs/>
          <w:i w:val="0"/>
          <w:iCs w:val="0"/>
          <w:caps w:val="0"/>
          <w:color w:val="231F20"/>
          <w:spacing w:val="0"/>
          <w:sz w:val="18"/>
          <w:szCs w:val="18"/>
          <w:shd w:val="clear" w:fill="FFFFFF"/>
        </w:rPr>
        <w:t>Unit 6: Assignment Start File</w:t>
      </w:r>
      <w:r>
        <w:rPr>
          <w:rFonts w:hint="default" w:ascii="Arial" w:hAnsi="Arial" w:cs="Arial"/>
          <w:i w:val="0"/>
          <w:iCs w:val="0"/>
          <w:caps w:val="0"/>
          <w:color w:val="231F20"/>
          <w:spacing w:val="0"/>
          <w:sz w:val="18"/>
          <w:szCs w:val="18"/>
          <w:shd w:val="clear" w:fill="FFFFFF"/>
        </w:rPr>
        <w:t xml:space="preserve"> and then answer a few reflection questions about the assignment.</w:t>
      </w:r>
    </w:p>
    <w:p w14:paraId="3B01CFF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2E2797"/>
    <w:rsid w:val="2B2E27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2026-10-14T11:40:00Z</dcterms:created>
  <dc:creator>neejs</dc:creator>
  <cp:lastModifiedBy>neejs</cp:lastModifiedBy>
  <dcterms:modified xsi:type="dcterms:W3CDTF">2026-10-14T11:40:45Z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9D2DB2B9DCE741CDA0F45E07B8556DFA_11</vt:lpwstr>
  </property>
</Properties>
</file>