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Selenium Grid Distributed Configuration Exploration Report</w:t>
      </w:r>
    </w:p>
    <w:p>
      <w:r>
        <w:t>This report explores the impact of configuring Selenium Grid 4.8.3 components separately (Hub, Distributor, Session Map, Event Bus, and Nodes) compared to a standalone setup. The objective is to understand performance, scalability, and architectural implications of distributed configurations, especially for environments with desktop and mobile nodes (e.g., Appium).</w:t>
      </w:r>
    </w:p>
    <w:p>
      <w:pPr>
        <w:pStyle w:val="Heading1"/>
      </w:pPr>
      <w:r>
        <w:t>1. Selenium Grid Components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Default Port(s)</w:t>
            </w:r>
          </w:p>
        </w:tc>
      </w:tr>
      <w:tr>
        <w:tc>
          <w:tcPr>
            <w:tcW w:type="dxa" w:w="2880"/>
          </w:tcPr>
          <w:p>
            <w:r>
              <w:t>Router (Hub)</w:t>
            </w:r>
          </w:p>
        </w:tc>
        <w:tc>
          <w:tcPr>
            <w:tcW w:type="dxa" w:w="2880"/>
          </w:tcPr>
          <w:p>
            <w:r>
              <w:t>Entry point for WebDriver requests; routes to Distributor/Sessions</w:t>
            </w:r>
          </w:p>
        </w:tc>
        <w:tc>
          <w:tcPr>
            <w:tcW w:type="dxa" w:w="2880"/>
          </w:tcPr>
          <w:p>
            <w:r>
              <w:t>4444</w:t>
            </w:r>
          </w:p>
        </w:tc>
      </w:tr>
      <w:tr>
        <w:tc>
          <w:tcPr>
            <w:tcW w:type="dxa" w:w="2880"/>
          </w:tcPr>
          <w:p>
            <w:r>
              <w:t>Distributor</w:t>
            </w:r>
          </w:p>
        </w:tc>
        <w:tc>
          <w:tcPr>
            <w:tcW w:type="dxa" w:w="2880"/>
          </w:tcPr>
          <w:p>
            <w:r>
              <w:t>Allocates sessions to available Nodes</w:t>
            </w:r>
          </w:p>
        </w:tc>
        <w:tc>
          <w:tcPr>
            <w:tcW w:type="dxa" w:w="2880"/>
          </w:tcPr>
          <w:p>
            <w:r>
              <w:t>5553</w:t>
            </w:r>
          </w:p>
        </w:tc>
      </w:tr>
      <w:tr>
        <w:tc>
          <w:tcPr>
            <w:tcW w:type="dxa" w:w="2880"/>
          </w:tcPr>
          <w:p>
            <w:r>
              <w:t>Session Map</w:t>
            </w:r>
          </w:p>
        </w:tc>
        <w:tc>
          <w:tcPr>
            <w:tcW w:type="dxa" w:w="2880"/>
          </w:tcPr>
          <w:p>
            <w:r>
              <w:t>Tracks active sessions and node ownership</w:t>
            </w:r>
          </w:p>
        </w:tc>
        <w:tc>
          <w:tcPr>
            <w:tcW w:type="dxa" w:w="2880"/>
          </w:tcPr>
          <w:p>
            <w:r>
              <w:t>5556</w:t>
            </w:r>
          </w:p>
        </w:tc>
      </w:tr>
      <w:tr>
        <w:tc>
          <w:tcPr>
            <w:tcW w:type="dxa" w:w="2880"/>
          </w:tcPr>
          <w:p>
            <w:r>
              <w:t>Event Bus</w:t>
            </w:r>
          </w:p>
        </w:tc>
        <w:tc>
          <w:tcPr>
            <w:tcW w:type="dxa" w:w="2880"/>
          </w:tcPr>
          <w:p>
            <w:r>
              <w:t>Enables inter-component communication</w:t>
            </w:r>
          </w:p>
        </w:tc>
        <w:tc>
          <w:tcPr>
            <w:tcW w:type="dxa" w:w="2880"/>
          </w:tcPr>
          <w:p>
            <w:r>
              <w:t>4442 (Pub), 4443 (Sub)</w:t>
            </w:r>
          </w:p>
        </w:tc>
      </w:tr>
      <w:tr>
        <w:tc>
          <w:tcPr>
            <w:tcW w:type="dxa" w:w="2880"/>
          </w:tcPr>
          <w:p>
            <w:r>
              <w:t>Node</w:t>
            </w:r>
          </w:p>
        </w:tc>
        <w:tc>
          <w:tcPr>
            <w:tcW w:type="dxa" w:w="2880"/>
          </w:tcPr>
          <w:p>
            <w:r>
              <w:t>Executes browser or mobile sessions</w:t>
            </w:r>
          </w:p>
        </w:tc>
        <w:tc>
          <w:tcPr>
            <w:tcW w:type="dxa" w:w="2880"/>
          </w:tcPr>
          <w:p>
            <w:r>
              <w:t>Custom (e.g., 5555, 4723)</w:t>
            </w:r>
          </w:p>
        </w:tc>
      </w:tr>
    </w:tbl>
    <w:p>
      <w:pPr>
        <w:pStyle w:val="Heading1"/>
      </w:pPr>
      <w:r>
        <w:t>2. Performance and Scalability Impact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Effect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Significant Improvement</w:t>
            </w:r>
          </w:p>
        </w:tc>
        <w:tc>
          <w:tcPr>
            <w:tcW w:type="dxa" w:w="2880"/>
          </w:tcPr>
          <w:p>
            <w:r>
              <w:t>Each service can be scaled independently to handle high parallel test loads.</w:t>
            </w:r>
          </w:p>
        </w:tc>
      </w:tr>
      <w:tr>
        <w:tc>
          <w:tcPr>
            <w:tcW w:type="dxa" w:w="2880"/>
          </w:tcPr>
          <w:p>
            <w:r>
              <w:t>Stability</w:t>
            </w:r>
          </w:p>
        </w:tc>
        <w:tc>
          <w:tcPr>
            <w:tcW w:type="dxa" w:w="2880"/>
          </w:tcPr>
          <w:p>
            <w:r>
              <w:t>Improved</w:t>
            </w:r>
          </w:p>
        </w:tc>
        <w:tc>
          <w:tcPr>
            <w:tcW w:type="dxa" w:w="2880"/>
          </w:tcPr>
          <w:p>
            <w:r>
              <w:t>Crashes in one component don’t affect the others; easier recovery and maintenance.</w:t>
            </w:r>
          </w:p>
        </w:tc>
      </w:tr>
      <w:tr>
        <w:tc>
          <w:tcPr>
            <w:tcW w:type="dxa" w:w="2880"/>
          </w:tcPr>
          <w:p>
            <w:r>
              <w:t>Resource Utilization</w:t>
            </w:r>
          </w:p>
        </w:tc>
        <w:tc>
          <w:tcPr>
            <w:tcW w:type="dxa" w:w="2880"/>
          </w:tcPr>
          <w:p>
            <w:r>
              <w:t>More Efficient</w:t>
            </w:r>
          </w:p>
        </w:tc>
        <w:tc>
          <w:tcPr>
            <w:tcW w:type="dxa" w:w="2880"/>
          </w:tcPr>
          <w:p>
            <w:r>
              <w:t>Allows targeted resource allocation (CPU, memory) per component.</w:t>
            </w:r>
          </w:p>
        </w:tc>
      </w:tr>
      <w:tr>
        <w:tc>
          <w:tcPr>
            <w:tcW w:type="dxa" w:w="2880"/>
          </w:tcPr>
          <w:p>
            <w:r>
              <w:t>Network Overhead</w:t>
            </w:r>
          </w:p>
        </w:tc>
        <w:tc>
          <w:tcPr>
            <w:tcW w:type="dxa" w:w="2880"/>
          </w:tcPr>
          <w:p>
            <w:r>
              <w:t>Slightly Higher</w:t>
            </w:r>
          </w:p>
        </w:tc>
        <w:tc>
          <w:tcPr>
            <w:tcW w:type="dxa" w:w="2880"/>
          </w:tcPr>
          <w:p>
            <w:r>
              <w:t>More HTTP calls between components introduce minimal latency.</w:t>
            </w:r>
          </w:p>
        </w:tc>
      </w:tr>
      <w:tr>
        <w:tc>
          <w:tcPr>
            <w:tcW w:type="dxa" w:w="2880"/>
          </w:tcPr>
          <w:p>
            <w:r>
              <w:t>Setup Complexity</w:t>
            </w:r>
          </w:p>
        </w:tc>
        <w:tc>
          <w:tcPr>
            <w:tcW w:type="dxa" w:w="2880"/>
          </w:tcPr>
          <w:p>
            <w:r>
              <w:t>Higher</w:t>
            </w:r>
          </w:p>
        </w:tc>
        <w:tc>
          <w:tcPr>
            <w:tcW w:type="dxa" w:w="2880"/>
          </w:tcPr>
          <w:p>
            <w:r>
              <w:t>Requires multiple services or containers, monitoring, and coordination.</w:t>
            </w:r>
          </w:p>
        </w:tc>
      </w:tr>
      <w:tr>
        <w:tc>
          <w:tcPr>
            <w:tcW w:type="dxa" w:w="2880"/>
          </w:tcPr>
          <w:p>
            <w:r>
              <w:t>Load Balancing</w:t>
            </w:r>
          </w:p>
        </w:tc>
        <w:tc>
          <w:tcPr>
            <w:tcW w:type="dxa" w:w="2880"/>
          </w:tcPr>
          <w:p>
            <w:r>
              <w:t>Better</w:t>
            </w:r>
          </w:p>
        </w:tc>
        <w:tc>
          <w:tcPr>
            <w:tcW w:type="dxa" w:w="2880"/>
          </w:tcPr>
          <w:p>
            <w:r>
              <w:t>Distributor efficiently allocates sessions across diverse nodes.</w:t>
            </w:r>
          </w:p>
        </w:tc>
      </w:tr>
      <w:tr>
        <w:tc>
          <w:tcPr>
            <w:tcW w:type="dxa" w:w="2880"/>
          </w:tcPr>
          <w:p>
            <w:r>
              <w:t>Maintainability</w:t>
            </w:r>
          </w:p>
        </w:tc>
        <w:tc>
          <w:tcPr>
            <w:tcW w:type="dxa" w:w="2880"/>
          </w:tcPr>
          <w:p>
            <w:r>
              <w:t>Improved</w:t>
            </w:r>
          </w:p>
        </w:tc>
        <w:tc>
          <w:tcPr>
            <w:tcW w:type="dxa" w:w="2880"/>
          </w:tcPr>
          <w:p>
            <w:r>
              <w:t>Individual component updates without full grid downtime.</w:t>
            </w:r>
          </w:p>
        </w:tc>
      </w:tr>
    </w:tbl>
    <w:p>
      <w:pPr>
        <w:pStyle w:val="Heading1"/>
      </w:pPr>
      <w:r>
        <w:t>3. Configuration Recommendations</w:t>
      </w:r>
    </w:p>
    <w:p>
      <w:r>
        <w:t>- Use distributed setup if you run 20+ parallel sessions or multiple node types (desktop + mobile).</w:t>
        <w:br/>
        <w:t>- Keep Event Bus and Distributor on powerful machines to minimize bottlenecks.</w:t>
        <w:br/>
        <w:t>- Use Docker Compose or Kubernetes for orchestration.</w:t>
        <w:br/>
        <w:t>- Maintain consistent port exposure and environment variables across services.</w:t>
        <w:br/>
        <w:t>- For Appium integration, assign dedicated mobile nodes with limited max-sessions (usually 1 per device).</w:t>
      </w:r>
    </w:p>
    <w:p>
      <w:pPr>
        <w:pStyle w:val="Heading1"/>
      </w:pPr>
      <w:r>
        <w:t>4. Summary</w:t>
      </w:r>
    </w:p>
    <w:p>
      <w:r>
        <w:t>Configuring Selenium Grid components separately leads to substantial gains in scalability and stability for medium to large test environments, especially when managing diverse workloads. The trade-off is a modest increase in setup and maintenance complexity, which can be mitigated using container orchestration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