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drawingml.diagramData+xml" PartName="/word/diagrams/data1.xml"/>
  <Override ContentType="application/vnd.openxmlformats-officedocument.drawingml.diagramLayout+xml" PartName="/word/diagrams/layout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drawingml.diagramStyle+xml" PartName="/word/diagrams/quickStyle1.xml"/>
  <Override ContentType="application/vnd.openxmlformats-officedocument.wordprocessingml.document.main+xml" PartName="/word/document.xml"/>
  <Override ContentType="application/vnd.openxmlformats-officedocument.drawingml.diagramColors+xml" PartName="/word/diagrams/colors1.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0" distR="0">
            <wp:extent cx="5943600" cy="1705502"/>
            <wp:effectExtent b="28048" l="76200" r="57150" t="19050"/>
            <wp:docPr id="1" name=""/>
            <a:graphic>
              <a:graphicData uri="http://schemas.openxmlformats.org/drawingml/2006/diagram">
                <dgm:relIds r:cs="rId1" r:dm="rId2" r:lo="rId3" r:qs="rId4"/>
              </a:graphicData>
            </a:graphic>
          </wp:inline>
        </w:drawing>
      </w:r>
      <w:r w:rsidDel="00000000" w:rsidR="00000000" w:rsidRPr="00000000">
        <w:rPr>
          <w:rtl w:val="0"/>
        </w:rPr>
      </w:r>
    </w:p>
    <w:p w:rsidR="00000000" w:rsidDel="00000000" w:rsidP="00000000" w:rsidRDefault="00000000" w:rsidRPr="00000000" w14:paraId="00000002">
      <w:pPr>
        <w:rPr>
          <w:b w:val="1"/>
          <w:sz w:val="44"/>
          <w:szCs w:val="44"/>
          <w:u w:val="single"/>
        </w:rPr>
      </w:pPr>
      <w:r w:rsidDel="00000000" w:rsidR="00000000" w:rsidRPr="00000000">
        <w:rPr>
          <w:b w:val="1"/>
          <w:sz w:val="44"/>
          <w:szCs w:val="44"/>
          <w:u w:val="single"/>
          <w:rtl w:val="0"/>
        </w:rPr>
        <w:t xml:space="preserve">Introduction</w:t>
      </w:r>
    </w:p>
    <w:p w:rsidR="00000000" w:rsidDel="00000000" w:rsidP="00000000" w:rsidRDefault="00000000" w:rsidRPr="00000000" w14:paraId="00000003">
      <w:pPr>
        <w:jc w:val="both"/>
        <w:rPr>
          <w:rFonts w:ascii="Quattrocento Sans" w:cs="Quattrocento Sans" w:eastAsia="Quattrocento Sans" w:hAnsi="Quattrocento Sans"/>
          <w:b w:val="1"/>
          <w:color w:val="374151"/>
          <w:sz w:val="20"/>
          <w:szCs w:val="20"/>
          <w:shd w:fill="f7f7f8" w:val="clear"/>
        </w:rPr>
      </w:pPr>
      <w:r w:rsidDel="00000000" w:rsidR="00000000" w:rsidRPr="00000000">
        <w:rPr>
          <w:rFonts w:ascii="Quattrocento Sans" w:cs="Quattrocento Sans" w:eastAsia="Quattrocento Sans" w:hAnsi="Quattrocento Sans"/>
          <w:color w:val="374151"/>
          <w:sz w:val="18"/>
          <w:szCs w:val="18"/>
          <w:shd w:fill="f7f7f8" w:val="clear"/>
          <w:rtl w:val="0"/>
        </w:rPr>
        <w:t xml:space="preserve">                                                </w:t>
      </w:r>
      <w:r w:rsidDel="00000000" w:rsidR="00000000" w:rsidRPr="00000000">
        <w:rPr>
          <w:rFonts w:ascii="Quattrocento Sans" w:cs="Quattrocento Sans" w:eastAsia="Quattrocento Sans" w:hAnsi="Quattrocento Sans"/>
          <w:b w:val="1"/>
          <w:color w:val="374151"/>
          <w:sz w:val="20"/>
          <w:szCs w:val="20"/>
          <w:shd w:fill="f7f7f8" w:val="clear"/>
          <w:rtl w:val="0"/>
        </w:rPr>
        <w:t xml:space="preserve">Innovations for market basket insights involve leveraging data analytics and technology to better understand customer behavior, optimize product assortments, and enhance the overall shopping experience. Here are some innovative approaches and technologies that can be used to gain insights from market baskets:</w:t>
      </w:r>
    </w:p>
    <w:p w:rsidR="00000000" w:rsidDel="00000000" w:rsidP="00000000" w:rsidRDefault="00000000" w:rsidRPr="00000000" w14:paraId="00000004">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0" w:hanging="360"/>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b w:val="1"/>
          <w:color w:val="000000"/>
          <w:sz w:val="20"/>
          <w:szCs w:val="20"/>
          <w:rtl w:val="0"/>
        </w:rPr>
        <w:t xml:space="preserve">Machine Learning and Predictive Analytics:</w:t>
      </w:r>
      <w:r w:rsidDel="00000000" w:rsidR="00000000" w:rsidRPr="00000000">
        <w:rPr>
          <w:rFonts w:ascii="Quattrocento Sans" w:cs="Quattrocento Sans" w:eastAsia="Quattrocento Sans" w:hAnsi="Quattrocento Sans"/>
          <w:color w:val="000000"/>
          <w:sz w:val="20"/>
          <w:szCs w:val="20"/>
          <w:rtl w:val="0"/>
        </w:rPr>
        <w:t xml:space="preserve"> Utilize machine learning algorithms to analyze historical transaction data and predict future purchasing patterns. This can help retailers anticipate customer needs and optimize inventory and pricing strategies.</w:t>
      </w:r>
    </w:p>
    <w:p w:rsidR="00000000" w:rsidDel="00000000" w:rsidP="00000000" w:rsidRDefault="00000000" w:rsidRPr="00000000" w14:paraId="00000005">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0" w:hanging="360"/>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b w:val="1"/>
          <w:color w:val="000000"/>
          <w:sz w:val="20"/>
          <w:szCs w:val="20"/>
          <w:rtl w:val="0"/>
        </w:rPr>
        <w:t xml:space="preserve">Recommendation Engines:</w:t>
      </w:r>
      <w:r w:rsidDel="00000000" w:rsidR="00000000" w:rsidRPr="00000000">
        <w:rPr>
          <w:rFonts w:ascii="Quattrocento Sans" w:cs="Quattrocento Sans" w:eastAsia="Quattrocento Sans" w:hAnsi="Quattrocento Sans"/>
          <w:color w:val="000000"/>
          <w:sz w:val="20"/>
          <w:szCs w:val="20"/>
          <w:rtl w:val="0"/>
        </w:rPr>
        <w:t xml:space="preserve"> Implement advanced recommendation systems that offer personalized product suggestions based on a customer's purchase history and browsing behavior. These systems can significantly boost cross-selling and upselling opportunities.</w:t>
      </w:r>
    </w:p>
    <w:p w:rsidR="00000000" w:rsidDel="00000000" w:rsidP="00000000" w:rsidRDefault="00000000" w:rsidRPr="00000000" w14:paraId="00000006">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0" w:hanging="360"/>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b w:val="1"/>
          <w:color w:val="000000"/>
          <w:sz w:val="20"/>
          <w:szCs w:val="20"/>
          <w:rtl w:val="0"/>
        </w:rPr>
        <w:t xml:space="preserve">Real-time Data Analysis:</w:t>
      </w:r>
      <w:r w:rsidDel="00000000" w:rsidR="00000000" w:rsidRPr="00000000">
        <w:rPr>
          <w:rFonts w:ascii="Quattrocento Sans" w:cs="Quattrocento Sans" w:eastAsia="Quattrocento Sans" w:hAnsi="Quattrocento Sans"/>
          <w:color w:val="000000"/>
          <w:sz w:val="20"/>
          <w:szCs w:val="20"/>
          <w:rtl w:val="0"/>
        </w:rPr>
        <w:t xml:space="preserve"> Process and analyze market basket data in real-time to provide immediate insights. This enables retailers to make quick adjustments to their marketing, pricing, and inventory decisions.</w:t>
      </w:r>
    </w:p>
    <w:p w:rsidR="00000000" w:rsidDel="00000000" w:rsidP="00000000" w:rsidRDefault="00000000" w:rsidRPr="00000000" w14:paraId="00000007">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0" w:hanging="360"/>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b w:val="1"/>
          <w:color w:val="000000"/>
          <w:sz w:val="20"/>
          <w:szCs w:val="20"/>
          <w:rtl w:val="0"/>
        </w:rPr>
        <w:t xml:space="preserve">Customer Segmentation:</w:t>
      </w:r>
      <w:r w:rsidDel="00000000" w:rsidR="00000000" w:rsidRPr="00000000">
        <w:rPr>
          <w:rFonts w:ascii="Quattrocento Sans" w:cs="Quattrocento Sans" w:eastAsia="Quattrocento Sans" w:hAnsi="Quattrocento Sans"/>
          <w:color w:val="000000"/>
          <w:sz w:val="20"/>
          <w:szCs w:val="20"/>
          <w:rtl w:val="0"/>
        </w:rPr>
        <w:t xml:space="preserve"> Employ advanced customer segmentation techniques to group customers with similar buying habits. This allows retailers to create tailored marketing campaigns and product recommendations for different customer segments.</w:t>
      </w:r>
    </w:p>
    <w:p w:rsidR="00000000" w:rsidDel="00000000" w:rsidP="00000000" w:rsidRDefault="00000000" w:rsidRPr="00000000" w14:paraId="00000008">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0" w:hanging="360"/>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b w:val="1"/>
          <w:color w:val="000000"/>
          <w:sz w:val="20"/>
          <w:szCs w:val="20"/>
          <w:rtl w:val="0"/>
        </w:rPr>
        <w:t xml:space="preserve">AI-Powered Visual Recognition:</w:t>
      </w:r>
      <w:r w:rsidDel="00000000" w:rsidR="00000000" w:rsidRPr="00000000">
        <w:rPr>
          <w:rFonts w:ascii="Quattrocento Sans" w:cs="Quattrocento Sans" w:eastAsia="Quattrocento Sans" w:hAnsi="Quattrocento Sans"/>
          <w:color w:val="000000"/>
          <w:sz w:val="20"/>
          <w:szCs w:val="20"/>
          <w:rtl w:val="0"/>
        </w:rPr>
        <w:t xml:space="preserve"> Use computer vision and image recognition technology to analyze images of products in a shopper's cart or basket. This can provide insights into which products are popular and how they are combined.</w:t>
      </w:r>
    </w:p>
    <w:p w:rsidR="00000000" w:rsidDel="00000000" w:rsidP="00000000" w:rsidRDefault="00000000" w:rsidRPr="00000000" w14:paraId="00000009">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0" w:hanging="360"/>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b w:val="1"/>
          <w:color w:val="000000"/>
          <w:sz w:val="20"/>
          <w:szCs w:val="20"/>
          <w:rtl w:val="0"/>
        </w:rPr>
        <w:t xml:space="preserve">IoT Sensors and RFID Technology:</w:t>
      </w:r>
      <w:r w:rsidDel="00000000" w:rsidR="00000000" w:rsidRPr="00000000">
        <w:rPr>
          <w:rFonts w:ascii="Quattrocento Sans" w:cs="Quattrocento Sans" w:eastAsia="Quattrocento Sans" w:hAnsi="Quattrocento Sans"/>
          <w:color w:val="000000"/>
          <w:sz w:val="20"/>
          <w:szCs w:val="20"/>
          <w:rtl w:val="0"/>
        </w:rPr>
        <w:t xml:space="preserve"> Implement IoT sensors and RFID technology in stores to track the movement of products and baskets. This can help retailers understand customer flow within the store and which products are frequently paired or purchased together.</w:t>
      </w:r>
    </w:p>
    <w:p w:rsidR="00000000" w:rsidDel="00000000" w:rsidP="00000000" w:rsidRDefault="00000000" w:rsidRPr="00000000" w14:paraId="0000000A">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0" w:hanging="360"/>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b w:val="1"/>
          <w:color w:val="000000"/>
          <w:sz w:val="20"/>
          <w:szCs w:val="20"/>
          <w:rtl w:val="0"/>
        </w:rPr>
        <w:t xml:space="preserve">Mobile Apps and Location-Based Services:</w:t>
      </w:r>
      <w:r w:rsidDel="00000000" w:rsidR="00000000" w:rsidRPr="00000000">
        <w:rPr>
          <w:rFonts w:ascii="Quattrocento Sans" w:cs="Quattrocento Sans" w:eastAsia="Quattrocento Sans" w:hAnsi="Quattrocento Sans"/>
          <w:color w:val="000000"/>
          <w:sz w:val="20"/>
          <w:szCs w:val="20"/>
          <w:rtl w:val="0"/>
        </w:rPr>
        <w:t xml:space="preserve"> Develop mobile apps that offer in-store navigation, product information, and personalized offers. Location-based services can track a customer's movements in the store and provide insights into product interactions.</w:t>
      </w:r>
    </w:p>
    <w:p w:rsidR="00000000" w:rsidDel="00000000" w:rsidP="00000000" w:rsidRDefault="00000000" w:rsidRPr="00000000" w14:paraId="0000000B">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0" w:hanging="360"/>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b w:val="1"/>
          <w:color w:val="000000"/>
          <w:sz w:val="20"/>
          <w:szCs w:val="20"/>
          <w:rtl w:val="0"/>
        </w:rPr>
        <w:t xml:space="preserve">Blockchain for Supply Chain Transparency:</w:t>
      </w:r>
      <w:r w:rsidDel="00000000" w:rsidR="00000000" w:rsidRPr="00000000">
        <w:rPr>
          <w:rFonts w:ascii="Quattrocento Sans" w:cs="Quattrocento Sans" w:eastAsia="Quattrocento Sans" w:hAnsi="Quattrocento Sans"/>
          <w:color w:val="000000"/>
          <w:sz w:val="20"/>
          <w:szCs w:val="20"/>
          <w:rtl w:val="0"/>
        </w:rPr>
        <w:t xml:space="preserve"> Use blockchain technology to provide consumers with transparent information about the origins and journey of products. This can help build trust and influence purchasing decisions.</w:t>
      </w:r>
    </w:p>
    <w:p w:rsidR="00000000" w:rsidDel="00000000" w:rsidP="00000000" w:rsidRDefault="00000000" w:rsidRPr="00000000" w14:paraId="0000000C">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0" w:hanging="360"/>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b w:val="1"/>
          <w:color w:val="000000"/>
          <w:sz w:val="20"/>
          <w:szCs w:val="20"/>
          <w:rtl w:val="0"/>
        </w:rPr>
        <w:t xml:space="preserve">Voice and Conversational Commerce:</w:t>
      </w:r>
      <w:r w:rsidDel="00000000" w:rsidR="00000000" w:rsidRPr="00000000">
        <w:rPr>
          <w:rFonts w:ascii="Quattrocento Sans" w:cs="Quattrocento Sans" w:eastAsia="Quattrocento Sans" w:hAnsi="Quattrocento Sans"/>
          <w:color w:val="000000"/>
          <w:sz w:val="20"/>
          <w:szCs w:val="20"/>
          <w:rtl w:val="0"/>
        </w:rPr>
        <w:t xml:space="preserve"> Enable voice-activated shopping through virtual assistants and chatbots. This can provide valuable insights into customer preferences and allow for personalized recommendations.</w:t>
      </w:r>
    </w:p>
    <w:p w:rsidR="00000000" w:rsidDel="00000000" w:rsidP="00000000" w:rsidRDefault="00000000" w:rsidRPr="00000000" w14:paraId="0000000D">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0" w:hanging="360"/>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b w:val="1"/>
          <w:color w:val="000000"/>
          <w:sz w:val="20"/>
          <w:szCs w:val="20"/>
          <w:rtl w:val="0"/>
        </w:rPr>
        <w:t xml:space="preserve">A/B Testing and Experimentation:</w:t>
      </w:r>
      <w:r w:rsidDel="00000000" w:rsidR="00000000" w:rsidRPr="00000000">
        <w:rPr>
          <w:rFonts w:ascii="Quattrocento Sans" w:cs="Quattrocento Sans" w:eastAsia="Quattrocento Sans" w:hAnsi="Quattrocento Sans"/>
          <w:color w:val="000000"/>
          <w:sz w:val="20"/>
          <w:szCs w:val="20"/>
          <w:rtl w:val="0"/>
        </w:rPr>
        <w:t xml:space="preserve"> Continuously test and experiment with different pricing, product placement, and marketing strategies to gather data and insights on what drives purchases and what doesn't.</w:t>
      </w:r>
    </w:p>
    <w:p w:rsidR="00000000" w:rsidDel="00000000" w:rsidP="00000000" w:rsidRDefault="00000000" w:rsidRPr="00000000" w14:paraId="0000000E">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0" w:hanging="360"/>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b w:val="1"/>
          <w:color w:val="000000"/>
          <w:sz w:val="20"/>
          <w:szCs w:val="20"/>
          <w:rtl w:val="0"/>
        </w:rPr>
        <w:t xml:space="preserve">Customer Feedback and Sentiment Analysis:</w:t>
      </w:r>
      <w:r w:rsidDel="00000000" w:rsidR="00000000" w:rsidRPr="00000000">
        <w:rPr>
          <w:rFonts w:ascii="Quattrocento Sans" w:cs="Quattrocento Sans" w:eastAsia="Quattrocento Sans" w:hAnsi="Quattrocento Sans"/>
          <w:color w:val="000000"/>
          <w:sz w:val="20"/>
          <w:szCs w:val="20"/>
          <w:rtl w:val="0"/>
        </w:rPr>
        <w:t xml:space="preserve"> Analyze customer feedback, reviews, and social media conversations to gain insights into customer sentiment and preferences. This can help retailers tailor their offerings to customer needs.</w:t>
      </w:r>
    </w:p>
    <w:p w:rsidR="00000000" w:rsidDel="00000000" w:rsidP="00000000" w:rsidRDefault="00000000" w:rsidRPr="00000000" w14:paraId="0000000F">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0" w:hanging="360"/>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b w:val="1"/>
          <w:color w:val="000000"/>
          <w:sz w:val="20"/>
          <w:szCs w:val="20"/>
          <w:rtl w:val="0"/>
        </w:rPr>
        <w:t xml:space="preserve">Subscription Services and Predictive Subscription Models:</w:t>
      </w:r>
      <w:r w:rsidDel="00000000" w:rsidR="00000000" w:rsidRPr="00000000">
        <w:rPr>
          <w:rFonts w:ascii="Quattrocento Sans" w:cs="Quattrocento Sans" w:eastAsia="Quattrocento Sans" w:hAnsi="Quattrocento Sans"/>
          <w:color w:val="000000"/>
          <w:sz w:val="20"/>
          <w:szCs w:val="20"/>
          <w:rtl w:val="0"/>
        </w:rPr>
        <w:t xml:space="preserve"> Create subscription-based models for frequently purchased products. Predictive subscription models can analyze a customer's buying patterns to suggest and adjust subscription orders accordingly.</w:t>
      </w:r>
    </w:p>
    <w:p w:rsidR="00000000" w:rsidDel="00000000" w:rsidP="00000000" w:rsidRDefault="00000000" w:rsidRPr="00000000" w14:paraId="00000010">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0" w:hanging="360"/>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b w:val="1"/>
          <w:color w:val="000000"/>
          <w:sz w:val="20"/>
          <w:szCs w:val="20"/>
          <w:rtl w:val="0"/>
        </w:rPr>
        <w:t xml:space="preserve">Collaborative Filtering:</w:t>
      </w:r>
      <w:r w:rsidDel="00000000" w:rsidR="00000000" w:rsidRPr="00000000">
        <w:rPr>
          <w:rFonts w:ascii="Quattrocento Sans" w:cs="Quattrocento Sans" w:eastAsia="Quattrocento Sans" w:hAnsi="Quattrocento Sans"/>
          <w:color w:val="000000"/>
          <w:sz w:val="20"/>
          <w:szCs w:val="20"/>
          <w:rtl w:val="0"/>
        </w:rPr>
        <w:t xml:space="preserve"> Utilize collaborative filtering algorithms to recommend products based on the preferences of similar customers. This approach can enhance the accuracy of product recommendations.</w:t>
      </w:r>
    </w:p>
    <w:p w:rsidR="00000000" w:rsidDel="00000000" w:rsidP="00000000" w:rsidRDefault="00000000" w:rsidRPr="00000000" w14:paraId="00000011">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0" w:hanging="360"/>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b w:val="1"/>
          <w:color w:val="000000"/>
          <w:sz w:val="20"/>
          <w:szCs w:val="20"/>
          <w:rtl w:val="0"/>
        </w:rPr>
        <w:t xml:space="preserve">Dynamic Pricing Strategies:</w:t>
      </w:r>
      <w:r w:rsidDel="00000000" w:rsidR="00000000" w:rsidRPr="00000000">
        <w:rPr>
          <w:rFonts w:ascii="Quattrocento Sans" w:cs="Quattrocento Sans" w:eastAsia="Quattrocento Sans" w:hAnsi="Quattrocento Sans"/>
          <w:color w:val="000000"/>
          <w:sz w:val="20"/>
          <w:szCs w:val="20"/>
          <w:rtl w:val="0"/>
        </w:rPr>
        <w:t xml:space="preserve"> Implement dynamic pricing algorithms that adjust prices in real-time based on demand, competition, and other factors, thus optimizing revenue and sales.</w:t>
      </w:r>
    </w:p>
    <w:p w:rsidR="00000000" w:rsidDel="00000000" w:rsidP="00000000" w:rsidRDefault="00000000" w:rsidRPr="00000000" w14:paraId="00000012">
      <w:pPr>
        <w:rPr>
          <w:b w:val="1"/>
          <w:sz w:val="20"/>
          <w:szCs w:val="20"/>
          <w:u w:val="single"/>
        </w:rPr>
      </w:pPr>
      <w:r w:rsidDel="00000000" w:rsidR="00000000" w:rsidRPr="00000000">
        <w:rPr>
          <w:rtl w:val="0"/>
        </w:rPr>
      </w:r>
    </w:p>
    <w:p w:rsidR="00000000" w:rsidDel="00000000" w:rsidP="00000000" w:rsidRDefault="00000000" w:rsidRPr="00000000" w14:paraId="00000013">
      <w:pPr>
        <w:rPr>
          <w:b w:val="1"/>
          <w:sz w:val="20"/>
          <w:szCs w:val="20"/>
          <w:u w:val="single"/>
        </w:rPr>
      </w:pPr>
      <w:r w:rsidDel="00000000" w:rsidR="00000000" w:rsidRPr="00000000">
        <w:rPr>
          <w:rtl w:val="0"/>
        </w:rPr>
      </w:r>
    </w:p>
    <w:p w:rsidR="00000000" w:rsidDel="00000000" w:rsidP="00000000" w:rsidRDefault="00000000" w:rsidRPr="00000000" w14:paraId="00000014">
      <w:pPr>
        <w:rPr>
          <w:b w:val="1"/>
          <w:sz w:val="20"/>
          <w:szCs w:val="20"/>
          <w:u w:val="single"/>
        </w:rPr>
      </w:pPr>
      <w:r w:rsidDel="00000000" w:rsidR="00000000" w:rsidRPr="00000000">
        <w:rPr>
          <w:rtl w:val="0"/>
        </w:rPr>
      </w:r>
    </w:p>
    <w:p w:rsidR="00000000" w:rsidDel="00000000" w:rsidP="00000000" w:rsidRDefault="00000000" w:rsidRPr="00000000" w14:paraId="00000015">
      <w:pPr>
        <w:rPr>
          <w:b w:val="1"/>
          <w:sz w:val="44"/>
          <w:szCs w:val="44"/>
          <w:u w:val="single"/>
        </w:rPr>
      </w:pPr>
      <w:r w:rsidDel="00000000" w:rsidR="00000000" w:rsidRPr="00000000">
        <w:rPr>
          <w:b w:val="1"/>
          <w:sz w:val="44"/>
          <w:szCs w:val="44"/>
          <w:u w:val="single"/>
          <w:rtl w:val="0"/>
        </w:rPr>
        <w:t xml:space="preserve">Conclusion</w:t>
      </w:r>
    </w:p>
    <w:p w:rsidR="00000000" w:rsidDel="00000000" w:rsidP="00000000" w:rsidRDefault="00000000" w:rsidRPr="00000000" w14:paraId="00000016">
      <w:pPr>
        <w:pBdr>
          <w:top w:color="d9d9e3" w:space="0" w:sz="4" w:val="single"/>
          <w:left w:color="d9d9e3" w:space="0" w:sz="4" w:val="single"/>
          <w:bottom w:color="d9d9e3" w:space="0" w:sz="4" w:val="single"/>
          <w:right w:color="d9d9e3" w:space="0" w:sz="4" w:val="single"/>
        </w:pBdr>
        <w:spacing w:after="100" w:before="300" w:line="240" w:lineRule="auto"/>
        <w:jc w:val="both"/>
        <w:rPr>
          <w:rFonts w:ascii="Quattrocento Sans" w:cs="Quattrocento Sans" w:eastAsia="Quattrocento Sans" w:hAnsi="Quattrocento Sans"/>
          <w:b w:val="1"/>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                                   </w:t>
      </w:r>
      <w:r w:rsidDel="00000000" w:rsidR="00000000" w:rsidRPr="00000000">
        <w:rPr>
          <w:rFonts w:ascii="Quattrocento Sans" w:cs="Quattrocento Sans" w:eastAsia="Quattrocento Sans" w:hAnsi="Quattrocento Sans"/>
          <w:b w:val="1"/>
          <w:color w:val="000000"/>
          <w:sz w:val="20"/>
          <w:szCs w:val="20"/>
          <w:rtl w:val="0"/>
        </w:rPr>
        <w:t xml:space="preserve">By harnessing these innovative technologies and approaches, retailers can gain deeper insights into market baskets, optimize their strategies, and provide a more personalized and seamless shopping experience for their customers.</w:t>
      </w:r>
    </w:p>
    <w:p w:rsidR="00000000" w:rsidDel="00000000" w:rsidP="00000000" w:rsidRDefault="00000000" w:rsidRPr="00000000" w14:paraId="00000017">
      <w:pPr>
        <w:jc w:val="both"/>
        <w:rPr>
          <w:b w:val="1"/>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diagramColors" Target="diagrams/colors1.xml"/><Relationship Id="rId2" Type="http://schemas.openxmlformats.org/officeDocument/2006/relationships/diagramData" Target="diagrams/data1.xml"/><Relationship Id="rId3" Type="http://schemas.openxmlformats.org/officeDocument/2006/relationships/diagramLayout" Target="diagrams/layout1.xml"/><Relationship Id="rId4" Type="http://schemas.openxmlformats.org/officeDocument/2006/relationships/diagramQuickStyle" Target="diagrams/quickStyle1.xml"/><Relationship Id="rId9" Type="http://schemas.openxmlformats.org/officeDocument/2006/relationships/styles" Target="styles.xml"/><Relationship Id="rId5" Type="http://schemas.openxmlformats.org/officeDocument/2006/relationships/theme" Target="theme/theme1.xml"/><Relationship Id="rId6"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numbering" Target="numbering.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7CFFDE-A4F4-4330-9C6F-A07A78907534}" type="doc">
      <dgm:prSet loTypeId="urn:microsoft.com/office/officeart/2005/8/layout/vList3#1" loCatId="list" qsTypeId="urn:microsoft.com/office/officeart/2005/8/quickstyle/3d1" qsCatId="3D" csTypeId="urn:microsoft.com/office/officeart/2005/8/colors/accent1_2" csCatId="accent1" phldr="1"/>
      <dgm:spPr/>
    </dgm:pt>
    <dgm:pt modelId="{F8D747DA-CC49-40C5-B96B-53E34634497F}">
      <dgm:prSet phldrT="[Text]" custT="1"/>
      <dgm:spPr>
        <a:solidFill>
          <a:schemeClr val="accent3">
            <a:lumMod val="50000"/>
          </a:schemeClr>
        </a:solidFill>
      </dgm:spPr>
      <dgm:t>
        <a:bodyPr/>
        <a:lstStyle/>
        <a:p>
          <a:r>
            <a:rPr lang="en-IN" sz="2400" b="1"/>
            <a:t>Phase 2: Innovation - Market </a:t>
          </a:r>
        </a:p>
        <a:p>
          <a:r>
            <a:rPr lang="en-IN" sz="2400" b="1"/>
            <a:t>Basket Insights</a:t>
          </a:r>
        </a:p>
      </dgm:t>
    </dgm:pt>
    <dgm:pt modelId="{27C2A67B-9B8B-45B1-A8ED-3F9ECB3A06A8}" type="parTrans" cxnId="{CD6BF426-0F9B-4D80-A236-A26B5C93B34F}">
      <dgm:prSet/>
      <dgm:spPr/>
      <dgm:t>
        <a:bodyPr/>
        <a:lstStyle/>
        <a:p>
          <a:endParaRPr lang="en-IN"/>
        </a:p>
      </dgm:t>
    </dgm:pt>
    <dgm:pt modelId="{5833A46E-FCE1-47B0-B86B-91E7314F8B70}" type="sibTrans" cxnId="{CD6BF426-0F9B-4D80-A236-A26B5C93B34F}">
      <dgm:prSet/>
      <dgm:spPr/>
      <dgm:t>
        <a:bodyPr/>
        <a:lstStyle/>
        <a:p>
          <a:endParaRPr lang="en-IN"/>
        </a:p>
      </dgm:t>
    </dgm:pt>
    <dgm:pt modelId="{CB3F381A-E075-487E-AC0B-E800A5BA5120}" type="pres">
      <dgm:prSet presAssocID="{CE7CFFDE-A4F4-4330-9C6F-A07A78907534}" presName="linearFlow" presStyleCnt="0">
        <dgm:presLayoutVars>
          <dgm:dir val="rev"/>
          <dgm:resizeHandles val="exact"/>
        </dgm:presLayoutVars>
      </dgm:prSet>
      <dgm:spPr/>
    </dgm:pt>
    <dgm:pt modelId="{3EA53E49-B568-44D1-A9DD-9F593B4FA6FA}" type="pres">
      <dgm:prSet presAssocID="{F8D747DA-CC49-40C5-B96B-53E34634497F}" presName="composite" presStyleCnt="0"/>
      <dgm:spPr/>
    </dgm:pt>
    <dgm:pt modelId="{52C431AD-A901-454D-B43A-5454ABF935BA}" type="pres">
      <dgm:prSet presAssocID="{F8D747DA-CC49-40C5-B96B-53E34634497F}" presName="imgShp" presStyleLbl="fgImgPlace1" presStyleIdx="0" presStyleCnt="1" custScaleX="165674" custScaleY="167388" custLinFactX="13999" custLinFactNeighborX="100000" custLinFactNeighborY="-1"/>
      <dgm:spPr>
        <a:blipFill>
          <a:blip xmlns:r="http://schemas.openxmlformats.org/officeDocument/2006/relationships" r:embed="rId1" cstate="print">
            <a:duotone>
              <a:prstClr val="black"/>
              <a:schemeClr val="accent3">
                <a:tint val="45000"/>
                <a:satMod val="400000"/>
              </a:schemeClr>
            </a:duotone>
            <a:extLst>
              <a:ext uri="{28A0092B-C50C-407E-A947-70E740481C1C}">
                <a14:useLocalDpi xmlns:a14="http://schemas.microsoft.com/office/drawing/2010/main" xmlns="" val="0"/>
              </a:ext>
            </a:extLst>
          </a:blip>
          <a:srcRect/>
          <a:stretch>
            <a:fillRect/>
          </a:stretch>
        </a:blipFill>
      </dgm:spPr>
    </dgm:pt>
    <dgm:pt modelId="{3F7D390B-3776-466A-B211-F7835AD281BF}" type="pres">
      <dgm:prSet presAssocID="{F8D747DA-CC49-40C5-B96B-53E34634497F}" presName="txShp" presStyleLbl="node1" presStyleIdx="0" presStyleCnt="1" custScaleX="150376" custScaleY="298507" custLinFactNeighborX="-283" custLinFactNeighborY="18">
        <dgm:presLayoutVars>
          <dgm:bulletEnabled val="1"/>
        </dgm:presLayoutVars>
      </dgm:prSet>
      <dgm:spPr/>
      <dgm:t>
        <a:bodyPr/>
        <a:lstStyle/>
        <a:p>
          <a:endParaRPr lang="en-US"/>
        </a:p>
      </dgm:t>
    </dgm:pt>
  </dgm:ptLst>
  <dgm:cxnLst>
    <dgm:cxn modelId="{CAE7E909-DBAA-429A-A42F-074FA6CEC9DB}" type="presOf" srcId="{F8D747DA-CC49-40C5-B96B-53E34634497F}" destId="{3F7D390B-3776-466A-B211-F7835AD281BF}" srcOrd="0" destOrd="0" presId="urn:microsoft.com/office/officeart/2005/8/layout/vList3#1"/>
    <dgm:cxn modelId="{CD6BF426-0F9B-4D80-A236-A26B5C93B34F}" srcId="{CE7CFFDE-A4F4-4330-9C6F-A07A78907534}" destId="{F8D747DA-CC49-40C5-B96B-53E34634497F}" srcOrd="0" destOrd="0" parTransId="{27C2A67B-9B8B-45B1-A8ED-3F9ECB3A06A8}" sibTransId="{5833A46E-FCE1-47B0-B86B-91E7314F8B70}"/>
    <dgm:cxn modelId="{3832AE8D-5E63-422C-BD4B-3D3C61B881D4}" type="presOf" srcId="{CE7CFFDE-A4F4-4330-9C6F-A07A78907534}" destId="{CB3F381A-E075-487E-AC0B-E800A5BA5120}" srcOrd="0" destOrd="0" presId="urn:microsoft.com/office/officeart/2005/8/layout/vList3#1"/>
    <dgm:cxn modelId="{E87A2706-F389-4743-AA19-97317B1504FD}" type="presParOf" srcId="{CB3F381A-E075-487E-AC0B-E800A5BA5120}" destId="{3EA53E49-B568-44D1-A9DD-9F593B4FA6FA}" srcOrd="0" destOrd="0" presId="urn:microsoft.com/office/officeart/2005/8/layout/vList3#1"/>
    <dgm:cxn modelId="{C9F88777-F40B-4C2C-9232-D70728248F79}" type="presParOf" srcId="{3EA53E49-B568-44D1-A9DD-9F593B4FA6FA}" destId="{52C431AD-A901-454D-B43A-5454ABF935BA}" srcOrd="0" destOrd="0" presId="urn:microsoft.com/office/officeart/2005/8/layout/vList3#1"/>
    <dgm:cxn modelId="{B511ED89-23D9-40A0-9BF6-AC56A9902D92}" type="presParOf" srcId="{3EA53E49-B568-44D1-A9DD-9F593B4FA6FA}" destId="{3F7D390B-3776-466A-B211-F7835AD281BF}" srcOrd="1" destOrd="0" presId="urn:microsoft.com/office/officeart/2005/8/layout/vList3#1"/>
  </dgm:cxnLst>
  <dgm:bg/>
  <dgm:whole/>
</dgm:dataModel>
</file>

<file path=word/diagrams/layout1.xml><?xml version="1.0" encoding="utf-8"?>
<dgm:layoutDef xmlns:dgm="http://schemas.openxmlformats.org/drawingml/2006/diagram" xmlns:a="http://schemas.openxmlformats.org/drawingml/2006/main" uniqueId="urn:microsoft.com/office/officeart/2005/8/layout/vList3#1">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