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business-requirements-document-brd"/>
    <w:p>
      <w:pPr>
        <w:pStyle w:val="Heading1"/>
      </w:pPr>
      <w:r>
        <w:t xml:space="preserve">Business Requirements Document (BRD)</w:t>
      </w:r>
    </w:p>
    <w:p>
      <w:pPr>
        <w:pStyle w:val="FirstParagraph"/>
      </w:pPr>
      <w:r>
        <w:rPr>
          <w:bCs/>
          <w:b/>
        </w:rPr>
        <w:t xml:space="preserve">Project:</w:t>
      </w:r>
      <w:r>
        <w:t xml:space="preserve"> </w:t>
      </w:r>
      <w:r>
        <w:t xml:space="preserve">Insurance Policy Analytics – Executive Dashboard</w:t>
      </w:r>
      <w:r>
        <w:br/>
      </w:r>
      <w:r>
        <w:rPr>
          <w:bCs/>
          <w:b/>
        </w:rPr>
        <w:t xml:space="preserve">Author:</w:t>
      </w:r>
      <w:r>
        <w:t xml:space="preserve"> </w:t>
      </w:r>
      <w:r>
        <w:t xml:space="preserve">Saraswati Sarjerao Shinde ·</w:t>
      </w:r>
      <w:r>
        <w:t xml:space="preserve"> </w:t>
      </w:r>
      <w:hyperlink r:id="rId20">
        <w:r>
          <w:rPr>
            <w:rStyle w:val="Hyperlink"/>
          </w:rPr>
          <w:t xml:space="preserve">LinkedIn</w:t>
        </w:r>
      </w:hyperlink>
      <w:r>
        <w:t xml:space="preserve"> </w:t>
      </w:r>
      <w:r>
        <w:t xml:space="preserve">·</w:t>
      </w:r>
      <w:r>
        <w:t xml:space="preserve"> </w:t>
      </w:r>
      <w:hyperlink r:id="rId21">
        <w:r>
          <w:rPr>
            <w:rStyle w:val="Hyperlink"/>
          </w:rPr>
          <w:t xml:space="preserve">Portfolio</w:t>
        </w:r>
      </w:hyperlink>
    </w:p>
    <w:bookmarkStart w:id="22" w:name="document-control"/>
    <w:p>
      <w:pPr>
        <w:pStyle w:val="Heading2"/>
      </w:pPr>
      <w:r>
        <w:t xml:space="preserve">1. Document Control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Details</w:t>
            </w:r>
          </w:p>
        </w:tc>
      </w:tr>
      <w:tr>
        <w:tc>
          <w:tcPr/>
          <w:p>
            <w:pPr>
              <w:pStyle w:val="Compact"/>
              <w:jc w:val="left"/>
            </w:pPr>
            <w:r>
              <w:t xml:space="preserve">Project Name</w:t>
            </w:r>
          </w:p>
        </w:tc>
        <w:tc>
          <w:tcPr/>
          <w:p>
            <w:pPr>
              <w:pStyle w:val="Compact"/>
              <w:jc w:val="left"/>
            </w:pPr>
            <w:r>
              <w:t xml:space="preserve">Insurance Policy Analytics – Executive Dashboard</w:t>
            </w:r>
          </w:p>
        </w:tc>
      </w:tr>
      <w:tr>
        <w:tc>
          <w:tcPr/>
          <w:p>
            <w:pPr>
              <w:pStyle w:val="Compact"/>
              <w:jc w:val="left"/>
            </w:pPr>
            <w:r>
              <w:t xml:space="preserve">Document Version</w:t>
            </w:r>
          </w:p>
        </w:tc>
        <w:tc>
          <w:tcPr/>
          <w:p>
            <w:pPr>
              <w:pStyle w:val="Compact"/>
              <w:jc w:val="left"/>
            </w:pPr>
            <w:r>
              <w:t xml:space="preserve">1.0</w:t>
            </w:r>
          </w:p>
        </w:tc>
      </w:tr>
      <w:tr>
        <w:tc>
          <w:tcPr/>
          <w:p>
            <w:pPr>
              <w:pStyle w:val="Compact"/>
              <w:jc w:val="left"/>
            </w:pPr>
            <w:r>
              <w:t xml:space="preserve">Prepared By</w:t>
            </w:r>
          </w:p>
        </w:tc>
        <w:tc>
          <w:tcPr/>
          <w:p>
            <w:pPr>
              <w:pStyle w:val="Compact"/>
              <w:jc w:val="left"/>
            </w:pPr>
            <w:r>
              <w:t xml:space="preserve">Saraswati Sarjerao Shinde (Business Analyst)</w:t>
            </w:r>
          </w:p>
        </w:tc>
      </w:tr>
      <w:tr>
        <w:tc>
          <w:tcPr/>
          <w:p>
            <w:pPr>
              <w:pStyle w:val="Compact"/>
              <w:jc w:val="left"/>
            </w:pPr>
            <w:r>
              <w:t xml:space="preserve">Document Type</w:t>
            </w:r>
          </w:p>
        </w:tc>
        <w:tc>
          <w:tcPr/>
          <w:p>
            <w:pPr>
              <w:pStyle w:val="Compact"/>
              <w:jc w:val="left"/>
            </w:pPr>
            <w:r>
              <w:t xml:space="preserve">Business Requirements Document</w:t>
            </w:r>
          </w:p>
        </w:tc>
      </w:tr>
      <w:tr>
        <w:tc>
          <w:tcPr/>
          <w:p>
            <w:pPr>
              <w:pStyle w:val="Compact"/>
              <w:jc w:val="left"/>
            </w:pPr>
            <w:r>
              <w:t xml:space="preserve">Status</w:t>
            </w:r>
          </w:p>
        </w:tc>
        <w:tc>
          <w:tcPr/>
          <w:p>
            <w:pPr>
              <w:pStyle w:val="Compact"/>
              <w:jc w:val="left"/>
            </w:pPr>
            <w:r>
              <w:t xml:space="preserve">Final</w:t>
            </w:r>
          </w:p>
        </w:tc>
      </w:tr>
      <w:tr>
        <w:tc>
          <w:tcPr/>
          <w:p>
            <w:pPr>
              <w:pStyle w:val="Compact"/>
              <w:jc w:val="left"/>
            </w:pPr>
            <w:r>
              <w:t xml:space="preserve">Tools</w:t>
            </w:r>
          </w:p>
        </w:tc>
        <w:tc>
          <w:tcPr/>
          <w:p>
            <w:pPr>
              <w:pStyle w:val="Compact"/>
              <w:jc w:val="left"/>
            </w:pPr>
            <w:r>
              <w:t xml:space="preserve">MySQL, Power BI</w:t>
            </w:r>
          </w:p>
        </w:tc>
      </w:tr>
    </w:tbl>
    <w:bookmarkEnd w:id="22"/>
    <w:bookmarkStart w:id="23" w:name="purpose-of-the-document"/>
    <w:p>
      <w:pPr>
        <w:pStyle w:val="Heading2"/>
      </w:pPr>
      <w:r>
        <w:t xml:space="preserve">2. Purpose of the Document</w:t>
      </w:r>
    </w:p>
    <w:p>
      <w:pPr>
        <w:pStyle w:val="FirstParagraph"/>
      </w:pPr>
      <w:r>
        <w:t xml:space="preserve">This BRD defines the business needs, scope, requirements and acceptance criteria for building an Insurance Policy Analytics dashboard. It acts as the single reference between the business stakeholders and the analytics/BI team.</w:t>
      </w:r>
    </w:p>
    <w:bookmarkEnd w:id="23"/>
    <w:bookmarkStart w:id="24" w:name="business-background"/>
    <w:p>
      <w:pPr>
        <w:pStyle w:val="Heading2"/>
      </w:pPr>
      <w:r>
        <w:t xml:space="preserve">3. Business Background</w:t>
      </w:r>
    </w:p>
    <w:p>
      <w:pPr>
        <w:pStyle w:val="FirstParagraph"/>
      </w:pPr>
      <w:r>
        <w:t xml:space="preserve">The insurance company holds customer, policy, claims and payment data in separate sheets. Leadership has no consolidated, self-service view of portfolio health, so questions about active policies, premium trends and renewals take significant manual effort to answer.</w:t>
      </w:r>
    </w:p>
    <w:bookmarkEnd w:id="24"/>
    <w:bookmarkStart w:id="25" w:name="problem-statement"/>
    <w:p>
      <w:pPr>
        <w:pStyle w:val="Heading2"/>
      </w:pPr>
      <w:r>
        <w:t xml:space="preserve">4. Problem Statement</w:t>
      </w:r>
    </w:p>
    <w:p>
      <w:pPr>
        <w:pStyle w:val="FirstParagraph"/>
      </w:pPr>
      <w:r>
        <w:t xml:space="preserve">Leadership cannot quickly see how many policies are active, how premiums are trending, or when large numbers of policies will end. This leads to delayed retention actions, unplanned renewal workload and missed cross-sell opportunities.</w:t>
      </w:r>
    </w:p>
    <w:bookmarkEnd w:id="25"/>
    <w:bookmarkStart w:id="26" w:name="business-objectives"/>
    <w:p>
      <w:pPr>
        <w:pStyle w:val="Heading2"/>
      </w:pPr>
      <w:r>
        <w:t xml:space="preserve">5. Business Objectives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Objective</w:t>
            </w:r>
          </w:p>
        </w:tc>
        <w:tc>
          <w:tcPr/>
          <w:p>
            <w:pPr>
              <w:pStyle w:val="Compact"/>
              <w:jc w:val="left"/>
            </w:pPr>
            <w:r>
              <w:t xml:space="preserve">Success Measure</w:t>
            </w:r>
          </w:p>
        </w:tc>
      </w:tr>
      <w:tr>
        <w:tc>
          <w:tcPr/>
          <w:p>
            <w:pPr>
              <w:pStyle w:val="Compact"/>
              <w:jc w:val="left"/>
            </w:pPr>
            <w:r>
              <w:t xml:space="preserve">BO-01</w:t>
            </w:r>
          </w:p>
        </w:tc>
        <w:tc>
          <w:tcPr/>
          <w:p>
            <w:pPr>
              <w:pStyle w:val="Compact"/>
              <w:jc w:val="left"/>
            </w:pPr>
            <w:r>
              <w:t xml:space="preserve">Provide one consolidated view of portfolio performance</w:t>
            </w:r>
          </w:p>
        </w:tc>
        <w:tc>
          <w:tcPr/>
          <w:p>
            <w:pPr>
              <w:pStyle w:val="Compact"/>
              <w:jc w:val="left"/>
            </w:pPr>
            <w:r>
              <w:t xml:space="preserve">Single dashboard covering all 21 KPI questions</w:t>
            </w:r>
          </w:p>
        </w:tc>
      </w:tr>
      <w:tr>
        <w:tc>
          <w:tcPr/>
          <w:p>
            <w:pPr>
              <w:pStyle w:val="Compact"/>
              <w:jc w:val="left"/>
            </w:pPr>
            <w:r>
              <w:t xml:space="preserve">BO-02</w:t>
            </w:r>
          </w:p>
        </w:tc>
        <w:tc>
          <w:tcPr/>
          <w:p>
            <w:pPr>
              <w:pStyle w:val="Compact"/>
              <w:jc w:val="left"/>
            </w:pPr>
            <w:r>
              <w:t xml:space="preserve">Improve visibility of policy retention</w:t>
            </w:r>
          </w:p>
        </w:tc>
        <w:tc>
          <w:tcPr/>
          <w:p>
            <w:pPr>
              <w:pStyle w:val="Compact"/>
              <w:jc w:val="left"/>
            </w:pPr>
            <w:r>
              <w:t xml:space="preserve">Active vs inactive % visible and filterable</w:t>
            </w:r>
          </w:p>
        </w:tc>
      </w:tr>
      <w:tr>
        <w:tc>
          <w:tcPr/>
          <w:p>
            <w:pPr>
              <w:pStyle w:val="Compact"/>
              <w:jc w:val="left"/>
            </w:pPr>
            <w:r>
              <w:t xml:space="preserve">BO-03</w:t>
            </w:r>
          </w:p>
        </w:tc>
        <w:tc>
          <w:tcPr/>
          <w:p>
            <w:pPr>
              <w:pStyle w:val="Compact"/>
              <w:jc w:val="left"/>
            </w:pPr>
            <w:r>
              <w:t xml:space="preserve">Monitor premium performance over time</w:t>
            </w:r>
          </w:p>
        </w:tc>
        <w:tc>
          <w:tcPr/>
          <w:p>
            <w:pPr>
              <w:pStyle w:val="Compact"/>
              <w:jc w:val="left"/>
            </w:pPr>
            <w:r>
              <w:t xml:space="preserve">Avg premium and growth % shown by start year</w:t>
            </w:r>
          </w:p>
        </w:tc>
      </w:tr>
      <w:tr>
        <w:tc>
          <w:tcPr/>
          <w:p>
            <w:pPr>
              <w:pStyle w:val="Compact"/>
              <w:jc w:val="left"/>
            </w:pPr>
            <w:r>
              <w:t xml:space="preserve">BO-04</w:t>
            </w:r>
          </w:p>
        </w:tc>
        <w:tc>
          <w:tcPr/>
          <w:p>
            <w:pPr>
              <w:pStyle w:val="Compact"/>
              <w:jc w:val="left"/>
            </w:pPr>
            <w:r>
              <w:t xml:space="preserve">Prepare for renewal workload</w:t>
            </w:r>
          </w:p>
        </w:tc>
        <w:tc>
          <w:tcPr/>
          <w:p>
            <w:pPr>
              <w:pStyle w:val="Compact"/>
              <w:jc w:val="left"/>
            </w:pPr>
            <w:r>
              <w:t xml:space="preserve">Policies by end year with peak identified</w:t>
            </w:r>
          </w:p>
        </w:tc>
      </w:tr>
      <w:tr>
        <w:tc>
          <w:tcPr/>
          <w:p>
            <w:pPr>
              <w:pStyle w:val="Compact"/>
              <w:jc w:val="left"/>
            </w:pPr>
            <w:r>
              <w:t xml:space="preserve">BO-05</w:t>
            </w:r>
          </w:p>
        </w:tc>
        <w:tc>
          <w:tcPr/>
          <w:p>
            <w:pPr>
              <w:pStyle w:val="Compact"/>
              <w:jc w:val="left"/>
            </w:pPr>
            <w:r>
              <w:t xml:space="preserve">Identify growth opportunities</w:t>
            </w:r>
          </w:p>
        </w:tc>
        <w:tc>
          <w:tcPr/>
          <w:p>
            <w:pPr>
              <w:pStyle w:val="Compact"/>
              <w:jc w:val="left"/>
            </w:pPr>
            <w:r>
              <w:t xml:space="preserve">Count of customers without a policy reported</w:t>
            </w:r>
          </w:p>
        </w:tc>
      </w:tr>
    </w:tbl>
    <w:bookmarkEnd w:id="26"/>
    <w:bookmarkStart w:id="27" w:name="scope"/>
    <w:p>
      <w:pPr>
        <w:pStyle w:val="Heading2"/>
      </w:pPr>
      <w:r>
        <w:t xml:space="preserve">6. Scope</w:t>
      </w:r>
    </w:p>
    <w:p>
      <w:pPr>
        <w:pStyle w:val="FirstParagraph"/>
      </w:pPr>
      <w:r>
        <w:rPr>
          <w:bCs/>
          <w:b/>
        </w:rPr>
        <w:t xml:space="preserve">In scope</w:t>
      </w:r>
      <w:r>
        <w:t xml:space="preserve"> </w:t>
      </w:r>
      <w:r>
        <w:t xml:space="preserve">- Data from Customer Information, Policy Details, Claims, Payment History and Additional Fields</w:t>
      </w:r>
      <w:r>
        <w:t xml:space="preserve"> </w:t>
      </w:r>
      <w:r>
        <w:t xml:space="preserve">- SQL queries answering 21 KPI questions</w:t>
      </w:r>
      <w:r>
        <w:t xml:space="preserve"> </w:t>
      </w:r>
      <w:r>
        <w:t xml:space="preserve">- 3-page Power BI report (Executive Overview, Premium &amp; Policy Lifecycle Trends, Summary)</w:t>
      </w:r>
      <w:r>
        <w:t xml:space="preserve"> </w:t>
      </w:r>
      <w:r>
        <w:t xml:space="preserve">- Filters for Payment Method, Payment Status and Year</w:t>
      </w:r>
      <w:r>
        <w:t xml:space="preserve"> </w:t>
      </w:r>
      <w:r>
        <w:t xml:space="preserve">- Insights, recommendations and data-quality notes</w:t>
      </w:r>
    </w:p>
    <w:p>
      <w:pPr>
        <w:pStyle w:val="BodyText"/>
      </w:pPr>
      <w:r>
        <w:rPr>
          <w:bCs/>
          <w:b/>
        </w:rPr>
        <w:t xml:space="preserve">Out of scope</w:t>
      </w:r>
      <w:r>
        <w:t xml:space="preserve"> </w:t>
      </w:r>
      <w:r>
        <w:t xml:space="preserve">- Predictive modelling or machine-learning forecasts</w:t>
      </w:r>
      <w:r>
        <w:t xml:space="preserve"> </w:t>
      </w:r>
      <w:r>
        <w:t xml:space="preserve">- Real-time or automated data refresh from a live production system</w:t>
      </w:r>
      <w:r>
        <w:t xml:space="preserve"> </w:t>
      </w:r>
      <w:r>
        <w:t xml:space="preserve">- Claims fraud detection</w:t>
      </w:r>
      <w:r>
        <w:t xml:space="preserve"> </w:t>
      </w:r>
      <w:r>
        <w:t xml:space="preserve">- Row-level security and user access management</w:t>
      </w:r>
    </w:p>
    <w:bookmarkEnd w:id="27"/>
    <w:bookmarkStart w:id="28" w:name="stakeholders"/>
    <w:p>
      <w:pPr>
        <w:pStyle w:val="Heading2"/>
      </w:pPr>
      <w:r>
        <w:t xml:space="preserve">7. Stakeholders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Stakeholder</w:t>
            </w:r>
          </w:p>
        </w:tc>
        <w:tc>
          <w:tcPr/>
          <w:p>
            <w:pPr>
              <w:pStyle w:val="Compact"/>
              <w:jc w:val="left"/>
            </w:pPr>
            <w:r>
              <w:t xml:space="preserve">Role</w:t>
            </w:r>
          </w:p>
        </w:tc>
        <w:tc>
          <w:tcPr/>
          <w:p>
            <w:pPr>
              <w:pStyle w:val="Compact"/>
              <w:jc w:val="left"/>
            </w:pPr>
            <w:r>
              <w:t xml:space="preserve">Interest</w:t>
            </w:r>
          </w:p>
        </w:tc>
      </w:tr>
      <w:tr>
        <w:tc>
          <w:tcPr/>
          <w:p>
            <w:pPr>
              <w:pStyle w:val="Compact"/>
              <w:jc w:val="left"/>
            </w:pPr>
            <w:r>
              <w:t xml:space="preserve">Senior Management / Executives</w:t>
            </w:r>
          </w:p>
        </w:tc>
        <w:tc>
          <w:tcPr/>
          <w:p>
            <w:pPr>
              <w:pStyle w:val="Compact"/>
              <w:jc w:val="left"/>
            </w:pPr>
            <w:r>
              <w:t xml:space="preserve">Primary consumer</w:t>
            </w:r>
          </w:p>
        </w:tc>
        <w:tc>
          <w:tcPr/>
          <w:p>
            <w:pPr>
              <w:pStyle w:val="Compact"/>
              <w:jc w:val="left"/>
            </w:pPr>
            <w:r>
              <w:t xml:space="preserve">Portfolio health, strategic decisions</w:t>
            </w:r>
          </w:p>
        </w:tc>
      </w:tr>
      <w:tr>
        <w:tc>
          <w:tcPr/>
          <w:p>
            <w:pPr>
              <w:pStyle w:val="Compact"/>
              <w:jc w:val="left"/>
            </w:pPr>
            <w:r>
              <w:t xml:space="preserve">Sales &amp; Marketing Head</w:t>
            </w:r>
          </w:p>
        </w:tc>
        <w:tc>
          <w:tcPr/>
          <w:p>
            <w:pPr>
              <w:pStyle w:val="Compact"/>
              <w:jc w:val="left"/>
            </w:pPr>
            <w:r>
              <w:t xml:space="preserve">Consumer</w:t>
            </w:r>
          </w:p>
        </w:tc>
        <w:tc>
          <w:tcPr/>
          <w:p>
            <w:pPr>
              <w:pStyle w:val="Compact"/>
              <w:jc w:val="left"/>
            </w:pPr>
            <w:r>
              <w:t xml:space="preserve">Cross-sell and customer targeting</w:t>
            </w:r>
          </w:p>
        </w:tc>
      </w:tr>
      <w:tr>
        <w:tc>
          <w:tcPr/>
          <w:p>
            <w:pPr>
              <w:pStyle w:val="Compact"/>
              <w:jc w:val="left"/>
            </w:pPr>
            <w:r>
              <w:t xml:space="preserve">Operations / Renewals Team</w:t>
            </w:r>
          </w:p>
        </w:tc>
        <w:tc>
          <w:tcPr/>
          <w:p>
            <w:pPr>
              <w:pStyle w:val="Compact"/>
              <w:jc w:val="left"/>
            </w:pPr>
            <w:r>
              <w:t xml:space="preserve">Consumer</w:t>
            </w:r>
          </w:p>
        </w:tc>
        <w:tc>
          <w:tcPr/>
          <w:p>
            <w:pPr>
              <w:pStyle w:val="Compact"/>
              <w:jc w:val="left"/>
            </w:pPr>
            <w:r>
              <w:t xml:space="preserve">Renewal planning and workload</w:t>
            </w:r>
          </w:p>
        </w:tc>
      </w:tr>
      <w:tr>
        <w:tc>
          <w:tcPr/>
          <w:p>
            <w:pPr>
              <w:pStyle w:val="Compact"/>
              <w:jc w:val="left"/>
            </w:pPr>
            <w:r>
              <w:t xml:space="preserve">Pricing / Actuarial Team</w:t>
            </w:r>
          </w:p>
        </w:tc>
        <w:tc>
          <w:tcPr/>
          <w:p>
            <w:pPr>
              <w:pStyle w:val="Compact"/>
              <w:jc w:val="left"/>
            </w:pPr>
            <w:r>
              <w:t xml:space="preserve">Consumer</w:t>
            </w:r>
          </w:p>
        </w:tc>
        <w:tc>
          <w:tcPr/>
          <w:p>
            <w:pPr>
              <w:pStyle w:val="Compact"/>
              <w:jc w:val="left"/>
            </w:pPr>
            <w:r>
              <w:t xml:space="preserve">Premium trends and pricing review</w:t>
            </w:r>
          </w:p>
        </w:tc>
      </w:tr>
      <w:tr>
        <w:tc>
          <w:tcPr/>
          <w:p>
            <w:pPr>
              <w:pStyle w:val="Compact"/>
              <w:jc w:val="left"/>
            </w:pPr>
            <w:r>
              <w:t xml:space="preserve">Business Analyst</w:t>
            </w:r>
          </w:p>
        </w:tc>
        <w:tc>
          <w:tcPr/>
          <w:p>
            <w:pPr>
              <w:pStyle w:val="Compact"/>
              <w:jc w:val="left"/>
            </w:pPr>
            <w:r>
              <w:t xml:space="preserve">Author</w:t>
            </w:r>
          </w:p>
        </w:tc>
        <w:tc>
          <w:tcPr/>
          <w:p>
            <w:pPr>
              <w:pStyle w:val="Compact"/>
              <w:jc w:val="left"/>
            </w:pPr>
            <w:r>
              <w:t xml:space="preserve">Requirements, analysis, dashboard delivery</w:t>
            </w:r>
          </w:p>
        </w:tc>
      </w:tr>
    </w:tbl>
    <w:bookmarkEnd w:id="28"/>
    <w:bookmarkStart w:id="29" w:name="business-requirements"/>
    <w:p>
      <w:pPr>
        <w:pStyle w:val="Heading2"/>
      </w:pPr>
      <w:r>
        <w:t xml:space="preserve">8. Business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BR-01</w:t>
            </w:r>
          </w:p>
        </w:tc>
        <w:tc>
          <w:tcPr/>
          <w:p>
            <w:pPr>
              <w:pStyle w:val="Compact"/>
              <w:jc w:val="left"/>
            </w:pPr>
            <w:r>
              <w:t xml:space="preserve">The business needs to see total customers, total policies, total claim amount, average coverage and average premium at a glance</w:t>
            </w:r>
          </w:p>
        </w:tc>
        <w:tc>
          <w:tcPr/>
          <w:p>
            <w:pPr>
              <w:pStyle w:val="Compact"/>
              <w:jc w:val="left"/>
            </w:pPr>
            <w:r>
              <w:t xml:space="preserve">High</w:t>
            </w:r>
          </w:p>
        </w:tc>
      </w:tr>
      <w:tr>
        <w:tc>
          <w:tcPr/>
          <w:p>
            <w:pPr>
              <w:pStyle w:val="Compact"/>
              <w:jc w:val="left"/>
            </w:pPr>
            <w:r>
              <w:t xml:space="preserve">BR-02</w:t>
            </w:r>
          </w:p>
        </w:tc>
        <w:tc>
          <w:tcPr/>
          <w:p>
            <w:pPr>
              <w:pStyle w:val="Compact"/>
              <w:jc w:val="left"/>
            </w:pPr>
            <w:r>
              <w:t xml:space="preserve">The business needs to know the share of active vs inactive policies</w:t>
            </w:r>
          </w:p>
        </w:tc>
        <w:tc>
          <w:tcPr/>
          <w:p>
            <w:pPr>
              <w:pStyle w:val="Compact"/>
              <w:jc w:val="left"/>
            </w:pPr>
            <w:r>
              <w:t xml:space="preserve">High</w:t>
            </w:r>
          </w:p>
        </w:tc>
      </w:tr>
      <w:tr>
        <w:tc>
          <w:tcPr/>
          <w:p>
            <w:pPr>
              <w:pStyle w:val="Compact"/>
              <w:jc w:val="left"/>
            </w:pPr>
            <w:r>
              <w:t xml:space="preserve">BR-03</w:t>
            </w:r>
          </w:p>
        </w:tc>
        <w:tc>
          <w:tcPr/>
          <w:p>
            <w:pPr>
              <w:pStyle w:val="Compact"/>
              <w:jc w:val="left"/>
            </w:pPr>
            <w:r>
              <w:t xml:space="preserve">The business needs to segment policies by age group, gender, policy type and status</w:t>
            </w:r>
          </w:p>
        </w:tc>
        <w:tc>
          <w:tcPr/>
          <w:p>
            <w:pPr>
              <w:pStyle w:val="Compact"/>
              <w:jc w:val="left"/>
            </w:pPr>
            <w:r>
              <w:t xml:space="preserve">High</w:t>
            </w:r>
          </w:p>
        </w:tc>
      </w:tr>
      <w:tr>
        <w:tc>
          <w:tcPr/>
          <w:p>
            <w:pPr>
              <w:pStyle w:val="Compact"/>
              <w:jc w:val="left"/>
            </w:pPr>
            <w:r>
              <w:t xml:space="preserve">BR-04</w:t>
            </w:r>
          </w:p>
        </w:tc>
        <w:tc>
          <w:tcPr/>
          <w:p>
            <w:pPr>
              <w:pStyle w:val="Compact"/>
              <w:jc w:val="left"/>
            </w:pPr>
            <w:r>
              <w:t xml:space="preserve">The business needs to track average premium and premium growth by start year</w:t>
            </w:r>
          </w:p>
        </w:tc>
        <w:tc>
          <w:tcPr/>
          <w:p>
            <w:pPr>
              <w:pStyle w:val="Compact"/>
              <w:jc w:val="left"/>
            </w:pPr>
            <w:r>
              <w:t xml:space="preserve">High</w:t>
            </w:r>
          </w:p>
        </w:tc>
      </w:tr>
      <w:tr>
        <w:tc>
          <w:tcPr/>
          <w:p>
            <w:pPr>
              <w:pStyle w:val="Compact"/>
              <w:jc w:val="left"/>
            </w:pPr>
            <w:r>
              <w:t xml:space="preserve">BR-05</w:t>
            </w:r>
          </w:p>
        </w:tc>
        <w:tc>
          <w:tcPr/>
          <w:p>
            <w:pPr>
              <w:pStyle w:val="Compact"/>
              <w:jc w:val="left"/>
            </w:pPr>
            <w:r>
              <w:t xml:space="preserve">The business needs to see how many policies end each year and when the peak occurs</w:t>
            </w:r>
          </w:p>
        </w:tc>
        <w:tc>
          <w:tcPr/>
          <w:p>
            <w:pPr>
              <w:pStyle w:val="Compact"/>
              <w:jc w:val="left"/>
            </w:pPr>
            <w:r>
              <w:t xml:space="preserve">High</w:t>
            </w:r>
          </w:p>
        </w:tc>
      </w:tr>
      <w:tr>
        <w:tc>
          <w:tcPr/>
          <w:p>
            <w:pPr>
              <w:pStyle w:val="Compact"/>
              <w:jc w:val="left"/>
            </w:pPr>
            <w:r>
              <w:t xml:space="preserve">BR-06</w:t>
            </w:r>
          </w:p>
        </w:tc>
        <w:tc>
          <w:tcPr/>
          <w:p>
            <w:pPr>
              <w:pStyle w:val="Compact"/>
              <w:jc w:val="left"/>
            </w:pPr>
            <w:r>
              <w:t xml:space="preserve">The business needs to filter views by payment method, payment status and year</w:t>
            </w:r>
          </w:p>
        </w:tc>
        <w:tc>
          <w:tcPr/>
          <w:p>
            <w:pPr>
              <w:pStyle w:val="Compact"/>
              <w:jc w:val="left"/>
            </w:pPr>
            <w:r>
              <w:t xml:space="preserve">Medium</w:t>
            </w:r>
          </w:p>
        </w:tc>
      </w:tr>
      <w:tr>
        <w:tc>
          <w:tcPr/>
          <w:p>
            <w:pPr>
              <w:pStyle w:val="Compact"/>
              <w:jc w:val="left"/>
            </w:pPr>
            <w:r>
              <w:t xml:space="preserve">BR-07</w:t>
            </w:r>
          </w:p>
        </w:tc>
        <w:tc>
          <w:tcPr/>
          <w:p>
            <w:pPr>
              <w:pStyle w:val="Compact"/>
              <w:jc w:val="left"/>
            </w:pPr>
            <w:r>
              <w:t xml:space="preserve">The business needs a written summary with recommendations</w:t>
            </w:r>
          </w:p>
        </w:tc>
        <w:tc>
          <w:tcPr/>
          <w:p>
            <w:pPr>
              <w:pStyle w:val="Compact"/>
              <w:jc w:val="left"/>
            </w:pPr>
            <w:r>
              <w:t xml:space="preserve">High</w:t>
            </w:r>
          </w:p>
        </w:tc>
      </w:tr>
      <w:tr>
        <w:tc>
          <w:tcPr/>
          <w:p>
            <w:pPr>
              <w:pStyle w:val="Compact"/>
              <w:jc w:val="left"/>
            </w:pPr>
            <w:r>
              <w:t xml:space="preserve">BR-08</w:t>
            </w:r>
          </w:p>
        </w:tc>
        <w:tc>
          <w:tcPr/>
          <w:p>
            <w:pPr>
              <w:pStyle w:val="Compact"/>
              <w:jc w:val="left"/>
            </w:pPr>
            <w:r>
              <w:t xml:space="preserve">The business needs to identify customers with no policy</w:t>
            </w:r>
          </w:p>
        </w:tc>
        <w:tc>
          <w:tcPr/>
          <w:p>
            <w:pPr>
              <w:pStyle w:val="Compact"/>
              <w:jc w:val="left"/>
            </w:pPr>
            <w:r>
              <w:t xml:space="preserve">Medium</w:t>
            </w:r>
          </w:p>
        </w:tc>
      </w:tr>
    </w:tbl>
    <w:bookmarkEnd w:id="29"/>
    <w:bookmarkStart w:id="30" w:name="functional-requirements"/>
    <w:p>
      <w:pPr>
        <w:pStyle w:val="Heading2"/>
      </w:pPr>
      <w:r>
        <w:t xml:space="preserve">9. Functional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Linked BR</w:t>
            </w:r>
          </w:p>
        </w:tc>
      </w:tr>
      <w:tr>
        <w:tc>
          <w:tcPr/>
          <w:p>
            <w:pPr>
              <w:pStyle w:val="Compact"/>
              <w:jc w:val="left"/>
            </w:pPr>
            <w:r>
              <w:t xml:space="preserve">FR-01</w:t>
            </w:r>
          </w:p>
        </w:tc>
        <w:tc>
          <w:tcPr/>
          <w:p>
            <w:pPr>
              <w:pStyle w:val="Compact"/>
              <w:jc w:val="left"/>
            </w:pPr>
            <w:r>
              <w:t xml:space="preserve">Display KPI cards: Total Customers, Total Policies, Total Claim Amount, Average Coverage Amount, Average Premium Amount</w:t>
            </w:r>
          </w:p>
        </w:tc>
        <w:tc>
          <w:tcPr/>
          <w:p>
            <w:pPr>
              <w:pStyle w:val="Compact"/>
              <w:jc w:val="left"/>
            </w:pPr>
            <w:r>
              <w:t xml:space="preserve">BR-01</w:t>
            </w:r>
          </w:p>
        </w:tc>
      </w:tr>
      <w:tr>
        <w:tc>
          <w:tcPr/>
          <w:p>
            <w:pPr>
              <w:pStyle w:val="Compact"/>
              <w:jc w:val="left"/>
            </w:pPr>
            <w:r>
              <w:t xml:space="preserve">FR-02</w:t>
            </w:r>
          </w:p>
        </w:tc>
        <w:tc>
          <w:tcPr/>
          <w:p>
            <w:pPr>
              <w:pStyle w:val="Compact"/>
              <w:jc w:val="left"/>
            </w:pPr>
            <w:r>
              <w:t xml:space="preserve">Display a donut chart of Active vs Inactive policy %</w:t>
            </w:r>
          </w:p>
        </w:tc>
        <w:tc>
          <w:tcPr/>
          <w:p>
            <w:pPr>
              <w:pStyle w:val="Compact"/>
              <w:jc w:val="left"/>
            </w:pPr>
            <w:r>
              <w:t xml:space="preserve">BR-02</w:t>
            </w:r>
          </w:p>
        </w:tc>
      </w:tr>
      <w:tr>
        <w:tc>
          <w:tcPr/>
          <w:p>
            <w:pPr>
              <w:pStyle w:val="Compact"/>
              <w:jc w:val="left"/>
            </w:pPr>
            <w:r>
              <w:t xml:space="preserve">FR-03</w:t>
            </w:r>
          </w:p>
        </w:tc>
        <w:tc>
          <w:tcPr/>
          <w:p>
            <w:pPr>
              <w:pStyle w:val="Compact"/>
              <w:jc w:val="left"/>
            </w:pPr>
            <w:r>
              <w:t xml:space="preserve">Display bar charts for policies by age group, gender, policy type and status</w:t>
            </w:r>
          </w:p>
        </w:tc>
        <w:tc>
          <w:tcPr/>
          <w:p>
            <w:pPr>
              <w:pStyle w:val="Compact"/>
              <w:jc w:val="left"/>
            </w:pPr>
            <w:r>
              <w:t xml:space="preserve">BR-03</w:t>
            </w:r>
          </w:p>
        </w:tc>
      </w:tr>
      <w:tr>
        <w:tc>
          <w:tcPr/>
          <w:p>
            <w:pPr>
              <w:pStyle w:val="Compact"/>
              <w:jc w:val="left"/>
            </w:pPr>
            <w:r>
              <w:t xml:space="preserve">FR-04</w:t>
            </w:r>
          </w:p>
        </w:tc>
        <w:tc>
          <w:tcPr/>
          <w:p>
            <w:pPr>
              <w:pStyle w:val="Compact"/>
              <w:jc w:val="left"/>
            </w:pPr>
            <w:r>
              <w:t xml:space="preserve">Display a combo chart of average premium (bars) and average premium growth % (line) by start year</w:t>
            </w:r>
          </w:p>
        </w:tc>
        <w:tc>
          <w:tcPr/>
          <w:p>
            <w:pPr>
              <w:pStyle w:val="Compact"/>
              <w:jc w:val="left"/>
            </w:pPr>
            <w:r>
              <w:t xml:space="preserve">BR-04</w:t>
            </w:r>
          </w:p>
        </w:tc>
      </w:tr>
      <w:tr>
        <w:tc>
          <w:tcPr/>
          <w:p>
            <w:pPr>
              <w:pStyle w:val="Compact"/>
              <w:jc w:val="left"/>
            </w:pPr>
            <w:r>
              <w:t xml:space="preserve">FR-05</w:t>
            </w:r>
          </w:p>
        </w:tc>
        <w:tc>
          <w:tcPr/>
          <w:p>
            <w:pPr>
              <w:pStyle w:val="Compact"/>
              <w:jc w:val="left"/>
            </w:pPr>
            <w:r>
              <w:t xml:space="preserve">Display a line chart of total policies by end year with data labels</w:t>
            </w:r>
          </w:p>
        </w:tc>
        <w:tc>
          <w:tcPr/>
          <w:p>
            <w:pPr>
              <w:pStyle w:val="Compact"/>
              <w:jc w:val="left"/>
            </w:pPr>
            <w:r>
              <w:t xml:space="preserve">BR-05</w:t>
            </w:r>
          </w:p>
        </w:tc>
      </w:tr>
      <w:tr>
        <w:tc>
          <w:tcPr/>
          <w:p>
            <w:pPr>
              <w:pStyle w:val="Compact"/>
              <w:jc w:val="left"/>
            </w:pPr>
            <w:r>
              <w:t xml:space="preserve">FR-06</w:t>
            </w:r>
          </w:p>
        </w:tc>
        <w:tc>
          <w:tcPr/>
          <w:p>
            <w:pPr>
              <w:pStyle w:val="Compact"/>
              <w:jc w:val="left"/>
            </w:pPr>
            <w:r>
              <w:t xml:space="preserve">Display growth KPI cards: Avg Growth, Highest Growth, Lowest Growth, Growth Difference, Peak Policies Ending</w:t>
            </w:r>
          </w:p>
        </w:tc>
        <w:tc>
          <w:tcPr/>
          <w:p>
            <w:pPr>
              <w:pStyle w:val="Compact"/>
              <w:jc w:val="left"/>
            </w:pPr>
            <w:r>
              <w:t xml:space="preserve">BR-04, BR-05</w:t>
            </w:r>
          </w:p>
        </w:tc>
      </w:tr>
      <w:tr>
        <w:tc>
          <w:tcPr/>
          <w:p>
            <w:pPr>
              <w:pStyle w:val="Compact"/>
              <w:jc w:val="left"/>
            </w:pPr>
            <w:r>
              <w:t xml:space="preserve">FR-07</w:t>
            </w:r>
          </w:p>
        </w:tc>
        <w:tc>
          <w:tcPr/>
          <w:p>
            <w:pPr>
              <w:pStyle w:val="Compact"/>
              <w:jc w:val="left"/>
            </w:pPr>
            <w:r>
              <w:t xml:space="preserve">Provide slicers for Payment Method, Payment Status and Year that filter all relevant visuals</w:t>
            </w:r>
          </w:p>
        </w:tc>
        <w:tc>
          <w:tcPr/>
          <w:p>
            <w:pPr>
              <w:pStyle w:val="Compact"/>
              <w:jc w:val="left"/>
            </w:pPr>
            <w:r>
              <w:t xml:space="preserve">BR-06</w:t>
            </w:r>
          </w:p>
        </w:tc>
      </w:tr>
      <w:tr>
        <w:tc>
          <w:tcPr/>
          <w:p>
            <w:pPr>
              <w:pStyle w:val="Compact"/>
              <w:jc w:val="left"/>
            </w:pPr>
            <w:r>
              <w:t xml:space="preserve">FR-08</w:t>
            </w:r>
          </w:p>
        </w:tc>
        <w:tc>
          <w:tcPr/>
          <w:p>
            <w:pPr>
              <w:pStyle w:val="Compact"/>
              <w:jc w:val="left"/>
            </w:pPr>
            <w:r>
              <w:t xml:space="preserve">Provide navigation buttons between the three report pages</w:t>
            </w:r>
          </w:p>
        </w:tc>
        <w:tc>
          <w:tcPr/>
          <w:p>
            <w:pPr>
              <w:pStyle w:val="Compact"/>
              <w:jc w:val="left"/>
            </w:pPr>
            <w:r>
              <w:t xml:space="preserve">BR-07</w:t>
            </w:r>
          </w:p>
        </w:tc>
      </w:tr>
      <w:tr>
        <w:tc>
          <w:tcPr/>
          <w:p>
            <w:pPr>
              <w:pStyle w:val="Compact"/>
              <w:jc w:val="left"/>
            </w:pPr>
            <w:r>
              <w:t xml:space="preserve">FR-09</w:t>
            </w:r>
          </w:p>
        </w:tc>
        <w:tc>
          <w:tcPr/>
          <w:p>
            <w:pPr>
              <w:pStyle w:val="Compact"/>
              <w:jc w:val="left"/>
            </w:pPr>
            <w:r>
              <w:t xml:space="preserve">Provide a Summary page with</w:t>
            </w:r>
            <w:r>
              <w:t xml:space="preserve"> </w:t>
            </w:r>
            <w:r>
              <w:t xml:space="preserve">“</w:t>
            </w:r>
            <w:r>
              <w:t xml:space="preserve">What this means</w:t>
            </w:r>
            <w:r>
              <w:t xml:space="preserve">”</w:t>
            </w:r>
            <w:r>
              <w:t xml:space="preserve">, Recommendations and Notes</w:t>
            </w:r>
          </w:p>
        </w:tc>
        <w:tc>
          <w:tcPr/>
          <w:p>
            <w:pPr>
              <w:pStyle w:val="Compact"/>
              <w:jc w:val="left"/>
            </w:pPr>
            <w:r>
              <w:t xml:space="preserve">BR-07</w:t>
            </w:r>
          </w:p>
        </w:tc>
      </w:tr>
      <w:tr>
        <w:tc>
          <w:tcPr/>
          <w:p>
            <w:pPr>
              <w:pStyle w:val="Compact"/>
              <w:jc w:val="left"/>
            </w:pPr>
            <w:r>
              <w:t xml:space="preserve">FR-10</w:t>
            </w:r>
          </w:p>
        </w:tc>
        <w:tc>
          <w:tcPr/>
          <w:p>
            <w:pPr>
              <w:pStyle w:val="Compact"/>
              <w:jc w:val="left"/>
            </w:pPr>
            <w:r>
              <w:t xml:space="preserve">Report the number of customers with no policy</w:t>
            </w:r>
          </w:p>
        </w:tc>
        <w:tc>
          <w:tcPr/>
          <w:p>
            <w:pPr>
              <w:pStyle w:val="Compact"/>
              <w:jc w:val="left"/>
            </w:pPr>
            <w:r>
              <w:t xml:space="preserve">BR-08</w:t>
            </w:r>
          </w:p>
        </w:tc>
      </w:tr>
      <w:tr>
        <w:tc>
          <w:tcPr/>
          <w:p>
            <w:pPr>
              <w:pStyle w:val="Compact"/>
              <w:jc w:val="left"/>
            </w:pPr>
            <w:r>
              <w:t xml:space="preserve">FR-11</w:t>
            </w:r>
          </w:p>
        </w:tc>
        <w:tc>
          <w:tcPr/>
          <w:p>
            <w:pPr>
              <w:pStyle w:val="Compact"/>
              <w:jc w:val="left"/>
            </w:pPr>
            <w:r>
              <w:t xml:space="preserve">Source all figures from the MySQL database</w:t>
            </w:r>
            <w:r>
              <w:t xml:space="preserve"> </w:t>
            </w:r>
            <w:r>
              <w:rPr>
                <w:rStyle w:val="VerbatimChar"/>
              </w:rPr>
              <w:t xml:space="preserve">policy_analytics</w:t>
            </w:r>
          </w:p>
        </w:tc>
        <w:tc>
          <w:tcPr/>
          <w:p>
            <w:pPr>
              <w:pStyle w:val="Compact"/>
              <w:jc w:val="left"/>
            </w:pPr>
            <w:r>
              <w:t xml:space="preserve">All</w:t>
            </w:r>
          </w:p>
        </w:tc>
      </w:tr>
    </w:tbl>
    <w:bookmarkEnd w:id="30"/>
    <w:bookmarkStart w:id="31" w:name="non-functional-requirements"/>
    <w:p>
      <w:pPr>
        <w:pStyle w:val="Heading2"/>
      </w:pPr>
      <w:r>
        <w:t xml:space="preserve">10. Non-Functional Requirements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Category</w:t>
            </w:r>
          </w:p>
        </w:tc>
        <w:tc>
          <w:tcPr/>
          <w:p>
            <w:pPr>
              <w:pStyle w:val="Compact"/>
              <w:jc w:val="left"/>
            </w:pPr>
            <w:r>
              <w:t xml:space="preserve">Requirement</w:t>
            </w:r>
          </w:p>
        </w:tc>
      </w:tr>
      <w:tr>
        <w:tc>
          <w:tcPr/>
          <w:p>
            <w:pPr>
              <w:pStyle w:val="Compact"/>
              <w:jc w:val="left"/>
            </w:pPr>
            <w:r>
              <w:t xml:space="preserve">NFR-01</w:t>
            </w:r>
          </w:p>
        </w:tc>
        <w:tc>
          <w:tcPr/>
          <w:p>
            <w:pPr>
              <w:pStyle w:val="Compact"/>
              <w:jc w:val="left"/>
            </w:pPr>
            <w:r>
              <w:t xml:space="preserve">Usability</w:t>
            </w:r>
          </w:p>
        </w:tc>
        <w:tc>
          <w:tcPr/>
          <w:p>
            <w:pPr>
              <w:pStyle w:val="Compact"/>
              <w:jc w:val="left"/>
            </w:pPr>
            <w:r>
              <w:t xml:space="preserve">Dashboard readable by non-technical users with clear titles and labels</w:t>
            </w:r>
          </w:p>
        </w:tc>
      </w:tr>
      <w:tr>
        <w:tc>
          <w:tcPr/>
          <w:p>
            <w:pPr>
              <w:pStyle w:val="Compact"/>
              <w:jc w:val="left"/>
            </w:pPr>
            <w:r>
              <w:t xml:space="preserve">NFR-02</w:t>
            </w:r>
          </w:p>
        </w:tc>
        <w:tc>
          <w:tcPr/>
          <w:p>
            <w:pPr>
              <w:pStyle w:val="Compact"/>
              <w:jc w:val="left"/>
            </w:pPr>
            <w:r>
              <w:t xml:space="preserve">Consistency</w:t>
            </w:r>
          </w:p>
        </w:tc>
        <w:tc>
          <w:tcPr/>
          <w:p>
            <w:pPr>
              <w:pStyle w:val="Compact"/>
              <w:jc w:val="left"/>
            </w:pPr>
            <w:r>
              <w:t xml:space="preserve">Uniform navy and yellow colour theme and layout across pages</w:t>
            </w:r>
          </w:p>
        </w:tc>
      </w:tr>
      <w:tr>
        <w:tc>
          <w:tcPr/>
          <w:p>
            <w:pPr>
              <w:pStyle w:val="Compact"/>
              <w:jc w:val="left"/>
            </w:pPr>
            <w:r>
              <w:t xml:space="preserve">NFR-03</w:t>
            </w:r>
          </w:p>
        </w:tc>
        <w:tc>
          <w:tcPr/>
          <w:p>
            <w:pPr>
              <w:pStyle w:val="Compact"/>
              <w:jc w:val="left"/>
            </w:pPr>
            <w:r>
              <w:t xml:space="preserve">Performance</w:t>
            </w:r>
          </w:p>
        </w:tc>
        <w:tc>
          <w:tcPr/>
          <w:p>
            <w:pPr>
              <w:pStyle w:val="Compact"/>
              <w:jc w:val="left"/>
            </w:pPr>
            <w:r>
              <w:t xml:space="preserve">Pages load and slicers respond in a few seconds on the ~5K-record dataset</w:t>
            </w:r>
          </w:p>
        </w:tc>
      </w:tr>
      <w:tr>
        <w:tc>
          <w:tcPr/>
          <w:p>
            <w:pPr>
              <w:pStyle w:val="Compact"/>
              <w:jc w:val="left"/>
            </w:pPr>
            <w:r>
              <w:t xml:space="preserve">NFR-04</w:t>
            </w:r>
          </w:p>
        </w:tc>
        <w:tc>
          <w:tcPr/>
          <w:p>
            <w:pPr>
              <w:pStyle w:val="Compact"/>
              <w:jc w:val="left"/>
            </w:pPr>
            <w:r>
              <w:t xml:space="preserve">Accuracy</w:t>
            </w:r>
          </w:p>
        </w:tc>
        <w:tc>
          <w:tcPr/>
          <w:p>
            <w:pPr>
              <w:pStyle w:val="Compact"/>
              <w:jc w:val="left"/>
            </w:pPr>
            <w:r>
              <w:t xml:space="preserve">Dashboard values match the SQL query results</w:t>
            </w:r>
          </w:p>
        </w:tc>
      </w:tr>
      <w:tr>
        <w:tc>
          <w:tcPr/>
          <w:p>
            <w:pPr>
              <w:pStyle w:val="Compact"/>
              <w:jc w:val="left"/>
            </w:pPr>
            <w:r>
              <w:t xml:space="preserve">NFR-05</w:t>
            </w:r>
          </w:p>
        </w:tc>
        <w:tc>
          <w:tcPr/>
          <w:p>
            <w:pPr>
              <w:pStyle w:val="Compact"/>
              <w:jc w:val="left"/>
            </w:pPr>
            <w:r>
              <w:t xml:space="preserve">Maintainability</w:t>
            </w:r>
          </w:p>
        </w:tc>
        <w:tc>
          <w:tcPr/>
          <w:p>
            <w:pPr>
              <w:pStyle w:val="Compact"/>
              <w:jc w:val="left"/>
            </w:pPr>
            <w:r>
              <w:t xml:space="preserve">DAX measures named clearly and the data model documented</w:t>
            </w:r>
          </w:p>
        </w:tc>
      </w:tr>
      <w:tr>
        <w:tc>
          <w:tcPr/>
          <w:p>
            <w:pPr>
              <w:pStyle w:val="Compact"/>
              <w:jc w:val="left"/>
            </w:pPr>
            <w:r>
              <w:t xml:space="preserve">NFR-06</w:t>
            </w:r>
          </w:p>
        </w:tc>
        <w:tc>
          <w:tcPr/>
          <w:p>
            <w:pPr>
              <w:pStyle w:val="Compact"/>
              <w:jc w:val="left"/>
            </w:pPr>
            <w:r>
              <w:t xml:space="preserve">Data quality</w:t>
            </w:r>
          </w:p>
        </w:tc>
        <w:tc>
          <w:tcPr/>
          <w:p>
            <w:pPr>
              <w:pStyle w:val="Compact"/>
              <w:jc w:val="left"/>
            </w:pPr>
            <w:r>
              <w:t xml:space="preserve">Known data issues are disclosed on the Summary page</w:t>
            </w:r>
          </w:p>
        </w:tc>
      </w:tr>
      <w:tr>
        <w:tc>
          <w:tcPr/>
          <w:p>
            <w:pPr>
              <w:pStyle w:val="Compact"/>
              <w:jc w:val="left"/>
            </w:pPr>
            <w:r>
              <w:t xml:space="preserve">NFR-07</w:t>
            </w:r>
          </w:p>
        </w:tc>
        <w:tc>
          <w:tcPr/>
          <w:p>
            <w:pPr>
              <w:pStyle w:val="Compact"/>
              <w:jc w:val="left"/>
            </w:pPr>
            <w:r>
              <w:t xml:space="preserve">Compatibility</w:t>
            </w:r>
          </w:p>
        </w:tc>
        <w:tc>
          <w:tcPr/>
          <w:p>
            <w:pPr>
              <w:pStyle w:val="Compact"/>
              <w:jc w:val="left"/>
            </w:pPr>
            <w:r>
              <w:t xml:space="preserve">Report opens in Power BI Desktop and can be published to Power BI Service</w:t>
            </w:r>
          </w:p>
        </w:tc>
      </w:tr>
    </w:tbl>
    <w:bookmarkEnd w:id="31"/>
    <w:bookmarkStart w:id="32" w:name="kpi-definitions"/>
    <w:p>
      <w:pPr>
        <w:pStyle w:val="Heading2"/>
      </w:pPr>
      <w:r>
        <w:t xml:space="preserve">11. KPI Definitions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KPI</w:t>
            </w:r>
          </w:p>
        </w:tc>
        <w:tc>
          <w:tcPr/>
          <w:p>
            <w:pPr>
              <w:pStyle w:val="Compact"/>
              <w:jc w:val="left"/>
            </w:pPr>
            <w:r>
              <w:t xml:space="preserve">Definition</w:t>
            </w:r>
          </w:p>
        </w:tc>
      </w:tr>
      <w:tr>
        <w:tc>
          <w:tcPr/>
          <w:p>
            <w:pPr>
              <w:pStyle w:val="Compact"/>
              <w:jc w:val="left"/>
            </w:pPr>
            <w:r>
              <w:t xml:space="preserve">Total Customers</w:t>
            </w:r>
          </w:p>
        </w:tc>
        <w:tc>
          <w:tcPr/>
          <w:p>
            <w:pPr>
              <w:pStyle w:val="Compact"/>
              <w:jc w:val="left"/>
            </w:pPr>
            <w:r>
              <w:t xml:space="preserve">Count of distinct customers</w:t>
            </w:r>
          </w:p>
        </w:tc>
      </w:tr>
      <w:tr>
        <w:tc>
          <w:tcPr/>
          <w:p>
            <w:pPr>
              <w:pStyle w:val="Compact"/>
              <w:jc w:val="left"/>
            </w:pPr>
            <w:r>
              <w:t xml:space="preserve">Total Policies</w:t>
            </w:r>
          </w:p>
        </w:tc>
        <w:tc>
          <w:tcPr/>
          <w:p>
            <w:pPr>
              <w:pStyle w:val="Compact"/>
              <w:jc w:val="left"/>
            </w:pPr>
            <w:r>
              <w:t xml:space="preserve">Count of distinct policies</w:t>
            </w:r>
          </w:p>
        </w:tc>
      </w:tr>
      <w:tr>
        <w:tc>
          <w:tcPr/>
          <w:p>
            <w:pPr>
              <w:pStyle w:val="Compact"/>
              <w:jc w:val="left"/>
            </w:pPr>
            <w:r>
              <w:t xml:space="preserve">Total Claim Amount</w:t>
            </w:r>
          </w:p>
        </w:tc>
        <w:tc>
          <w:tcPr/>
          <w:p>
            <w:pPr>
              <w:pStyle w:val="Compact"/>
              <w:jc w:val="left"/>
            </w:pPr>
            <w:r>
              <w:t xml:space="preserve">Sum of all claim amounts</w:t>
            </w:r>
          </w:p>
        </w:tc>
      </w:tr>
      <w:tr>
        <w:tc>
          <w:tcPr/>
          <w:p>
            <w:pPr>
              <w:pStyle w:val="Compact"/>
              <w:jc w:val="left"/>
            </w:pPr>
            <w:r>
              <w:t xml:space="preserve">Average Coverage Amount</w:t>
            </w:r>
          </w:p>
        </w:tc>
        <w:tc>
          <w:tcPr/>
          <w:p>
            <w:pPr>
              <w:pStyle w:val="Compact"/>
              <w:jc w:val="left"/>
            </w:pPr>
            <w:r>
              <w:t xml:space="preserve">Average coverage amount across policies</w:t>
            </w:r>
          </w:p>
        </w:tc>
      </w:tr>
      <w:tr>
        <w:tc>
          <w:tcPr/>
          <w:p>
            <w:pPr>
              <w:pStyle w:val="Compact"/>
              <w:jc w:val="left"/>
            </w:pPr>
            <w:r>
              <w:t xml:space="preserve">Average Premium Amount</w:t>
            </w:r>
          </w:p>
        </w:tc>
        <w:tc>
          <w:tcPr/>
          <w:p>
            <w:pPr>
              <w:pStyle w:val="Compact"/>
              <w:jc w:val="left"/>
            </w:pPr>
            <w:r>
              <w:t xml:space="preserve">Average premium across policies</w:t>
            </w:r>
          </w:p>
        </w:tc>
      </w:tr>
      <w:tr>
        <w:tc>
          <w:tcPr/>
          <w:p>
            <w:pPr>
              <w:pStyle w:val="Compact"/>
              <w:jc w:val="left"/>
            </w:pPr>
            <w:r>
              <w:t xml:space="preserve">Active Policy %</w:t>
            </w:r>
          </w:p>
        </w:tc>
        <w:tc>
          <w:tcPr/>
          <w:p>
            <w:pPr>
              <w:pStyle w:val="Compact"/>
              <w:jc w:val="left"/>
            </w:pPr>
            <w:r>
              <w:t xml:space="preserve">Active policies ÷ total policies</w:t>
            </w:r>
          </w:p>
        </w:tc>
      </w:tr>
      <w:tr>
        <w:tc>
          <w:tcPr/>
          <w:p>
            <w:pPr>
              <w:pStyle w:val="Compact"/>
              <w:jc w:val="left"/>
            </w:pPr>
            <w:r>
              <w:t xml:space="preserve">Inactive Policy %</w:t>
            </w:r>
          </w:p>
        </w:tc>
        <w:tc>
          <w:tcPr/>
          <w:p>
            <w:pPr>
              <w:pStyle w:val="Compact"/>
              <w:jc w:val="left"/>
            </w:pPr>
            <w:r>
              <w:t xml:space="preserve">Lapsed + terminated policies ÷ total policies</w:t>
            </w:r>
          </w:p>
        </w:tc>
      </w:tr>
      <w:tr>
        <w:tc>
          <w:tcPr/>
          <w:p>
            <w:pPr>
              <w:pStyle w:val="Compact"/>
              <w:jc w:val="left"/>
            </w:pPr>
            <w:r>
              <w:t xml:space="preserve">Avg Premium Growth %</w:t>
            </w:r>
          </w:p>
        </w:tc>
        <w:tc>
          <w:tcPr/>
          <w:p>
            <w:pPr>
              <w:pStyle w:val="Compact"/>
              <w:jc w:val="left"/>
            </w:pPr>
            <w:r>
              <w:t xml:space="preserve">Year-over-year change in average premium, by start year</w:t>
            </w:r>
          </w:p>
        </w:tc>
      </w:tr>
      <w:tr>
        <w:tc>
          <w:tcPr/>
          <w:p>
            <w:pPr>
              <w:pStyle w:val="Compact"/>
              <w:jc w:val="left"/>
            </w:pPr>
            <w:r>
              <w:t xml:space="preserve">Growth Difference</w:t>
            </w:r>
          </w:p>
        </w:tc>
        <w:tc>
          <w:tcPr/>
          <w:p>
            <w:pPr>
              <w:pStyle w:val="Compact"/>
              <w:jc w:val="left"/>
            </w:pPr>
            <w:r>
              <w:t xml:space="preserve">Highest growth % minus lowest growth % (in percentage points)</w:t>
            </w:r>
          </w:p>
        </w:tc>
      </w:tr>
      <w:tr>
        <w:tc>
          <w:tcPr/>
          <w:p>
            <w:pPr>
              <w:pStyle w:val="Compact"/>
              <w:jc w:val="left"/>
            </w:pPr>
            <w:r>
              <w:t xml:space="preserve">Peak Policies Ending</w:t>
            </w:r>
          </w:p>
        </w:tc>
        <w:tc>
          <w:tcPr/>
          <w:p>
            <w:pPr>
              <w:pStyle w:val="Compact"/>
              <w:jc w:val="left"/>
            </w:pPr>
            <w:r>
              <w:t xml:space="preserve">Highest number of policies ending in a single year</w:t>
            </w:r>
          </w:p>
        </w:tc>
      </w:tr>
    </w:tbl>
    <w:bookmarkEnd w:id="32"/>
    <w:bookmarkStart w:id="33" w:name="data-requirements"/>
    <w:p>
      <w:pPr>
        <w:pStyle w:val="Heading2"/>
      </w:pPr>
      <w:r>
        <w:t xml:space="preserve">12. Data Requirements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Source</w:t>
            </w:r>
          </w:p>
        </w:tc>
        <w:tc>
          <w:tcPr/>
          <w:p>
            <w:pPr>
              <w:pStyle w:val="Compact"/>
              <w:jc w:val="left"/>
            </w:pPr>
            <w:r>
              <w:rPr>
                <w:rStyle w:val="VerbatimChar"/>
              </w:rPr>
              <w:t xml:space="preserve">Policy_Data.xlsx</w:t>
            </w:r>
            <w:r>
              <w:t xml:space="preserve"> </w:t>
            </w:r>
            <w:r>
              <w:t xml:space="preserve">(5 sheets)</w:t>
            </w:r>
          </w:p>
        </w:tc>
      </w:tr>
      <w:tr>
        <w:tc>
          <w:tcPr/>
          <w:p>
            <w:pPr>
              <w:pStyle w:val="Compact"/>
              <w:jc w:val="left"/>
            </w:pPr>
            <w:r>
              <w:t xml:space="preserve">Storage</w:t>
            </w:r>
          </w:p>
        </w:tc>
        <w:tc>
          <w:tcPr/>
          <w:p>
            <w:pPr>
              <w:pStyle w:val="Compact"/>
              <w:jc w:val="left"/>
            </w:pPr>
            <w:r>
              <w:t xml:space="preserve">MySQL database</w:t>
            </w:r>
            <w:r>
              <w:t xml:space="preserve"> </w:t>
            </w:r>
            <w:r>
              <w:rPr>
                <w:rStyle w:val="VerbatimChar"/>
              </w:rPr>
              <w:t xml:space="preserve">policy_analytics</w:t>
            </w:r>
          </w:p>
        </w:tc>
      </w:tr>
      <w:tr>
        <w:tc>
          <w:tcPr/>
          <w:p>
            <w:pPr>
              <w:pStyle w:val="Compact"/>
              <w:jc w:val="left"/>
            </w:pPr>
            <w:r>
              <w:t xml:space="preserve">Keys</w:t>
            </w:r>
          </w:p>
        </w:tc>
        <w:tc>
          <w:tcPr/>
          <w:p>
            <w:pPr>
              <w:pStyle w:val="Compact"/>
              <w:jc w:val="left"/>
            </w:pPr>
            <w:r>
              <w:t xml:space="preserve">Customer ID and Policy ID link the tables</w:t>
            </w:r>
          </w:p>
        </w:tc>
      </w:tr>
      <w:tr>
        <w:tc>
          <w:tcPr/>
          <w:p>
            <w:pPr>
              <w:pStyle w:val="Compact"/>
              <w:jc w:val="left"/>
            </w:pPr>
            <w:r>
              <w:t xml:space="preserve">Volume</w:t>
            </w:r>
          </w:p>
        </w:tc>
        <w:tc>
          <w:tcPr/>
          <w:p>
            <w:pPr>
              <w:pStyle w:val="Compact"/>
              <w:jc w:val="left"/>
            </w:pPr>
            <w:r>
              <w:t xml:space="preserve">~5,000 customers and ~5,000 policies</w:t>
            </w:r>
          </w:p>
        </w:tc>
      </w:tr>
      <w:tr>
        <w:tc>
          <w:tcPr/>
          <w:p>
            <w:pPr>
              <w:pStyle w:val="Compact"/>
              <w:jc w:val="left"/>
            </w:pPr>
            <w:r>
              <w:t xml:space="preserve">Refresh</w:t>
            </w:r>
          </w:p>
        </w:tc>
        <w:tc>
          <w:tcPr/>
          <w:p>
            <w:pPr>
              <w:pStyle w:val="Compact"/>
              <w:jc w:val="left"/>
            </w:pPr>
            <w:r>
              <w:t xml:space="preserve">Manual refresh in Power BI</w:t>
            </w:r>
          </w:p>
        </w:tc>
      </w:tr>
    </w:tbl>
    <w:bookmarkEnd w:id="33"/>
    <w:bookmarkStart w:id="34" w:name="assumptions"/>
    <w:p>
      <w:pPr>
        <w:pStyle w:val="Heading2"/>
      </w:pPr>
      <w:r>
        <w:t xml:space="preserve">13. Assumptions</w:t>
      </w:r>
    </w:p>
    <w:p>
      <w:pPr>
        <w:numPr>
          <w:ilvl w:val="0"/>
          <w:numId w:val="1001"/>
        </w:numPr>
        <w:pStyle w:val="Compact"/>
      </w:pPr>
      <w:r>
        <w:t xml:space="preserve">The dataset is a complete and fair sample of the portfolio</w:t>
      </w:r>
    </w:p>
    <w:p>
      <w:pPr>
        <w:numPr>
          <w:ilvl w:val="0"/>
          <w:numId w:val="1001"/>
        </w:numPr>
        <w:pStyle w:val="Compact"/>
      </w:pPr>
      <w:r>
        <w:t xml:space="preserve">Customer ID and Policy ID are reliable keys across tables</w:t>
      </w:r>
    </w:p>
    <w:p>
      <w:pPr>
        <w:numPr>
          <w:ilvl w:val="0"/>
          <w:numId w:val="1001"/>
        </w:numPr>
        <w:pStyle w:val="Compact"/>
      </w:pPr>
      <w:r>
        <w:t xml:space="preserve">Policy status values (Active, Lapsed, Terminated) are correctly recorded</w:t>
      </w:r>
    </w:p>
    <w:p>
      <w:pPr>
        <w:numPr>
          <w:ilvl w:val="0"/>
          <w:numId w:val="1001"/>
        </w:numPr>
        <w:pStyle w:val="Compact"/>
      </w:pPr>
      <w:r>
        <w:t xml:space="preserve">Inactive = Lapsed + Terminated</w:t>
      </w:r>
    </w:p>
    <w:bookmarkEnd w:id="34"/>
    <w:bookmarkStart w:id="35" w:name="constraints"/>
    <w:p>
      <w:pPr>
        <w:pStyle w:val="Heading2"/>
      </w:pPr>
      <w:r>
        <w:t xml:space="preserve">14. Constraints</w:t>
      </w:r>
    </w:p>
    <w:p>
      <w:pPr>
        <w:numPr>
          <w:ilvl w:val="0"/>
          <w:numId w:val="1002"/>
        </w:numPr>
        <w:pStyle w:val="Compact"/>
      </w:pPr>
      <w:r>
        <w:t xml:space="preserve">Data appears synthetic, so conclusions are directional</w:t>
      </w:r>
    </w:p>
    <w:p>
      <w:pPr>
        <w:numPr>
          <w:ilvl w:val="0"/>
          <w:numId w:val="1002"/>
        </w:numPr>
        <w:pStyle w:val="Compact"/>
      </w:pPr>
      <w:r>
        <w:t xml:space="preserve">Gender values are unreliable</w:t>
      </w:r>
    </w:p>
    <w:p>
      <w:pPr>
        <w:numPr>
          <w:ilvl w:val="0"/>
          <w:numId w:val="1002"/>
        </w:numPr>
        <w:pStyle w:val="Compact"/>
      </w:pPr>
      <w:r>
        <w:t xml:space="preserve">Start year 2014 is a partial year (11 policies)</w:t>
      </w:r>
    </w:p>
    <w:p>
      <w:pPr>
        <w:numPr>
          <w:ilvl w:val="0"/>
          <w:numId w:val="1002"/>
        </w:numPr>
        <w:pStyle w:val="Compact"/>
      </w:pPr>
      <w:r>
        <w:t xml:space="preserve">Manual refresh only; no automated pipeline</w:t>
      </w:r>
    </w:p>
    <w:bookmarkEnd w:id="35"/>
    <w:bookmarkStart w:id="36" w:name="risks-and-mitigation"/>
    <w:p>
      <w:pPr>
        <w:pStyle w:val="Heading2"/>
      </w:pPr>
      <w:r>
        <w:t xml:space="preserve">15. Risks and Mitigation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Poor data quality (gender, partial years)</w:t>
            </w:r>
          </w:p>
        </w:tc>
        <w:tc>
          <w:tcPr/>
          <w:p>
            <w:pPr>
              <w:pStyle w:val="Compact"/>
              <w:jc w:val="left"/>
            </w:pPr>
            <w:r>
              <w:t xml:space="preserve">Misleading segment insights</w:t>
            </w:r>
          </w:p>
        </w:tc>
        <w:tc>
          <w:tcPr/>
          <w:p>
            <w:pPr>
              <w:pStyle w:val="Compact"/>
              <w:jc w:val="left"/>
            </w:pPr>
            <w:r>
              <w:t xml:space="preserve">Disclose in Notes; exclude partial years from growth averages</w:t>
            </w:r>
          </w:p>
        </w:tc>
      </w:tr>
      <w:tr>
        <w:tc>
          <w:tcPr/>
          <w:p>
            <w:pPr>
              <w:pStyle w:val="Compact"/>
              <w:jc w:val="left"/>
            </w:pPr>
            <w:r>
              <w:t xml:space="preserve">Slicers not filtering all visuals</w:t>
            </w:r>
          </w:p>
        </w:tc>
        <w:tc>
          <w:tcPr/>
          <w:p>
            <w:pPr>
              <w:pStyle w:val="Compact"/>
              <w:jc w:val="left"/>
            </w:pPr>
            <w:r>
              <w:t xml:space="preserve">Inconsistent numbers</w:t>
            </w:r>
          </w:p>
        </w:tc>
        <w:tc>
          <w:tcPr/>
          <w:p>
            <w:pPr>
              <w:pStyle w:val="Compact"/>
              <w:jc w:val="left"/>
            </w:pPr>
            <w:r>
              <w:t xml:space="preserve">Define relationships correctly and test every slicer</w:t>
            </w:r>
          </w:p>
        </w:tc>
      </w:tr>
      <w:tr>
        <w:tc>
          <w:tcPr/>
          <w:p>
            <w:pPr>
              <w:pStyle w:val="Compact"/>
              <w:jc w:val="left"/>
            </w:pPr>
            <w:r>
              <w:t xml:space="preserve">Mismatch between SQL and dashboard</w:t>
            </w:r>
          </w:p>
        </w:tc>
        <w:tc>
          <w:tcPr/>
          <w:p>
            <w:pPr>
              <w:pStyle w:val="Compact"/>
              <w:jc w:val="left"/>
            </w:pPr>
            <w:r>
              <w:t xml:space="preserve">Loss of trust</w:t>
            </w:r>
          </w:p>
        </w:tc>
        <w:tc>
          <w:tcPr/>
          <w:p>
            <w:pPr>
              <w:pStyle w:val="Compact"/>
              <w:jc w:val="left"/>
            </w:pPr>
            <w:r>
              <w:t xml:space="preserve">Reconcile dashboard totals with SQL output</w:t>
            </w:r>
          </w:p>
        </w:tc>
      </w:tr>
      <w:tr>
        <w:tc>
          <w:tcPr/>
          <w:p>
            <w:pPr>
              <w:pStyle w:val="Compact"/>
              <w:jc w:val="left"/>
            </w:pPr>
            <w:r>
              <w:t xml:space="preserve">Misreading synthetic data as real</w:t>
            </w:r>
          </w:p>
        </w:tc>
        <w:tc>
          <w:tcPr/>
          <w:p>
            <w:pPr>
              <w:pStyle w:val="Compact"/>
              <w:jc w:val="left"/>
            </w:pPr>
            <w:r>
              <w:t xml:space="preserve">Wrong business decisions</w:t>
            </w:r>
          </w:p>
        </w:tc>
        <w:tc>
          <w:tcPr/>
          <w:p>
            <w:pPr>
              <w:pStyle w:val="Compact"/>
              <w:jc w:val="left"/>
            </w:pPr>
            <w:r>
              <w:t xml:space="preserve">State clearly that results are patterns to investigate</w:t>
            </w:r>
          </w:p>
        </w:tc>
      </w:tr>
    </w:tbl>
    <w:bookmarkEnd w:id="36"/>
    <w:bookmarkStart w:id="37" w:name="acceptance-criteria"/>
    <w:p>
      <w:pPr>
        <w:pStyle w:val="Heading2"/>
      </w:pPr>
      <w:r>
        <w:t xml:space="preserve">16. Acceptance Criteria</w:t>
      </w:r>
    </w:p>
    <w:p>
      <w:pPr>
        <w:numPr>
          <w:ilvl w:val="0"/>
          <w:numId w:val="1003"/>
        </w:numPr>
        <w:pStyle w:val="Compact"/>
      </w:pPr>
      <w:r>
        <w:t xml:space="preserve">☐ All 21 KPI questions are answered with SQL and reflected in the dashboard</w:t>
      </w:r>
    </w:p>
    <w:p>
      <w:pPr>
        <w:numPr>
          <w:ilvl w:val="0"/>
          <w:numId w:val="1003"/>
        </w:numPr>
        <w:pStyle w:val="Compact"/>
      </w:pPr>
      <w:r>
        <w:t xml:space="preserve">☐ KPI card values match SQL results</w:t>
      </w:r>
    </w:p>
    <w:p>
      <w:pPr>
        <w:numPr>
          <w:ilvl w:val="0"/>
          <w:numId w:val="1003"/>
        </w:numPr>
        <w:pStyle w:val="Compact"/>
      </w:pPr>
      <w:r>
        <w:t xml:space="preserve">☐ Slicers filter all relevant visuals</w:t>
      </w:r>
    </w:p>
    <w:p>
      <w:pPr>
        <w:numPr>
          <w:ilvl w:val="0"/>
          <w:numId w:val="1003"/>
        </w:numPr>
        <w:pStyle w:val="Compact"/>
      </w:pPr>
      <w:r>
        <w:t xml:space="preserve">☐ All three pages are navigable and consistently designed</w:t>
      </w:r>
    </w:p>
    <w:p>
      <w:pPr>
        <w:numPr>
          <w:ilvl w:val="0"/>
          <w:numId w:val="1003"/>
        </w:numPr>
        <w:pStyle w:val="Compact"/>
      </w:pPr>
      <w:r>
        <w:t xml:space="preserve">☐ Summary page states insights, recommendations and notes</w:t>
      </w:r>
    </w:p>
    <w:p>
      <w:pPr>
        <w:numPr>
          <w:ilvl w:val="0"/>
          <w:numId w:val="1003"/>
        </w:numPr>
        <w:pStyle w:val="Compact"/>
      </w:pPr>
      <w:r>
        <w:t xml:space="preserve">☐ Known data limitations are documented</w:t>
      </w:r>
    </w:p>
    <w:bookmarkEnd w:id="37"/>
    <w:bookmarkStart w:id="38" w:name="requirements-traceability-matrix"/>
    <w:p>
      <w:pPr>
        <w:pStyle w:val="Heading2"/>
      </w:pPr>
      <w:r>
        <w:t xml:space="preserve">17. Requirements Traceability Matrix</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Business Objective</w:t>
            </w:r>
          </w:p>
        </w:tc>
        <w:tc>
          <w:tcPr/>
          <w:p>
            <w:pPr>
              <w:pStyle w:val="Compact"/>
              <w:jc w:val="left"/>
            </w:pPr>
            <w:r>
              <w:t xml:space="preserve">Business Requirement</w:t>
            </w:r>
          </w:p>
        </w:tc>
        <w:tc>
          <w:tcPr/>
          <w:p>
            <w:pPr>
              <w:pStyle w:val="Compact"/>
              <w:jc w:val="left"/>
            </w:pPr>
            <w:r>
              <w:t xml:space="preserve">Functional Requirement</w:t>
            </w:r>
          </w:p>
        </w:tc>
        <w:tc>
          <w:tcPr/>
          <w:p>
            <w:pPr>
              <w:pStyle w:val="Compact"/>
              <w:jc w:val="left"/>
            </w:pPr>
            <w:r>
              <w:t xml:space="preserve">Dashboard Element</w:t>
            </w:r>
          </w:p>
        </w:tc>
      </w:tr>
      <w:tr>
        <w:tc>
          <w:tcPr/>
          <w:p>
            <w:pPr>
              <w:pStyle w:val="Compact"/>
              <w:jc w:val="left"/>
            </w:pPr>
            <w:r>
              <w:t xml:space="preserve">BO-01</w:t>
            </w:r>
          </w:p>
        </w:tc>
        <w:tc>
          <w:tcPr/>
          <w:p>
            <w:pPr>
              <w:pStyle w:val="Compact"/>
              <w:jc w:val="left"/>
            </w:pPr>
            <w:r>
              <w:t xml:space="preserve">BR-01</w:t>
            </w:r>
          </w:p>
        </w:tc>
        <w:tc>
          <w:tcPr/>
          <w:p>
            <w:pPr>
              <w:pStyle w:val="Compact"/>
              <w:jc w:val="left"/>
            </w:pPr>
            <w:r>
              <w:t xml:space="preserve">FR-01, FR-11</w:t>
            </w:r>
          </w:p>
        </w:tc>
        <w:tc>
          <w:tcPr/>
          <w:p>
            <w:pPr>
              <w:pStyle w:val="Compact"/>
              <w:jc w:val="left"/>
            </w:pPr>
            <w:r>
              <w:t xml:space="preserve">KPI cards (Page 1)</w:t>
            </w:r>
          </w:p>
        </w:tc>
      </w:tr>
      <w:tr>
        <w:tc>
          <w:tcPr/>
          <w:p>
            <w:pPr>
              <w:pStyle w:val="Compact"/>
              <w:jc w:val="left"/>
            </w:pPr>
            <w:r>
              <w:t xml:space="preserve">BO-02</w:t>
            </w:r>
          </w:p>
        </w:tc>
        <w:tc>
          <w:tcPr/>
          <w:p>
            <w:pPr>
              <w:pStyle w:val="Compact"/>
              <w:jc w:val="left"/>
            </w:pPr>
            <w:r>
              <w:t xml:space="preserve">BR-02</w:t>
            </w:r>
          </w:p>
        </w:tc>
        <w:tc>
          <w:tcPr/>
          <w:p>
            <w:pPr>
              <w:pStyle w:val="Compact"/>
              <w:jc w:val="left"/>
            </w:pPr>
            <w:r>
              <w:t xml:space="preserve">FR-02</w:t>
            </w:r>
          </w:p>
        </w:tc>
        <w:tc>
          <w:tcPr/>
          <w:p>
            <w:pPr>
              <w:pStyle w:val="Compact"/>
              <w:jc w:val="left"/>
            </w:pPr>
            <w:r>
              <w:t xml:space="preserve">Active vs Inactive donut</w:t>
            </w:r>
          </w:p>
        </w:tc>
      </w:tr>
      <w:tr>
        <w:tc>
          <w:tcPr/>
          <w:p>
            <w:pPr>
              <w:pStyle w:val="Compact"/>
              <w:jc w:val="left"/>
            </w:pPr>
            <w:r>
              <w:t xml:space="preserve">BO-02</w:t>
            </w:r>
          </w:p>
        </w:tc>
        <w:tc>
          <w:tcPr/>
          <w:p>
            <w:pPr>
              <w:pStyle w:val="Compact"/>
              <w:jc w:val="left"/>
            </w:pPr>
            <w:r>
              <w:t xml:space="preserve">BR-03</w:t>
            </w:r>
          </w:p>
        </w:tc>
        <w:tc>
          <w:tcPr/>
          <w:p>
            <w:pPr>
              <w:pStyle w:val="Compact"/>
              <w:jc w:val="left"/>
            </w:pPr>
            <w:r>
              <w:t xml:space="preserve">FR-03</w:t>
            </w:r>
          </w:p>
        </w:tc>
        <w:tc>
          <w:tcPr/>
          <w:p>
            <w:pPr>
              <w:pStyle w:val="Compact"/>
              <w:jc w:val="left"/>
            </w:pPr>
            <w:r>
              <w:t xml:space="preserve">Age, Gender, Type, Status charts</w:t>
            </w:r>
          </w:p>
        </w:tc>
      </w:tr>
      <w:tr>
        <w:tc>
          <w:tcPr/>
          <w:p>
            <w:pPr>
              <w:pStyle w:val="Compact"/>
              <w:jc w:val="left"/>
            </w:pPr>
            <w:r>
              <w:t xml:space="preserve">BO-03</w:t>
            </w:r>
          </w:p>
        </w:tc>
        <w:tc>
          <w:tcPr/>
          <w:p>
            <w:pPr>
              <w:pStyle w:val="Compact"/>
              <w:jc w:val="left"/>
            </w:pPr>
            <w:r>
              <w:t xml:space="preserve">BR-04</w:t>
            </w:r>
          </w:p>
        </w:tc>
        <w:tc>
          <w:tcPr/>
          <w:p>
            <w:pPr>
              <w:pStyle w:val="Compact"/>
              <w:jc w:val="left"/>
            </w:pPr>
            <w:r>
              <w:t xml:space="preserve">FR-04, FR-06</w:t>
            </w:r>
          </w:p>
        </w:tc>
        <w:tc>
          <w:tcPr/>
          <w:p>
            <w:pPr>
              <w:pStyle w:val="Compact"/>
              <w:jc w:val="left"/>
            </w:pPr>
            <w:r>
              <w:t xml:space="preserve">Premium and growth combo chart</w:t>
            </w:r>
          </w:p>
        </w:tc>
      </w:tr>
      <w:tr>
        <w:tc>
          <w:tcPr/>
          <w:p>
            <w:pPr>
              <w:pStyle w:val="Compact"/>
              <w:jc w:val="left"/>
            </w:pPr>
            <w:r>
              <w:t xml:space="preserve">BO-04</w:t>
            </w:r>
          </w:p>
        </w:tc>
        <w:tc>
          <w:tcPr/>
          <w:p>
            <w:pPr>
              <w:pStyle w:val="Compact"/>
              <w:jc w:val="left"/>
            </w:pPr>
            <w:r>
              <w:t xml:space="preserve">BR-05</w:t>
            </w:r>
          </w:p>
        </w:tc>
        <w:tc>
          <w:tcPr/>
          <w:p>
            <w:pPr>
              <w:pStyle w:val="Compact"/>
              <w:jc w:val="left"/>
            </w:pPr>
            <w:r>
              <w:t xml:space="preserve">FR-05, FR-06</w:t>
            </w:r>
          </w:p>
        </w:tc>
        <w:tc>
          <w:tcPr/>
          <w:p>
            <w:pPr>
              <w:pStyle w:val="Compact"/>
              <w:jc w:val="left"/>
            </w:pPr>
            <w:r>
              <w:t xml:space="preserve">Policies by End Year line chart</w:t>
            </w:r>
          </w:p>
        </w:tc>
      </w:tr>
      <w:tr>
        <w:tc>
          <w:tcPr/>
          <w:p>
            <w:pPr>
              <w:pStyle w:val="Compact"/>
              <w:jc w:val="left"/>
            </w:pPr>
            <w:r>
              <w:t xml:space="preserve">BO-01</w:t>
            </w:r>
          </w:p>
        </w:tc>
        <w:tc>
          <w:tcPr/>
          <w:p>
            <w:pPr>
              <w:pStyle w:val="Compact"/>
              <w:jc w:val="left"/>
            </w:pPr>
            <w:r>
              <w:t xml:space="preserve">BR-06</w:t>
            </w:r>
          </w:p>
        </w:tc>
        <w:tc>
          <w:tcPr/>
          <w:p>
            <w:pPr>
              <w:pStyle w:val="Compact"/>
              <w:jc w:val="left"/>
            </w:pPr>
            <w:r>
              <w:t xml:space="preserve">FR-07</w:t>
            </w:r>
          </w:p>
        </w:tc>
        <w:tc>
          <w:tcPr/>
          <w:p>
            <w:pPr>
              <w:pStyle w:val="Compact"/>
              <w:jc w:val="left"/>
            </w:pPr>
            <w:r>
              <w:t xml:space="preserve">Slicers</w:t>
            </w:r>
          </w:p>
        </w:tc>
      </w:tr>
      <w:tr>
        <w:tc>
          <w:tcPr/>
          <w:p>
            <w:pPr>
              <w:pStyle w:val="Compact"/>
              <w:jc w:val="left"/>
            </w:pPr>
            <w:r>
              <w:t xml:space="preserve">BO-05</w:t>
            </w:r>
          </w:p>
        </w:tc>
        <w:tc>
          <w:tcPr/>
          <w:p>
            <w:pPr>
              <w:pStyle w:val="Compact"/>
              <w:jc w:val="left"/>
            </w:pPr>
            <w:r>
              <w:t xml:space="preserve">BR-08</w:t>
            </w:r>
          </w:p>
        </w:tc>
        <w:tc>
          <w:tcPr/>
          <w:p>
            <w:pPr>
              <w:pStyle w:val="Compact"/>
              <w:jc w:val="left"/>
            </w:pPr>
            <w:r>
              <w:t xml:space="preserve">FR-10</w:t>
            </w:r>
          </w:p>
        </w:tc>
        <w:tc>
          <w:tcPr/>
          <w:p>
            <w:pPr>
              <w:pStyle w:val="Compact"/>
              <w:jc w:val="left"/>
            </w:pPr>
            <w:r>
              <w:t xml:space="preserve">Summary recommendation</w:t>
            </w:r>
          </w:p>
        </w:tc>
      </w:tr>
      <w:tr>
        <w:tc>
          <w:tcPr/>
          <w:p>
            <w:pPr>
              <w:pStyle w:val="Compact"/>
              <w:jc w:val="left"/>
            </w:pPr>
            <w:r>
              <w:t xml:space="preserve">BO-01</w:t>
            </w:r>
          </w:p>
        </w:tc>
        <w:tc>
          <w:tcPr/>
          <w:p>
            <w:pPr>
              <w:pStyle w:val="Compact"/>
              <w:jc w:val="left"/>
            </w:pPr>
            <w:r>
              <w:t xml:space="preserve">BR-07</w:t>
            </w:r>
          </w:p>
        </w:tc>
        <w:tc>
          <w:tcPr/>
          <w:p>
            <w:pPr>
              <w:pStyle w:val="Compact"/>
              <w:jc w:val="left"/>
            </w:pPr>
            <w:r>
              <w:t xml:space="preserve">FR-08, FR-09</w:t>
            </w:r>
          </w:p>
        </w:tc>
        <w:tc>
          <w:tcPr/>
          <w:p>
            <w:pPr>
              <w:pStyle w:val="Compact"/>
              <w:jc w:val="left"/>
            </w:pPr>
            <w:r>
              <w:t xml:space="preserve">Summary page</w:t>
            </w:r>
          </w:p>
        </w:tc>
      </w:tr>
    </w:tbl>
    <w:bookmarkEnd w:id="38"/>
    <w:bookmarkStart w:id="39" w:name="sign-off"/>
    <w:p>
      <w:pPr>
        <w:pStyle w:val="Heading2"/>
      </w:pPr>
      <w:r>
        <w:t xml:space="preserve">18. Sign-off</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Role</w:t>
            </w:r>
          </w:p>
        </w:tc>
        <w:tc>
          <w:tcPr/>
          <w:p>
            <w:pPr>
              <w:pStyle w:val="Compact"/>
              <w:jc w:val="left"/>
            </w:pPr>
            <w:r>
              <w:t xml:space="preserve">Status</w:t>
            </w:r>
          </w:p>
        </w:tc>
      </w:tr>
      <w:tr>
        <w:tc>
          <w:tcPr/>
          <w:p>
            <w:pPr>
              <w:pStyle w:val="Compact"/>
              <w:jc w:val="left"/>
            </w:pPr>
            <w:r>
              <w:t xml:space="preserve">Saraswati Sarjerao Shinde</w:t>
            </w:r>
          </w:p>
        </w:tc>
        <w:tc>
          <w:tcPr/>
          <w:p>
            <w:pPr>
              <w:pStyle w:val="Compact"/>
              <w:jc w:val="left"/>
            </w:pPr>
            <w:r>
              <w:t xml:space="preserve">Business Analyst</w:t>
            </w:r>
          </w:p>
        </w:tc>
        <w:tc>
          <w:tcPr/>
          <w:p>
            <w:pPr>
              <w:pStyle w:val="Compact"/>
              <w:jc w:val="left"/>
            </w:pPr>
            <w:r>
              <w:t xml:space="preserve">Prepared</w:t>
            </w:r>
          </w:p>
        </w:tc>
      </w:tr>
    </w:tbl>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saraswatishinde04.github.io/3D_Portfolio/" TargetMode="External" /><Relationship Type="http://schemas.openxmlformats.org/officeDocument/2006/relationships/hyperlink" Id="rId20" Target="https://www.linkedin.com/in/saraswati-shinde/" TargetMode="External" /></Relationships>
</file>

<file path=word/_rels/footnotes.xml.rels><?xml version="1.0" encoding="UTF-8"?><Relationships xmlns="http://schemas.openxmlformats.org/package/2006/relationships"><Relationship Type="http://schemas.openxmlformats.org/officeDocument/2006/relationships/hyperlink" Id="rId21" Target="https://saraswatishinde04.github.io/3D_Portfolio/" TargetMode="External" /><Relationship Type="http://schemas.openxmlformats.org/officeDocument/2006/relationships/hyperlink" Id="rId20" Target="https://www.linkedin.com/in/saraswati-shin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2026-10-24T18:10:26Z</dcterms:created>
  <dcterms:modified xsi:type="dcterms:W3CDTF">2026-10-24T18:10:26Z</dcterms:modified>
</cp:coreProperties>
</file>

<file path=docProps/custom.xml><?xml version="1.0" encoding="utf-8"?>
<Properties xmlns="http://schemas.openxmlformats.org/officeDocument/2006/custom-properties" xmlns:vt="http://schemas.openxmlformats.org/officeDocument/2006/docPropsVTypes"/>
</file>