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3A6B"/>
          <w:sz w:val="72"/>
          <w:szCs w:val="72"/>
        </w:rPr>
        <w:t xml:space="preserve">BioResilient AI</w:t>
      </w:r>
    </w:p>
    <w:p>
      <w:pPr>
        <w:spacing w:after="200"/>
        <w:jc w:val="center"/>
      </w:pPr>
      <w:r>
        <w:rPr>
          <w:rFonts w:ascii="Arial" w:cs="Arial" w:eastAsia="Arial" w:hAnsi="Arial"/>
          <w:color w:val="2E5FA3"/>
          <w:sz w:val="48"/>
          <w:szCs w:val="48"/>
        </w:rPr>
        <w:t xml:space="preserve">Master Build Plan</w:t>
      </w:r>
    </w:p>
    <w:p>
      <w:pPr>
        <w:spacing w:after="800"/>
        <w:jc w:val="center"/>
      </w:pPr>
      <w:r>
        <w:rPr>
          <w:rFonts w:ascii="Arial" w:cs="Arial" w:eastAsia="Arial" w:hAnsi="Arial"/>
          <w:i/>
          <w:iCs/>
          <w:color w:val="1A7F74"/>
          <w:sz w:val="28"/>
          <w:szCs w:val="28"/>
        </w:rPr>
        <w:t xml:space="preserve">Animal-Derived Targets → Human Medicines</w:t>
      </w:r>
    </w:p>
    <w:p>
      <w:pPr>
        <w:pBdr>
          <w:bottom w:val="single" w:color="2E5FA3" w:sz="8" w:space="1"/>
        </w:pBdr>
        <w:spacing w:after="400"/>
      </w:pPr>
    </w:p>
    <w:p>
      <w:pPr>
        <w:spacing w:after="2800"/>
        <w:jc w:val="center"/>
      </w:pPr>
      <w:r>
        <w:rPr>
          <w:rFonts w:ascii="Arial" w:cs="Arial" w:eastAsia="Arial" w:hAnsi="Arial"/>
          <w:color w:val="6B7280"/>
          <w:sz w:val="20"/>
          <w:szCs w:val="20"/>
        </w:rPr>
        <w:t xml:space="preserve">Version 1.0  •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pPr>
            <w:r>
              <w:rPr>
                <w:rFonts w:ascii="Arial" w:cs="Arial" w:eastAsia="Arial" w:hAnsi="Arial"/>
                <w:b/>
                <w:bCs/>
                <w:color w:val="1B3A6B"/>
                <w:sz w:val="20"/>
                <w:szCs w:val="20"/>
              </w:rPr>
              <w:t xml:space="preserve">Purpose</w:t>
            </w:r>
          </w:p>
          <w:p>
            <w:r>
              <w:rPr>
                <w:rFonts w:ascii="Arial" w:cs="Arial" w:eastAsia="Arial" w:hAnsi="Arial"/>
                <w:color w:val="1B3A6B"/>
                <w:sz w:val="21"/>
                <w:szCs w:val="21"/>
              </w:rPr>
              <w:t xml:space="preserve">This document is the single source of truth for what BioResilient AI will build, how it will be built, what it will cost, and where the honest risks and gaps lie. It is written for realism, not optimism.</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400"/>
      </w:pPr>
      <w:r>
        <w:rPr>
          <w:rFonts w:ascii="Arial" w:cs="Arial" w:eastAsia="Arial" w:hAnsi="Arial"/>
          <w:b/>
          <w:bCs/>
        </w:rPr>
        <w:t xml:space="preserve">1. Strategic Foundation</w:t>
      </w:r>
    </w:p>
    <w:p>
      <w:pPr>
        <w:pStyle w:val="Heading2"/>
        <w:spacing w:after="120" w:before="280"/>
      </w:pPr>
      <w:r>
        <w:rPr>
          <w:rFonts w:ascii="Arial" w:cs="Arial" w:eastAsia="Arial" w:hAnsi="Arial"/>
          <w:b/>
          <w:bCs/>
        </w:rPr>
        <w:t xml:space="preserve">1.1 The Core Thesis</w:t>
      </w:r>
    </w:p>
    <w:p>
      <w:pPr>
        <w:spacing w:after="60" w:before="60"/>
      </w:pPr>
      <w:r>
        <w:rPr>
          <w:rFonts w:ascii="Arial" w:cs="Arial" w:eastAsia="Arial" w:hAnsi="Arial"/>
          <w:color w:val="1F2937"/>
          <w:sz w:val="22"/>
          <w:szCs w:val="22"/>
        </w:rPr>
        <w:t xml:space="preserve">Animals have already solved problems that kill humans. The naked mole rat does not get cancer. The bowhead whale lives 200 years. The axolotl regenerates amputated limbs. These are not curiosities — they are the result of millions of years of evolutionary pressure selecting for genetic and molecular changes that confer survival advantage. BioResilient AI exists to find those changes, understand them computationally, and translate them into human medicines.</w:t>
      </w:r>
    </w:p>
    <w:p>
      <w:pPr>
        <w:spacing w:before="80"/>
      </w:pPr>
    </w:p>
    <w:p>
      <w:pPr>
        <w:spacing w:after="60" w:before="60"/>
      </w:pPr>
      <w:r>
        <w:rPr>
          <w:rFonts w:ascii="Arial" w:cs="Arial" w:eastAsia="Arial" w:hAnsi="Arial"/>
          <w:color w:val="1F2937"/>
          <w:sz w:val="22"/>
          <w:szCs w:val="22"/>
        </w:rPr>
        <w:t xml:space="preserve">The scientific precedent is established. GLP-1 agonists — including Ozempic and Wegovy, now a $30B+ market — trace to a hormone discovered in Gila monster venom. ACE inhibitors came from studying pit viper venom. PCSK9 inhibitors followed the discovery of a human genetic variant that functions like what many animals carry naturally. These were accidental discoveries made one species at a time. BioResilient does this systematically, at scale, across dozens of species, using AI to find the signal in the genomic noise.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pPr>
            <w:r>
              <w:rPr>
                <w:rFonts w:ascii="Arial" w:cs="Arial" w:eastAsia="Arial" w:hAnsi="Arial"/>
                <w:b/>
                <w:bCs/>
                <w:color w:val="1B3A6B"/>
                <w:sz w:val="20"/>
                <w:szCs w:val="20"/>
              </w:rPr>
              <w:t xml:space="preserve">Validation Signal</w:t>
            </w:r>
          </w:p>
          <w:p>
            <w:r>
              <w:rPr>
                <w:rFonts w:ascii="Arial" w:cs="Arial" w:eastAsia="Arial" w:hAnsi="Arial"/>
                <w:color w:val="1B3A6B"/>
                <w:sz w:val="21"/>
                <w:szCs w:val="21"/>
              </w:rPr>
              <w:t xml:space="preserve">Market validation: Fauna Bio has signed a deal with Eli Lilly worth up to $494M and a separate collaboration with Novo Nordisk, using the same core thesis. The concept is proven and commercially real.</w:t>
            </w:r>
          </w:p>
        </w:tc>
      </w:tr>
    </w:tbl>
    <w:p>
      <w:pPr>
        <w:pStyle w:val="Heading2"/>
        <w:spacing w:after="120" w:before="280"/>
      </w:pPr>
      <w:r>
        <w:rPr>
          <w:rFonts w:ascii="Arial" w:cs="Arial" w:eastAsia="Arial" w:hAnsi="Arial"/>
          <w:b/>
          <w:bCs/>
        </w:rPr>
        <w:t xml:space="preserve">1.2 Business Model: Products, Not a Platform</w:t>
      </w:r>
    </w:p>
    <w:p>
      <w:pPr>
        <w:spacing w:after="60" w:before="60"/>
      </w:pPr>
      <w:r>
        <w:rPr>
          <w:rFonts w:ascii="Arial" w:cs="Arial" w:eastAsia="Arial" w:hAnsi="Arial"/>
          <w:color w:val="1F2937"/>
          <w:sz w:val="22"/>
          <w:szCs w:val="22"/>
        </w:rPr>
        <w:t xml:space="preserve">BioResilient will not sell discovery-as-a-service to pharma giants. That is Fauna Bio's model. BioResilient will own the IP on specific therapeutic targets and peptide sequences discovered by the system, and develop or license those assets. This is a product company, not a platform company.</w:t>
      </w:r>
    </w:p>
    <w:p>
      <w:pPr>
        <w:spacing w:before="60"/>
      </w:pPr>
    </w:p>
    <w:p>
      <w:pPr>
        <w:spacing w:after="60" w:before="60"/>
      </w:pPr>
      <w:r>
        <w:rPr>
          <w:rFonts w:ascii="Arial" w:cs="Arial" w:eastAsia="Arial" w:hAnsi="Arial"/>
          <w:color w:val="1F2937"/>
          <w:sz w:val="22"/>
          <w:szCs w:val="22"/>
        </w:rPr>
        <w:t xml:space="preserve">The distinction matters enormously. A platform company's value lives in its customers' willingness to pay for access. A product company's value lives in the assets it owns. When BioResilient's system identifies a peptide sequence from an axolotl protein that binds to a druggable pocket and is absent from existing drug databases, that sequence is a patentable asset. The system that found it is infrastructure. The sequence is the product.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Platform Company</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Example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Fauna Bio</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Revenue Model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Licensing platform access to Lilly, Novo Nordisk</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Value lives in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The system and data moat</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
            </w:r>
          </w:p>
        </w:tc>
      </w:tr>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Product Company (BioResilient)</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Equivalent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A biotech that owns drug candidates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Revenue Model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License or develop specific targets / peptides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Value lives in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IP on discovered sequences and targets</w:t>
            </w:r>
          </w:p>
        </w:tc>
      </w:tr>
    </w:tbl>
    <w:p>
      <w:pPr>
        <w:pStyle w:val="Heading2"/>
        <w:spacing w:after="120" w:before="280"/>
      </w:pPr>
      <w:r>
        <w:rPr>
          <w:rFonts w:ascii="Arial" w:cs="Arial" w:eastAsia="Arial" w:hAnsi="Arial"/>
          <w:b/>
          <w:bCs/>
        </w:rPr>
        <w:t xml:space="preserve">1.3 Direction of Discovery: Species-First with Disease Bridge</w:t>
      </w:r>
    </w:p>
    <w:p>
      <w:pPr>
        <w:spacing w:after="60" w:before="60"/>
      </w:pPr>
      <w:r>
        <w:rPr>
          <w:rFonts w:ascii="Arial" w:cs="Arial" w:eastAsia="Arial" w:hAnsi="Arial"/>
          <w:color w:val="1F2937"/>
          <w:sz w:val="22"/>
          <w:szCs w:val="22"/>
        </w:rPr>
        <w:t xml:space="preserve">The discovery process starts from the animal — not from the disease. This is the scientifically sound direction because it lets evolutionary biology pre-filter candidates. The animal is the experiment. Millions of years of selection pressure have already validated that the genetic changes in a cancer-resistant animal matter for cancer resistance. We are reading the results of nature's experiment, not guessing.</w:t>
      </w:r>
    </w:p>
    <w:p>
      <w:pPr>
        <w:spacing w:before="60"/>
      </w:pPr>
    </w:p>
    <w:p>
      <w:pPr>
        <w:spacing w:after="60" w:before="60"/>
      </w:pPr>
      <w:r>
        <w:rPr>
          <w:rFonts w:ascii="Arial" w:cs="Arial" w:eastAsia="Arial" w:hAnsi="Arial"/>
          <w:color w:val="1F2937"/>
          <w:sz w:val="22"/>
          <w:szCs w:val="22"/>
        </w:rPr>
        <w:t xml:space="preserve">The disease connection comes after, through annotation against human disease databases. This is not a weakness — it is a strength. It means targets emerge from biology, not from committee decisions about which disease to work on. The system will tell you which diseases the candidates are relevant to. The commercial team then decides which to prioritise.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60"/>
            </w:pPr>
            <w:r>
              <w:rPr>
                <w:rFonts w:ascii="Arial" w:cs="Arial" w:eastAsia="Arial" w:hAnsi="Arial"/>
                <w:b/>
                <w:bCs/>
                <w:color w:val="B45309"/>
                <w:sz w:val="20"/>
                <w:szCs w:val="20"/>
              </w:rPr>
              <w:t xml:space="preserve">Note on Epigenetics</w:t>
            </w:r>
          </w:p>
          <w:p>
            <w:r>
              <w:rPr>
                <w:rFonts w:ascii="Arial" w:cs="Arial" w:eastAsia="Arial" w:hAnsi="Arial"/>
                <w:color w:val="B45309"/>
                <w:sz w:val="21"/>
                <w:szCs w:val="21"/>
              </w:rPr>
              <w:t xml:space="preserve">Epigenetics is a valid and important second direction. Where sequence changes (mutations) represent evolutionary adaptation over millions of years, epigenetic changes (which genes get switched on or off without altering the DNA itself) can represent shorter-term adaptation. Hibernating animals, for example, dramatically shift their epigenome during torpor. This layer is scientifically real but requires wet-lab data collection and is designated Phase 2 in this plan.</w:t>
            </w:r>
          </w:p>
        </w:tc>
      </w:tr>
    </w:tbl>
    <w:p>
      <w:pPr>
        <w:pStyle w:val="Heading2"/>
        <w:spacing w:after="120" w:before="280"/>
      </w:pPr>
      <w:r>
        <w:rPr>
          <w:rFonts w:ascii="Arial" w:cs="Arial" w:eastAsia="Arial" w:hAnsi="Arial"/>
          <w:b/>
          <w:bCs/>
        </w:rPr>
        <w:t xml:space="preserve">1.4 Differentiation from Fauna Bio</w:t>
      </w:r>
    </w:p>
    <w:p>
      <w:pPr>
        <w:spacing w:after="60" w:before="60"/>
      </w:pPr>
      <w:r>
        <w:rPr>
          <w:rFonts w:ascii="Arial" w:cs="Arial" w:eastAsia="Arial" w:hAnsi="Arial"/>
          <w:color w:val="1F2937"/>
          <w:sz w:val="22"/>
          <w:szCs w:val="22"/>
        </w:rPr>
        <w:t xml:space="preserve">Any investor or partner will ask this. The answer has two parts.</w:t>
      </w:r>
    </w:p>
    <w:p>
      <w:pPr>
        <w:spacing w:before="60"/>
      </w:pPr>
    </w:p>
    <w:p>
      <w:pPr>
        <w:spacing w:after="60" w:before="60"/>
      </w:pPr>
      <w:r>
        <w:rPr>
          <w:rFonts w:ascii="Arial" w:cs="Arial" w:eastAsia="Arial" w:hAnsi="Arial"/>
          <w:color w:val="1F2937"/>
          <w:sz w:val="22"/>
          <w:szCs w:val="22"/>
        </w:rPr>
        <w:t xml:space="preserve">First, Fauna Bio primarily analyses gene expression — which genes get turned on or off in a protective animal state. BioResilient analyses sequence and structural divergence — how the actual physical shape of a protein has changed. These are complementary approaches but yield different outputs. Expression analysis tells you which genes matter. Sequence analysis tells you how the protein works differently, at the molecular level, and can directly yield peptide drug candidates from the divergent regions themselves.</w:t>
      </w:r>
    </w:p>
    <w:p>
      <w:pPr>
        <w:spacing w:before="60"/>
      </w:pPr>
    </w:p>
    <w:p>
      <w:pPr>
        <w:spacing w:after="60" w:before="60"/>
      </w:pPr>
      <w:r>
        <w:rPr>
          <w:rFonts w:ascii="Arial" w:cs="Arial" w:eastAsia="Arial" w:hAnsi="Arial"/>
          <w:color w:val="1F2937"/>
          <w:sz w:val="22"/>
          <w:szCs w:val="22"/>
        </w:rPr>
        <w:t xml:space="preserve">Second, the product model creates a different commercial opportunity. BioResilient will not compete for platform deals. It will compete for asset value — owning specific peptide-tractable motifs that are novel, patentable, and therapeutically relevant.</w:t>
      </w:r>
    </w:p>
    <w:p>
      <w:pPr>
        <w:pStyle w:val="Heading1"/>
        <w:pageBreakBefore/>
        <w:spacing w:after="160" w:before="400"/>
      </w:pPr>
      <w:r>
        <w:rPr>
          <w:rFonts w:ascii="Arial" w:cs="Arial" w:eastAsia="Arial" w:hAnsi="Arial"/>
          <w:b/>
          <w:bCs/>
        </w:rPr>
        <w:t xml:space="preserve">2. Scientific Architecture</w:t>
      </w:r>
    </w:p>
    <w:p>
      <w:pPr>
        <w:spacing w:after="60" w:before="60"/>
      </w:pPr>
      <w:r>
        <w:rPr>
          <w:rFonts w:ascii="Arial" w:cs="Arial" w:eastAsia="Arial" w:hAnsi="Arial"/>
          <w:color w:val="1F2937"/>
          <w:sz w:val="22"/>
          <w:szCs w:val="22"/>
        </w:rPr>
        <w:t xml:space="preserve">The system is built in six stacked layers. Every candidate target must pass through all six. A candidate that clears all layers with high scores is not a guess — it is a multi-directionally validated hypothesis backed by independent lines of evidence. The goal is to make it scientifically indefensible to ignore the output.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r>
              <w:rPr>
                <w:rFonts w:ascii="Arial" w:cs="Arial" w:eastAsia="Arial" w:hAnsi="Arial"/>
                <w:color w:val="1B3A6B"/>
                <w:sz w:val="21"/>
                <w:szCs w:val="21"/>
              </w:rPr>
              <w:t xml:space="preserve">Design principle: Each layer is an independent filter. No single layer is sufficient on its own. Targets that score well across all six layers approach near-certainty for wet-lab testing priority.</w:t>
            </w:r>
          </w:p>
        </w:tc>
      </w:tr>
    </w:tbl>
    <w:p>
      <w:pPr>
        <w:pStyle w:val="Heading2"/>
        <w:spacing w:after="120" w:before="280"/>
      </w:pPr>
      <w:r>
        <w:rPr>
          <w:rFonts w:ascii="Arial" w:cs="Arial" w:eastAsia="Arial" w:hAnsi="Arial"/>
          <w:b/>
          <w:bCs/>
        </w:rPr>
        <w:t xml:space="preserve">Layer 1 — Animal Signal</w:t>
      </w:r>
    </w:p>
    <w:p>
      <w:pPr>
        <w:pStyle w:val="Heading3"/>
        <w:spacing w:after="80" w:before="200"/>
      </w:pPr>
      <w:r>
        <w:rPr>
          <w:rFonts w:ascii="Arial" w:cs="Arial" w:eastAsia="Arial" w:hAnsi="Arial"/>
          <w:b/>
          <w:bCs/>
        </w:rPr>
        <w:t xml:space="preserve">1a. Sequence Divergence</w:t>
      </w:r>
    </w:p>
    <w:p>
      <w:pPr>
        <w:spacing w:after="60" w:before="60"/>
      </w:pPr>
      <w:r>
        <w:rPr>
          <w:rFonts w:ascii="Arial" w:cs="Arial" w:eastAsia="Arial" w:hAnsi="Arial"/>
          <w:color w:val="1F2937"/>
          <w:sz w:val="22"/>
          <w:szCs w:val="22"/>
        </w:rPr>
        <w:t xml:space="preserve">For every candidate gene, the system retrieves the protein sequence from each protective species and aligns it to the human version. It then calculates how different the animal version is, both overall (whole-protein identity %) and locally (using a sliding window to find specific divergent regions of 10–20 amino acids). These divergent regions are the primary candidate drug motifs.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What it tells you</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Where in a protein the animal version differs from the human version</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Key output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Divergent peptide motifs (10–20 aa windows) ranked by divergence magnitude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Data source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NCBI RefSeq, UniProt, Ensembl — all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Tools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BLAST (similarity search), MAFFT (alignment), Biopython (sliding window)</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Current POC status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Implemented and producing output on 2–3 species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What it does NOT tell you</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Whether the divergence was selected by evolution (needs Layer 2)</w:t>
            </w:r>
          </w:p>
        </w:tc>
      </w:tr>
    </w:tbl>
    <w:p>
      <w:pPr>
        <w:pStyle w:val="Heading3"/>
        <w:spacing w:after="80" w:before="200"/>
      </w:pPr>
      <w:r>
        <w:rPr>
          <w:rFonts w:ascii="Arial" w:cs="Arial" w:eastAsia="Arial" w:hAnsi="Arial"/>
          <w:b/>
          <w:bCs/>
        </w:rPr>
        <w:t xml:space="preserve">1b. Gene Expression Data</w:t>
      </w:r>
    </w:p>
    <w:p>
      <w:pPr>
        <w:spacing w:after="60" w:before="60"/>
      </w:pPr>
      <w:r>
        <w:rPr>
          <w:rFonts w:ascii="Arial" w:cs="Arial" w:eastAsia="Arial" w:hAnsi="Arial"/>
          <w:color w:val="1F2937"/>
          <w:sz w:val="22"/>
          <w:szCs w:val="22"/>
        </w:rPr>
        <w:t xml:space="preserve">Sequence alone says a gene changed. Expression data says the gene is actually used differently in the protective state. For each candidate gene, the system queries public RNA-seq datasets (GEO, ArrayExpress) from the target species under stress conditions (torpor, injury, tumour challenge) and checks whether the gene is differentially expressed. A gene that is both sequentially divergent AND transcriptionally upregulated under the relevant protective condition is a much stronger candidate.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Data source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NCBI GEO, ArrayExpress — thousands of datasets, free to download</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Tools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DESeq2 or edgeR (differential expression), Python pandas for integration</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Realistic availability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Good for ~8–10 well-studied species (ground squirrel, naked mole rat, axolotl, bat). Poor for exotic species. This is a real gap.</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Epigenomics note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Methylation and ATAC-seq data for non-model species is almost entirely absent from public databases. Requires wet-lab sample collection. Designated Phase 2.</w:t>
            </w:r>
          </w:p>
        </w:tc>
      </w:tr>
    </w:tbl>
    <w:p>
      <w:pPr>
        <w:pStyle w:val="Heading2"/>
        <w:spacing w:after="120" w:before="280"/>
      </w:pPr>
      <w:r>
        <w:rPr>
          <w:rFonts w:ascii="Arial" w:cs="Arial" w:eastAsia="Arial" w:hAnsi="Arial"/>
          <w:b/>
          <w:bCs/>
        </w:rPr>
        <w:t xml:space="preserve">Layer 2 — Evolutionary Confidence</w:t>
      </w:r>
    </w:p>
    <w:p>
      <w:pPr>
        <w:pStyle w:val="Heading3"/>
        <w:spacing w:after="80" w:before="200"/>
      </w:pPr>
      <w:r>
        <w:rPr>
          <w:rFonts w:ascii="Arial" w:cs="Arial" w:eastAsia="Arial" w:hAnsi="Arial"/>
          <w:b/>
          <w:bCs/>
        </w:rPr>
        <w:t xml:space="preserve">2a. Positive Selection Testing (dN/dS)</w:t>
      </w:r>
    </w:p>
    <w:p>
      <w:pPr>
        <w:spacing w:after="60" w:before="60"/>
      </w:pPr>
      <w:r>
        <w:rPr>
          <w:rFonts w:ascii="Arial" w:cs="Arial" w:eastAsia="Arial" w:hAnsi="Arial"/>
          <w:color w:val="1F2937"/>
          <w:sz w:val="22"/>
          <w:szCs w:val="22"/>
        </w:rPr>
        <w:t xml:space="preserve">dN/dS analysis asks: were the sequence changes in this gene random drift, or did natural selection specifically choose to keep them? A dN/dS ratio greater than 1 means positive selection — nature actively kept mutations that changed the protein function because they conferred a survival advantage. This is the strongest scientific statement you can make about a gene change.</w:t>
      </w:r>
    </w:p>
    <w:p>
      <w:pPr>
        <w:spacing w:before="60"/>
      </w:pPr>
    </w:p>
    <w:p>
      <w:pPr>
        <w:spacing w:after="60" w:before="60"/>
      </w:pPr>
      <w:r>
        <w:rPr>
          <w:rFonts w:ascii="Arial" w:cs="Arial" w:eastAsia="Arial" w:hAnsi="Arial"/>
          <w:color w:val="1F2937"/>
          <w:sz w:val="22"/>
          <w:szCs w:val="22"/>
        </w:rPr>
        <w:t xml:space="preserve">This is NOT just relevant to evolutionary biology. It is relevant to any target selection decision. A gene region under positive selection in a survival-trait lineage is, by definition, functionally important to that trait. Identifying it as a drug target is not a hypothesis about evolution — it is using evolutionary logic as a functional validation filter.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When to use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Whenever the source of divergence is genomic sequence across multiple species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When NOT needed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If using expression data alone, or for epigenetic analysis — different tools apply</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Tools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HyPhy (aBSREL, BUSTED, FEL models) — free, well-documented, gold standard</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Requires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A phylogenetic tree of the species used. Tree construction adds ~1 week of bioinformatics work per new species set (IQ-TREE,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Compute cost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Several hours per gene set on a standard cloud instance. Not expensive.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Limitation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Requires minimum ~8–10 species for statistical power. Results with 2–3 species are indicative, not conclusive.</w:t>
            </w:r>
          </w:p>
        </w:tc>
      </w:tr>
    </w:tbl>
    <w:p>
      <w:pPr>
        <w:pStyle w:val="Heading3"/>
        <w:spacing w:after="80" w:before="200"/>
      </w:pPr>
      <w:r>
        <w:rPr>
          <w:rFonts w:ascii="Arial" w:cs="Arial" w:eastAsia="Arial" w:hAnsi="Arial"/>
          <w:b/>
          <w:bCs/>
        </w:rPr>
        <w:t xml:space="preserve">2b. Convergent Evolution Detection</w:t>
      </w:r>
    </w:p>
    <w:p>
      <w:pPr>
        <w:spacing w:after="60" w:before="60"/>
      </w:pPr>
      <w:r>
        <w:rPr>
          <w:rFonts w:ascii="Arial" w:cs="Arial" w:eastAsia="Arial" w:hAnsi="Arial"/>
          <w:color w:val="1F2937"/>
          <w:sz w:val="22"/>
          <w:szCs w:val="22"/>
        </w:rPr>
        <w:t xml:space="preserve">This is the most powerful signal in the entire system. If three or more unrelated species — a whale, a naked mole rat, and a bat — independently evolved the same change in the same gene, the probability that this is random noise approaches zero. Convergent mutations in the same gene across unrelated lineages are nature's way of pointing at something important.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What it tells you</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Whether the same or functionally equivalent change occurred independently in multiple unrelated protective species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Tools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TRACCER, ConvergentEvolution package, custom Python with PhyloP scores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Statistical weight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Extremely high — convergence across 3+ independent lineages is near-unambiguous functional signal</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Data source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PhyloP and PhastCons scores from UCSC Genome Browser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Minimum viable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Requires 10+ species across at least 3 independent evolutionary lineages to be statistically convincing</w:t>
            </w:r>
          </w:p>
        </w:tc>
      </w:tr>
    </w:tbl>
    <w:p>
      <w:pPr>
        <w:pStyle w:val="Heading2"/>
        <w:spacing w:after="120" w:before="280"/>
      </w:pPr>
      <w:r>
        <w:rPr>
          <w:rFonts w:ascii="Arial" w:cs="Arial" w:eastAsia="Arial" w:hAnsi="Arial"/>
          <w:b/>
          <w:bCs/>
        </w:rPr>
        <w:t xml:space="preserve">Layer 3 — Disease Bridge</w:t>
      </w:r>
    </w:p>
    <w:p>
      <w:pPr>
        <w:spacing w:after="60" w:before="60"/>
      </w:pPr>
      <w:r>
        <w:rPr>
          <w:rFonts w:ascii="Arial" w:cs="Arial" w:eastAsia="Arial" w:hAnsi="Arial"/>
          <w:color w:val="1F2937"/>
          <w:sz w:val="22"/>
          <w:szCs w:val="22"/>
        </w:rPr>
        <w:t xml:space="preserve">This layer connects biology to medicine. Every candidate that clears Layers 1 and 2 is annotated against multiple human disease databases. The output is a disease relevance score — how strongly does independent human genetic evidence link this gene to a disease?</w:t>
      </w:r>
    </w:p>
    <w:p>
      <w:pPr>
        <w:pStyle w:val="Heading3"/>
        <w:spacing w:after="80" w:before="200"/>
      </w:pPr>
      <w:r>
        <w:rPr>
          <w:rFonts w:ascii="Arial" w:cs="Arial" w:eastAsia="Arial" w:hAnsi="Arial"/>
          <w:b/>
          <w:bCs/>
        </w:rPr>
        <w:t xml:space="preserve">3a. OpenTargets</w:t>
      </w:r>
    </w:p>
    <w:p>
      <w:pPr>
        <w:spacing w:after="60" w:before="60"/>
      </w:pPr>
      <w:r>
        <w:rPr>
          <w:rFonts w:ascii="Arial" w:cs="Arial" w:eastAsia="Arial" w:hAnsi="Arial"/>
          <w:color w:val="1F2937"/>
          <w:sz w:val="22"/>
          <w:szCs w:val="22"/>
        </w:rPr>
        <w:t xml:space="preserve">The most comprehensive single-stop database linking genes to human diseases. It integrates genetic associations, clinical trial evidence, drug target data, expression data, and automated literature mining into a single confidence score per gene-disease pair. A gene that scores highly in OpenTargets for a disease has independent human evidence supporting its relevance, on top of the animal-derived evidence from Layers 1 and 2.</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Source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OpenTargets.org — free API, no registration</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Output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Disease association score (0–1) per gene, across 17,000+ diseases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Integration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REST API call per candidate gene; results stored in the database alongside evolutionary scores</w:t>
            </w:r>
          </w:p>
        </w:tc>
      </w:tr>
    </w:tbl>
    <w:p>
      <w:pPr>
        <w:pStyle w:val="Heading3"/>
        <w:spacing w:after="80" w:before="200"/>
      </w:pPr>
      <w:r>
        <w:rPr>
          <w:rFonts w:ascii="Arial" w:cs="Arial" w:eastAsia="Arial" w:hAnsi="Arial"/>
          <w:b/>
          <w:bCs/>
        </w:rPr>
        <w:t xml:space="preserve">3b. GWAS Catalog</w:t>
      </w:r>
    </w:p>
    <w:p>
      <w:pPr>
        <w:spacing w:after="60" w:before="60"/>
      </w:pPr>
      <w:r>
        <w:rPr>
          <w:rFonts w:ascii="Arial" w:cs="Arial" w:eastAsia="Arial" w:hAnsi="Arial"/>
          <w:color w:val="1F2937"/>
          <w:sz w:val="22"/>
          <w:szCs w:val="22"/>
        </w:rPr>
        <w:t xml:space="preserve">Genome-wide association studies link specific genetic variants to diseases across hundreds of thousands of human patients. If a variant in a candidate gene is significantly associated with a disease, that is population-scale human evidence — completely independent of animal biology — that this gene matters in disease.</w:t>
      </w:r>
    </w:p>
    <w:p>
      <w:pPr>
        <w:pStyle w:val="Heading3"/>
        <w:spacing w:after="80" w:before="200"/>
      </w:pPr>
      <w:r>
        <w:rPr>
          <w:rFonts w:ascii="Arial" w:cs="Arial" w:eastAsia="Arial" w:hAnsi="Arial"/>
          <w:b/>
          <w:bCs/>
        </w:rPr>
        <w:t xml:space="preserve">3c. gnomAD (Loss-of-Function Tolerance)</w:t>
      </w:r>
    </w:p>
    <w:p>
      <w:pPr>
        <w:spacing w:after="60" w:before="60"/>
      </w:pPr>
      <w:r>
        <w:rPr>
          <w:rFonts w:ascii="Arial" w:cs="Arial" w:eastAsia="Arial" w:hAnsi="Arial"/>
          <w:color w:val="1F2937"/>
          <w:sz w:val="22"/>
          <w:szCs w:val="22"/>
        </w:rPr>
        <w:t xml:space="preserve">gnomAD catalogues genetic variants across 140,000+ healthy humans and scores how well humans tolerate loss-of-function mutations in each gene. This cuts both ways as a filter: a highly constrained gene (humans cannot tolerate it being broken) is both more likely to be truly important AND potentially dangerous to target. A loss-of-function tolerant gene is safer to target. Both data points must be surfaced, not hidden.</w:t>
      </w:r>
    </w:p>
    <w:p>
      <w:pPr>
        <w:pStyle w:val="Heading3"/>
        <w:spacing w:after="80" w:before="200"/>
      </w:pPr>
      <w:r>
        <w:rPr>
          <w:rFonts w:ascii="Arial" w:cs="Arial" w:eastAsia="Arial" w:hAnsi="Arial"/>
          <w:b/>
          <w:bCs/>
        </w:rPr>
        <w:t xml:space="preserve">3d. Mouse Knockout Phenotype Database (IMPC)</w:t>
      </w:r>
    </w:p>
    <w:p>
      <w:pPr>
        <w:spacing w:after="60" w:before="60"/>
      </w:pPr>
      <w:r>
        <w:rPr>
          <w:rFonts w:ascii="Arial" w:cs="Arial" w:eastAsia="Arial" w:hAnsi="Arial"/>
          <w:color w:val="1F2937"/>
          <w:sz w:val="22"/>
          <w:szCs w:val="22"/>
        </w:rPr>
        <w:t xml:space="preserve">For the majority of human genes, a mouse with that gene knocked out has already been created and its phenotype recorded. If deleting the mouse version of a candidate gene causes a cardiac phenotype, and the gene is also linked to cardiac protection in animals, and it appears in cardiac GWAS data, three completely independent lines of evidence converge. This database is dramatically underused in target selection and will be a core part of the annotation pipeline.</w:t>
      </w:r>
    </w:p>
    <w:p>
      <w:pPr>
        <w:pStyle w:val="Heading3"/>
        <w:spacing w:after="80" w:before="200"/>
      </w:pPr>
      <w:r>
        <w:rPr>
          <w:rFonts w:ascii="Arial" w:cs="Arial" w:eastAsia="Arial" w:hAnsi="Arial"/>
          <w:b/>
          <w:bCs/>
        </w:rPr>
        <w:t xml:space="preserve">3e. Human Protein Atlas and GTEx</w:t>
      </w:r>
    </w:p>
    <w:p>
      <w:pPr>
        <w:spacing w:after="60" w:before="60"/>
      </w:pPr>
      <w:r>
        <w:rPr>
          <w:rFonts w:ascii="Arial" w:cs="Arial" w:eastAsia="Arial" w:hAnsi="Arial"/>
          <w:color w:val="1F2937"/>
          <w:sz w:val="22"/>
          <w:szCs w:val="22"/>
        </w:rPr>
        <w:t xml:space="preserve">These databases map where in the human body each gene is expressed — which tissues, which cell types, even which subcellular compartments. A target relevant to heart disease should be expressed in cardiac tissue. A target expressed uniformly in every cell type carries obvious toxicity risks. These are safety and relevance filters combined.</w:t>
      </w:r>
    </w:p>
    <w:p>
      <w:pPr>
        <w:pStyle w:val="Heading2"/>
        <w:spacing w:after="120" w:before="280"/>
      </w:pPr>
      <w:r>
        <w:rPr>
          <w:rFonts w:ascii="Arial" w:cs="Arial" w:eastAsia="Arial" w:hAnsi="Arial"/>
          <w:b/>
          <w:bCs/>
        </w:rPr>
        <w:t xml:space="preserve">Layer 4 — Druggability Assessment</w:t>
      </w:r>
    </w:p>
    <w:p>
      <w:pPr>
        <w:spacing w:after="60" w:before="60"/>
      </w:pPr>
      <w:r>
        <w:rPr>
          <w:rFonts w:ascii="Arial" w:cs="Arial" w:eastAsia="Arial" w:hAnsi="Arial"/>
          <w:color w:val="1F2937"/>
          <w:sz w:val="22"/>
          <w:szCs w:val="22"/>
        </w:rPr>
        <w:t xml:space="preserve">A biologically real target is worthless if you cannot make a molecule to engage it. This layer assesses whether the candidate protein can actually be targeted with a drug or peptide.</w:t>
      </w:r>
    </w:p>
    <w:p>
      <w:pPr>
        <w:pStyle w:val="Heading3"/>
        <w:spacing w:after="80" w:before="200"/>
      </w:pPr>
      <w:r>
        <w:rPr>
          <w:rFonts w:ascii="Arial" w:cs="Arial" w:eastAsia="Arial" w:hAnsi="Arial"/>
          <w:b/>
          <w:bCs/>
        </w:rPr>
        <w:t xml:space="preserve">4a. Binding Pocket Analysis</w:t>
      </w:r>
    </w:p>
    <w:p>
      <w:pPr>
        <w:spacing w:after="60" w:before="60"/>
      </w:pPr>
      <w:r>
        <w:rPr>
          <w:rFonts w:ascii="Arial" w:cs="Arial" w:eastAsia="Arial" w:hAnsi="Arial"/>
          <w:color w:val="1F2937"/>
          <w:sz w:val="22"/>
          <w:szCs w:val="22"/>
        </w:rPr>
        <w:t xml:space="preserve">AlphaFold2 has now predicted the 3D structure of virtually every human protein, and ESMFold can predict structures for animal proteins not in the database. Tools like fpocket, DoGSiteScorer, and SiteMap analyse these structures and identify binding pockets — the physical cavities in the protein's shape where a small molecule or peptide could physically bind. A protein with no identifiable binding pocket is essentially undruggable with conventional approaches.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AlphaFold DB</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Full human proteome available free. Animal structures need ESMFold prediction (free API or local GPU).</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Pocket analysis tools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fpocket (free), DoGSiteScorer (free web API), SiteMap (Schrodinger — expensive; avoid in Phase 1)</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Output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Number of pockets, pocket volume, druggability score, pocket coordinates for each candidate</w:t>
            </w:r>
          </w:p>
        </w:tc>
      </w:tr>
    </w:tbl>
    <w:p>
      <w:pPr>
        <w:pStyle w:val="Heading3"/>
        <w:spacing w:after="80" w:before="200"/>
      </w:pPr>
      <w:r>
        <w:rPr>
          <w:rFonts w:ascii="Arial" w:cs="Arial" w:eastAsia="Arial" w:hAnsi="Arial"/>
          <w:b/>
          <w:bCs/>
        </w:rPr>
        <w:t xml:space="preserve">4b. ChEMBL and PDB</w:t>
      </w:r>
    </w:p>
    <w:p>
      <w:pPr>
        <w:spacing w:after="60" w:before="60"/>
      </w:pPr>
      <w:r>
        <w:rPr>
          <w:rFonts w:ascii="Arial" w:cs="Arial" w:eastAsia="Arial" w:hAnsi="Arial"/>
          <w:color w:val="1F2937"/>
          <w:sz w:val="22"/>
          <w:szCs w:val="22"/>
        </w:rPr>
        <w:t xml:space="preserve">ChEMBL is the gold standard database of known drugs, drug candidates, and their targets, compiled from clinical trial data and medicinal chemistry literature. If a candidate gene already has a known drug that hits it, that confirms druggability and opens a drug repurposing angle. If there is already a crystal structure in the Protein Data Bank (PDB) of the protein bound to a compound, druggability is experimentally confirmed.</w:t>
      </w:r>
    </w:p>
    <w:p>
      <w:pPr>
        <w:pStyle w:val="Heading3"/>
        <w:spacing w:after="80" w:before="200"/>
      </w:pPr>
      <w:r>
        <w:rPr>
          <w:rFonts w:ascii="Arial" w:cs="Arial" w:eastAsia="Arial" w:hAnsi="Arial"/>
          <w:b/>
          <w:bCs/>
        </w:rPr>
        <w:t xml:space="preserve">4c. CanSAR</w:t>
      </w:r>
    </w:p>
    <w:p>
      <w:pPr>
        <w:spacing w:after="60" w:before="60"/>
      </w:pPr>
      <w:r>
        <w:rPr>
          <w:rFonts w:ascii="Arial" w:cs="Arial" w:eastAsia="Arial" w:hAnsi="Arial"/>
          <w:color w:val="1F2937"/>
          <w:sz w:val="22"/>
          <w:szCs w:val="22"/>
        </w:rPr>
        <w:t xml:space="preserve">CanSAR, maintained by the Institute of Cancer Research in London, is the most comprehensive public druggability assessment platform available. It integrates structural, chemical, genetic, and biological data to score how druggable a target is. It is freely accessible with registration and should be queried for every candidate.</w:t>
      </w:r>
    </w:p>
    <w:p>
      <w:pPr>
        <w:pStyle w:val="Heading3"/>
        <w:spacing w:after="80" w:before="200"/>
      </w:pPr>
      <w:r>
        <w:rPr>
          <w:rFonts w:ascii="Arial" w:cs="Arial" w:eastAsia="Arial" w:hAnsi="Arial"/>
          <w:b/>
          <w:bCs/>
        </w:rPr>
        <w:t xml:space="preserve">4d. Peptide Tractability — BioResilient's Core Differentiator</w:t>
      </w:r>
    </w:p>
    <w:p>
      <w:pPr>
        <w:spacing w:after="60" w:before="60"/>
      </w:pPr>
      <w:r>
        <w:rPr>
          <w:rFonts w:ascii="Arial" w:cs="Arial" w:eastAsia="Arial" w:hAnsi="Arial"/>
          <w:color w:val="1F2937"/>
          <w:sz w:val="22"/>
          <w:szCs w:val="22"/>
        </w:rPr>
        <w:t xml:space="preserve">The divergent animal protein regions identified in Layer 1 are not only markers of functional difference — they are potential drug templates themselves. The system applies peptide tractability filters directly to these motifs, assessing stability (resistance to protease degradation), predicted membrane permeability (for intracellular targets), immunogenicity prediction (will the human immune system treat this as foreign?), and synthesisability (can it be made at reasonable cost?).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pPr>
            <w:r>
              <w:rPr>
                <w:rFonts w:ascii="Arial" w:cs="Arial" w:eastAsia="Arial" w:hAnsi="Arial"/>
                <w:b/>
                <w:bCs/>
                <w:color w:val="1B3A6B"/>
                <w:sz w:val="20"/>
                <w:szCs w:val="20"/>
              </w:rPr>
              <w:t xml:space="preserve">Key Differentiator</w:t>
            </w:r>
          </w:p>
          <w:p>
            <w:r>
              <w:rPr>
                <w:rFonts w:ascii="Arial" w:cs="Arial" w:eastAsia="Arial" w:hAnsi="Arial"/>
                <w:color w:val="1B3A6B"/>
                <w:sz w:val="21"/>
                <w:szCs w:val="21"/>
              </w:rPr>
              <w:t xml:space="preserve">This is what separates BioResilient from Fauna Bio most concretely. Fauna Bio outputs target genes. BioResilient outputs candidate peptide sequences derived directly from animal protein divergence. These sequences are potentially patentable drug templates, not just research targets.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Peptide stability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Peptide half-life prediction tools (PepCalc, ProtParam —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Membrane permeability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Lipinski parameters, SwissADME (free web tool)</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Immunogenicity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NetMHCpan (free academic tool) — predicts if peptide will trigger immune response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Synthesisability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Length &lt;40 aa, no unusual residues, no disulfide bridges in uncontrolled sequence</w:t>
            </w:r>
          </w:p>
        </w:tc>
      </w:tr>
    </w:tbl>
    <w:p>
      <w:pPr>
        <w:pStyle w:val="Heading2"/>
        <w:spacing w:after="120" w:before="280"/>
      </w:pPr>
      <w:r>
        <w:rPr>
          <w:rFonts w:ascii="Arial" w:cs="Arial" w:eastAsia="Arial" w:hAnsi="Arial"/>
          <w:b/>
          <w:bCs/>
        </w:rPr>
        <w:t xml:space="preserve">Layer 5 — Gene Therapy Suitability</w:t>
      </w:r>
    </w:p>
    <w:p>
      <w:pPr>
        <w:spacing w:after="60" w:before="60"/>
      </w:pPr>
      <w:r>
        <w:rPr>
          <w:rFonts w:ascii="Arial" w:cs="Arial" w:eastAsia="Arial" w:hAnsi="Arial"/>
          <w:color w:val="1F2937"/>
          <w:sz w:val="22"/>
          <w:szCs w:val="22"/>
        </w:rPr>
        <w:t xml:space="preserve">Where a candidate is biologically real but not amenable to a small molecule or peptide drug (e.g. a large structural protein, a transcription factor), gene therapy is increasingly viable. The assessment differs significantly from small molecule druggability.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Criterion</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Detail</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Gene size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AAV vectors carry max ~4.7kb. Genes larger than this cannot be delivered in a single vector. Hard constraint. Checked via NCBI Gene database.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Tissue targeting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AAV serotype tropism (AAV9 for CNS/muscle, AAV8 for liver, AAV2 for retina). The target gene must be in a tissue accessible by an available serotype.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Edit type feasibility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If changing specific residues to match the protective animal variant, assess base editing (single nucleotide changes) vs prime editing (small insertions/deletions) vs CRISPR knock-in. Tools: CRISPOR, Cas-OFFinder (both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Off-target risk</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Guide RNA off-target prediction is mandatory. Cas-OFFinder and CRISPOR both produce off-target site lists. High off-target burden disqualifies a candidate for gene therapy.</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Immunogenicity of payload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If delivering an animal-derived gene sequence, NetMHCpan predicts whether the resulting protein will be recognised as foreign and trigger immune rejection.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pPr>
            <w:r>
              <w:rPr>
                <w:rFonts w:ascii="Arial" w:cs="Arial" w:eastAsia="Arial" w:hAnsi="Arial"/>
                <w:b/>
                <w:bCs/>
                <w:color w:val="1B3A6B"/>
                <w:sz w:val="20"/>
                <w:szCs w:val="20"/>
              </w:rPr>
              <w:t xml:space="preserve">Gene Therapy Priority Flags</w:t>
            </w:r>
          </w:p>
          <w:p>
            <w:r>
              <w:rPr>
                <w:rFonts w:ascii="Arial" w:cs="Arial" w:eastAsia="Arial" w:hAnsi="Arial"/>
                <w:color w:val="1B3A6B"/>
                <w:sz w:val="21"/>
                <w:szCs w:val="21"/>
              </w:rPr>
              <w:t xml:space="preserve">Retinal disease, CNS disorders, and rare monogenic diseases are the most advanced gene therapy indication classes today. Candidates mapping to these tissues with manageable gene sizes and low off-target burden should be flagged as gene therapy priority candidates regardless of small molecule druggability.</w:t>
            </w:r>
          </w:p>
        </w:tc>
      </w:tr>
    </w:tbl>
    <w:p>
      <w:pPr>
        <w:pStyle w:val="Heading2"/>
        <w:spacing w:after="120" w:before="280"/>
      </w:pPr>
      <w:r>
        <w:rPr>
          <w:rFonts w:ascii="Arial" w:cs="Arial" w:eastAsia="Arial" w:hAnsi="Arial"/>
          <w:b/>
          <w:bCs/>
        </w:rPr>
        <w:t xml:space="preserve">Layer 6 — Safety Pre-Screening</w:t>
      </w:r>
    </w:p>
    <w:p>
      <w:pPr>
        <w:spacing w:after="60" w:before="60"/>
      </w:pPr>
      <w:r>
        <w:rPr>
          <w:rFonts w:ascii="Arial" w:cs="Arial" w:eastAsia="Arial" w:hAnsi="Arial"/>
          <w:color w:val="1F2937"/>
          <w:sz w:val="22"/>
          <w:szCs w:val="22"/>
        </w:rPr>
        <w:t xml:space="preserve">No target should reach a wet lab without passing a basic safety filter. These checks are entirely computational and take minutes to run per candidate.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Safety Check</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What It Tests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gnomAD constraint score (pLI)</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Is this gene essential in humans? pLI &gt; 0.9 means humans cannot tolerate it being broken — high caution for modulation.</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PheWAS (Phenome-wide Association)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Is a variant in this gene associated with any dangerous secondary traits (e.g., cancer risk, immune suppression) beyond the disease of interest?</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Protein interaction network centrality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Is this a 'hub' protein with &gt;50 interaction partners? Hub targeting causes widespread off-target effects. Assessed via STRING database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Selectivity risk</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Does the protein belong to a large family (kinases, GPCRs, ion channels)? Off-target binding to family members is a known drug failure mode.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Tissue distribution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Does the protein atlas show expression in sensitive tissues (testes, brain, heart) outside the therapeutic target? Red flag for toxicity.</w:t>
            </w:r>
          </w:p>
        </w:tc>
      </w:tr>
    </w:tbl>
    <w:p>
      <w:pPr>
        <w:pStyle w:val="Heading1"/>
        <w:pageBreakBefore/>
        <w:spacing w:after="160" w:before="400"/>
      </w:pPr>
      <w:r>
        <w:rPr>
          <w:rFonts w:ascii="Arial" w:cs="Arial" w:eastAsia="Arial" w:hAnsi="Arial"/>
          <w:b/>
          <w:bCs/>
        </w:rPr>
        <w:t xml:space="preserve">3. Technical Implementation</w:t>
      </w:r>
    </w:p>
    <w:p>
      <w:pPr>
        <w:pStyle w:val="Heading2"/>
        <w:spacing w:after="120" w:before="280"/>
      </w:pPr>
      <w:r>
        <w:rPr>
          <w:rFonts w:ascii="Arial" w:cs="Arial" w:eastAsia="Arial" w:hAnsi="Arial"/>
          <w:b/>
          <w:bCs/>
        </w:rPr>
        <w:t xml:space="preserve">3.1 Pipeline Architecture</w:t>
      </w:r>
    </w:p>
    <w:p>
      <w:pPr>
        <w:spacing w:after="60" w:before="60"/>
      </w:pPr>
      <w:r>
        <w:rPr>
          <w:rFonts w:ascii="Arial" w:cs="Arial" w:eastAsia="Arial" w:hAnsi="Arial"/>
          <w:color w:val="1F2937"/>
          <w:sz w:val="22"/>
          <w:szCs w:val="22"/>
        </w:rPr>
        <w:t xml:space="preserve">The full system is a modular pipeline where each layer is an independent module that reads from and writes to a central database. Modules can be run sequentially for a single candidate or in parallel for batch processing. The design prioritises reproducibility (every run is logged with parameters and data versions) and auditability (every score can be traced to the data and code that produced it).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after="60"/>
            </w:pPr>
            <w:r>
              <w:rPr>
                <w:rFonts w:ascii="Arial" w:cs="Arial" w:eastAsia="Arial" w:hAnsi="Arial"/>
                <w:b/>
                <w:bCs/>
                <w:color w:val="065F46"/>
                <w:sz w:val="20"/>
                <w:szCs w:val="20"/>
              </w:rPr>
              <w:t xml:space="preserve">Cost Principle</w:t>
            </w:r>
          </w:p>
          <w:p>
            <w:r>
              <w:rPr>
                <w:rFonts w:ascii="Arial" w:cs="Arial" w:eastAsia="Arial" w:hAnsi="Arial"/>
                <w:color w:val="065F46"/>
                <w:sz w:val="21"/>
                <w:szCs w:val="21"/>
              </w:rPr>
              <w:t xml:space="preserve">All bioinformatics tools in this plan are open source and free to use for research. No proprietary commercial platform is required for Phase 1 or Phase 2. Commercial tools (Schrodinger, etc.) are listed only as future options and are explicitly excluded from the cost model.</w:t>
            </w:r>
          </w:p>
        </w:tc>
      </w:tr>
    </w:tbl>
    <w:p>
      <w:pPr>
        <w:pStyle w:val="Heading2"/>
        <w:spacing w:after="120" w:before="280"/>
      </w:pPr>
      <w:r>
        <w:rPr>
          <w:rFonts w:ascii="Arial" w:cs="Arial" w:eastAsia="Arial" w:hAnsi="Arial"/>
          <w:b/>
          <w:bCs/>
        </w:rPr>
        <w:t xml:space="preserve">3.2 Tool Stack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Tools &amp; Libraries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Species data ingestion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NCBI E-utilities API (Python), Biopython, Entrez Direct CLI</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Sequence alignment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MAFFT (fast, free), BLAST+ (similarity search), Clustal Omega</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Ortholog identification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OrthoFinder (gold standard, free), InParanoid for pairwise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Phylogenetic tree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IQ-TREE2 (maximum likelihood tree, free), MUSCLE for tree alignment</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Selection analysis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HyPhy (aBSREL, BUSTED, FEL — free, CLI), PAML (alternative)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Convergence detection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PhyloP scores via UCSC API, TRACCER (Python), custom convergence scripts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Protein structure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AlphaFold DB download (human), ESMFold API (animal proteins,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Binding pocket analysis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fpocket (free, CLI), DoGSiteScorer (free web API)</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Expression analysis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GEOparse (Python, free), DESeq2 (R, free), edgeR (R,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Disease annotation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OpenTargets REST API, GWAS Catalog FTP download, gnomAD API</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Druggability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ChEMBL REST API, PDB REST API, CanSAR API (free, registration needed)</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Mouse phenotype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IMPC REST API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Protein interaction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STRING REST API (free), BioGRID FTP download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Peptide assessment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Biopython ProtParam, custom sliding window, NetMHCpan (academic free)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CRISPR assessment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CRISPOR (free web/CLI), Cas-OFFinder (free CLI)</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Database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PostgreSQL (open source), SQLAlchemy ORM, Alembic migrations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Pipeline orchestration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Nextflow (free) or Apache Airflow (free), Python subprocess wrappers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API layer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FastAPI (Python, free), Uvicorn, Pydantic</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Infrastructure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AWS EC2 (spot instances), S3 for data storage, RDS for PostgreSQL</w:t>
            </w:r>
          </w:p>
        </w:tc>
      </w:tr>
    </w:tbl>
    <w:p>
      <w:pPr>
        <w:pStyle w:val="Heading2"/>
        <w:spacing w:after="120" w:before="280"/>
      </w:pPr>
      <w:r>
        <w:rPr>
          <w:rFonts w:ascii="Arial" w:cs="Arial" w:eastAsia="Arial" w:hAnsi="Arial"/>
          <w:b/>
          <w:bCs/>
        </w:rPr>
        <w:t xml:space="preserve">3.3 Data Flow</w:t>
      </w:r>
    </w:p>
    <w:p>
      <w:pPr>
        <w:spacing w:after="60" w:before="60"/>
      </w:pPr>
      <w:r>
        <w:rPr>
          <w:rFonts w:ascii="Arial" w:cs="Arial" w:eastAsia="Arial" w:hAnsi="Arial"/>
          <w:color w:val="1F2937"/>
          <w:sz w:val="22"/>
          <w:szCs w:val="22"/>
        </w:rPr>
        <w:t xml:space="preserve">Species Registry → Sequence Download (NCBI) → Quality Filter → Ortholog Finding (OrthoFinder) → Multi-sequence Alignment (MAFFT) → Phylogenetic Tree (IQ-TREE) → Selection Analysis (HyPhy) + Convergence Detection → Structure Prediction (ESMFold) → Pocket Analysis (fpocket) → Expression Annotation (GEO) → Disease Bridge (OpenTargets, GWAS, gnomAD, IMPC) → Druggability (ChEMBL, CanSAR, PDB) → Safety Filters (PheWAS, STRING, Protein Atlas) → Peptide Tractability → Gene Therapy Assessment → Composite Score → Ranked Output → API + UI</w:t>
      </w:r>
    </w:p>
    <w:p>
      <w:pPr>
        <w:spacing w:before="80"/>
      </w:pPr>
    </w:p>
    <w:p>
      <w:pPr>
        <w:spacing w:after="60" w:before="60"/>
      </w:pPr>
      <w:r>
        <w:rPr>
          <w:rFonts w:ascii="Arial" w:cs="Arial" w:eastAsia="Arial" w:hAnsi="Arial"/>
          <w:color w:val="1F2937"/>
          <w:sz w:val="22"/>
          <w:szCs w:val="22"/>
        </w:rPr>
        <w:t xml:space="preserve">Every intermediate output is stored in the PostgreSQL database. Re-running with updated data or corrected parameters does not require re-running the entire pipeline — only the affected modules downstream of the change.</w:t>
      </w:r>
    </w:p>
    <w:p>
      <w:pPr>
        <w:pStyle w:val="Heading2"/>
        <w:spacing w:after="120" w:before="280"/>
      </w:pPr>
      <w:r>
        <w:rPr>
          <w:rFonts w:ascii="Arial" w:cs="Arial" w:eastAsia="Arial" w:hAnsi="Arial"/>
          <w:b/>
          <w:bCs/>
        </w:rPr>
        <w:t xml:space="preserve">3.4 Scoring Model</w:t>
      </w:r>
    </w:p>
    <w:p>
      <w:pPr>
        <w:spacing w:after="60" w:before="60"/>
      </w:pPr>
      <w:r>
        <w:rPr>
          <w:rFonts w:ascii="Arial" w:cs="Arial" w:eastAsia="Arial" w:hAnsi="Arial"/>
          <w:color w:val="1F2937"/>
          <w:sz w:val="22"/>
          <w:szCs w:val="22"/>
        </w:rPr>
        <w:t xml:space="preserve">The composite score for each candidate target is a weighted sum across six dimensions. Weights are initial heuristics and must be calibrated against a benchmark set of known validated targets once one is assembled.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Weight (initial)</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Convergence score (how many independent lineages show the change)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25%</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Evolutionary selection signal (dN/dS significance)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20%</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Disease relevance (OpenTargets + GWAS combined)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20%</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Druggability (pocket score + ChEMBL + CanSAR)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15%</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Expression support (differential expression in protective state)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10%</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Safety pre-screen (inverse of risk flags)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10%</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after="60"/>
            </w:pPr>
            <w:r>
              <w:rPr>
                <w:rFonts w:ascii="Arial" w:cs="Arial" w:eastAsia="Arial" w:hAnsi="Arial"/>
                <w:b/>
                <w:bCs/>
                <w:color w:val="991B1B"/>
                <w:sz w:val="20"/>
                <w:szCs w:val="20"/>
              </w:rPr>
              <w:t xml:space="preserve">Calibration Required</w:t>
            </w:r>
          </w:p>
          <w:p>
            <w:r>
              <w:rPr>
                <w:rFonts w:ascii="Arial" w:cs="Arial" w:eastAsia="Arial" w:hAnsi="Arial"/>
                <w:color w:val="991B1B"/>
                <w:sz w:val="21"/>
                <w:szCs w:val="21"/>
              </w:rPr>
              <w:t xml:space="preserve">IMPORTANT: These weights are starting points, not validated parameters. The scoring model must be calibrated against a benchmark set of known targets before any claims of predictive accuracy can be made. This calibration is a required deliverable of Phase 2.</w:t>
            </w:r>
          </w:p>
        </w:tc>
      </w:tr>
    </w:tbl>
    <w:p>
      <w:pPr>
        <w:pStyle w:val="Heading1"/>
        <w:pageBreakBefore/>
        <w:spacing w:after="160" w:before="400"/>
      </w:pPr>
      <w:r>
        <w:rPr>
          <w:rFonts w:ascii="Arial" w:cs="Arial" w:eastAsia="Arial" w:hAnsi="Arial"/>
          <w:b/>
          <w:bCs/>
        </w:rPr>
        <w:t xml:space="preserve">4. Realistic Cost Model</w:t>
      </w:r>
    </w:p>
    <w:p>
      <w:pPr>
        <w:spacing w:after="60" w:before="60"/>
      </w:pPr>
      <w:r>
        <w:rPr>
          <w:rFonts w:ascii="Arial" w:cs="Arial" w:eastAsia="Arial" w:hAnsi="Arial"/>
          <w:color w:val="1F2937"/>
          <w:sz w:val="22"/>
          <w:szCs w:val="22"/>
        </w:rPr>
        <w:t xml:space="preserve">All costs are in USD. The model distinguishes between one-time and recurring costs, and between cash costs and in-kind costs. Ranges reflect uncertainty, not optimism — the higher figure should be budgeted.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r>
              <w:rPr>
                <w:rFonts w:ascii="Arial" w:cs="Arial" w:eastAsia="Arial" w:hAnsi="Arial"/>
                <w:color w:val="065F46"/>
                <w:sz w:val="21"/>
                <w:szCs w:val="21"/>
              </w:rPr>
              <w:t xml:space="preserve">The vast majority of data needed for this platform is free. The primary costs are compute (cloud), engineering time, biological expertise, and wet-lab validation. No commercial data licences are required for Phase 1.</w:t>
            </w:r>
          </w:p>
        </w:tc>
      </w:tr>
    </w:tbl>
    <w:p>
      <w:pPr>
        <w:pStyle w:val="Heading2"/>
        <w:spacing w:after="120" w:before="280"/>
      </w:pPr>
      <w:r>
        <w:rPr>
          <w:rFonts w:ascii="Arial" w:cs="Arial" w:eastAsia="Arial" w:hAnsi="Arial"/>
          <w:b/>
          <w:bCs/>
        </w:rPr>
        <w:t xml:space="preserve">4.1 Year 1 Cost Breakdown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gridCol w:w="2460"/>
      </w:tblGrid>
      <w:tr>
        <w:tc>
          <w:tcPr>
            <w:tcW w:type="dxa" w:w="3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 ($)</w:t>
            </w:r>
          </w:p>
        </w:tc>
        <w:tc>
          <w:tcPr>
            <w:tcW w:type="dxa" w:w="1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High ($)</w:t>
            </w:r>
          </w:p>
        </w:tc>
        <w:tc>
          <w:tcPr>
            <w:tcW w:type="dxa" w:w="24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Cloud Compute (AWS/GCP)</w:t>
            </w:r>
          </w:p>
        </w:tc>
        <w:tc>
          <w:tcPr>
            <w:tcW w:type="dxa" w:w="17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3,000</w:t>
            </w:r>
          </w:p>
        </w:tc>
        <w:tc>
          <w:tcPr>
            <w:tcW w:type="dxa" w:w="17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8,000</w:t>
            </w:r>
          </w:p>
        </w:tc>
        <w:tc>
          <w:tcPr>
            <w:tcW w:type="dxa" w:w="24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Spot EC2 instances. HyPhy, OrthoFinder, ESMFold are compute-intensive but not continuous.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 &amp; Storage (RDS + S3)</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1,200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2,400</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PostgreSQL on RDS t3.medium + S3 for genome files (~500GB).</w:t>
            </w:r>
          </w:p>
        </w:tc>
      </w:tr>
      <w:tr>
        <w:tc>
          <w:tcPr>
            <w:tcW w:type="dxa" w:w="35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Bioinformatics Engineer</w:t>
            </w:r>
          </w:p>
        </w:tc>
        <w:tc>
          <w:tcPr>
            <w:tcW w:type="dxa" w:w="17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7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60,000</w:t>
            </w:r>
          </w:p>
        </w:tc>
        <w:tc>
          <w:tcPr>
            <w:tcW w:type="dxa" w:w="24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If hiring. $0 if founding team covers. Scope: 6 months FTE.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Computational Biology Consultant</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10,000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30,000</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Critical. Needed to validate scientific decisions (species selection, scoring weights, dN/dS interpretation).</w:t>
            </w:r>
          </w:p>
        </w:tc>
      </w:tr>
      <w:tr>
        <w:tc>
          <w:tcPr>
            <w:tcW w:type="dxa" w:w="35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Wet Lab Validation (University)</w:t>
            </w:r>
          </w:p>
        </w:tc>
        <w:tc>
          <w:tcPr>
            <w:tcW w:type="dxa" w:w="17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10,000</w:t>
            </w:r>
          </w:p>
        </w:tc>
        <w:tc>
          <w:tcPr>
            <w:tcW w:type="dxa" w:w="17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30,000</w:t>
            </w:r>
          </w:p>
        </w:tc>
        <w:tc>
          <w:tcPr>
            <w:tcW w:type="dxa" w:w="24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One to two cell assays on top-ranked candidates. University collaboration at cost.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IP / Patent (Provisional)</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3,000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6,000</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One provisional patent application on the most promising candidate motif.</w:t>
            </w:r>
          </w:p>
        </w:tc>
      </w:tr>
      <w:tr>
        <w:tc>
          <w:tcPr>
            <w:tcW w:type="dxa" w:w="35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 Licences</w:t>
            </w:r>
          </w:p>
        </w:tc>
        <w:tc>
          <w:tcPr>
            <w:tcW w:type="dxa" w:w="17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7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246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All required databases are free for research use.</w:t>
            </w:r>
          </w:p>
        </w:tc>
      </w:tr>
      <w:tr>
        <w:tc>
          <w:tcPr>
            <w:tcW w:type="dxa" w:w="3500"/>
            <w:tcBorders>
              <w:top w:val="single" w:color="D1D5DB" w:sz="1"/>
              <w:left w:val="single" w:color="D1D5DB" w:sz="1"/>
              <w:bottom w:val="single" w:color="D1D5DB" w:sz="1"/>
              <w:right w:val="single" w:color="D1D5DB"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TOTAL — Year 1</w:t>
            </w:r>
          </w:p>
        </w:tc>
        <w:tc>
          <w:tcPr>
            <w:tcW w:type="dxa" w:w="1700"/>
            <w:tcBorders>
              <w:top w:val="single" w:color="D1D5DB" w:sz="1"/>
              <w:left w:val="single" w:color="D1D5DB" w:sz="1"/>
              <w:bottom w:val="single" w:color="D1D5DB" w:sz="1"/>
              <w:right w:val="single" w:color="D1D5DB"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27,200</w:t>
            </w:r>
          </w:p>
        </w:tc>
        <w:tc>
          <w:tcPr>
            <w:tcW w:type="dxa" w:w="1700"/>
            <w:tcBorders>
              <w:top w:val="single" w:color="D1D5DB" w:sz="1"/>
              <w:left w:val="single" w:color="D1D5DB" w:sz="1"/>
              <w:bottom w:val="single" w:color="D1D5DB" w:sz="1"/>
              <w:right w:val="single" w:color="D1D5DB"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136,400</w:t>
            </w:r>
          </w:p>
        </w:tc>
        <w:tc>
          <w:tcPr>
            <w:tcW w:type="dxa" w:w="2460"/>
            <w:tcBorders>
              <w:top w:val="single" w:color="D1D5DB" w:sz="1"/>
              <w:left w:val="single" w:color="D1D5DB" w:sz="1"/>
              <w:bottom w:val="single" w:color="D1D5DB" w:sz="1"/>
              <w:right w:val="single" w:color="D1D5DB"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Budget the high figure. The wide range reflects team composition uncertainty.</w:t>
            </w:r>
          </w:p>
        </w:tc>
      </w:tr>
    </w:tbl>
    <w:p>
      <w:pPr>
        <w:pStyle w:val="Heading2"/>
        <w:spacing w:after="120" w:before="280"/>
      </w:pPr>
      <w:r>
        <w:rPr>
          <w:rFonts w:ascii="Arial" w:cs="Arial" w:eastAsia="Arial" w:hAnsi="Arial"/>
          <w:b/>
          <w:bCs/>
        </w:rPr>
        <w:t xml:space="preserve">4.2 Compute Cost Detail</w:t>
      </w:r>
    </w:p>
    <w:p>
      <w:pPr>
        <w:spacing w:after="60" w:before="60"/>
      </w:pPr>
      <w:r>
        <w:rPr>
          <w:rFonts w:ascii="Arial" w:cs="Arial" w:eastAsia="Arial" w:hAnsi="Arial"/>
          <w:color w:val="1F2937"/>
          <w:sz w:val="22"/>
          <w:szCs w:val="22"/>
        </w:rPr>
        <w:t xml:space="preserve">The most compute-intensive steps are OrthoFinder (ortholog finding across 15+ species), IQ-TREE (phylogenetic tree building), HyPhy selection analysis, and ESMFold structure prediction for animal proteins not in the AlphaFold database.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Estimated Compute Time (15 species, full run)</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OrthoFinder (ortholog finding)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4–8 hours on c5.4xlarge (16 cores, $0.68/hr)</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IQ-TREE (phylogenetic tree)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1–2 hours on same instance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HyPhy (all genes, aBSREL model)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6–12 hours on same instance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ESMFold (1000 animal proteins)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2–4 hours on GPU instance (g4dn.xlarge, $0.53/hr)</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fpocket (pocket analysis, 1000 structures)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1–2 hours on CPU instance</w:t>
            </w:r>
          </w:p>
        </w:tc>
      </w:tr>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Estimated cost per full pipeline run</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$15–$40</w:t>
            </w:r>
          </w:p>
        </w:tc>
      </w:tr>
    </w:tbl>
    <w:p>
      <w:pPr>
        <w:spacing w:before="60"/>
      </w:pPr>
    </w:p>
    <w:p>
      <w:pPr>
        <w:spacing w:after="60" w:before="60"/>
      </w:pPr>
      <w:r>
        <w:rPr>
          <w:rFonts w:ascii="Arial" w:cs="Arial" w:eastAsia="Arial" w:hAnsi="Arial"/>
          <w:color w:val="1F2937"/>
          <w:sz w:val="22"/>
          <w:szCs w:val="22"/>
        </w:rPr>
        <w:t xml:space="preserve">Running the full pipeline 10 times during development (with different species sets, parameter variations, debugging) costs approximately $150–$400 in cloud compute. This is negligible.</w:t>
      </w:r>
    </w:p>
    <w:p>
      <w:pPr>
        <w:pStyle w:val="Heading2"/>
        <w:spacing w:after="120" w:before="280"/>
      </w:pPr>
      <w:r>
        <w:rPr>
          <w:rFonts w:ascii="Arial" w:cs="Arial" w:eastAsia="Arial" w:hAnsi="Arial"/>
          <w:b/>
          <w:bCs/>
        </w:rPr>
        <w:t xml:space="preserve">4.3 What is Free</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NCBI GenBank, RefSeq, UniProt, Ensembl — all genome and protein sequence data</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OrthoFinder, MAFFT, BLAST+, IQ-TREE2, HyPhy, PAML — all bioinformatics tools</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AlphaFold Database (human proteome) — full download available</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ESMFold API — free for protein structure prediction</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OpenTargets REST API — no rate limits for research</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GWAS Catalog, gnomAD, GTEx, Human Protein Atlas — all free download or API</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ChEMBL REST API, PDB REST API — free</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IMPC REST API — free</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STRING REST API, BioGRID — free for academic/research</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CRISPOR, Cas-OFFinder, NetMHCpan — free for academic use</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CanSAR — free with registration (ICR)</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GEO, ArrayExpress — all expression data free download</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PhyloP, PhastCons scores via UCSC Genome Browser — free</w:t>
      </w:r>
    </w:p>
    <w:p>
      <w:pPr>
        <w:pStyle w:val="Heading2"/>
        <w:spacing w:after="120" w:before="280"/>
      </w:pPr>
      <w:r>
        <w:rPr>
          <w:rFonts w:ascii="Arial" w:cs="Arial" w:eastAsia="Arial" w:hAnsi="Arial"/>
          <w:b/>
          <w:bCs/>
        </w:rPr>
        <w:t xml:space="preserve">4.4 What is NOT Free and Realistic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Cost</w:t>
            </w:r>
          </w:p>
        </w:tc>
      </w:tr>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Epigenomics data (methylation, ATAC-seq) for exotic species</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Requires wet-lab: $5k–20k per species</w:t>
            </w:r>
          </w:p>
        </w:tc>
      </w:tr>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Schrodinger suite (advanced pocket analysis)</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$50k–200k/year</w:t>
            </w:r>
          </w:p>
        </w:tc>
      </w:tr>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Proprietary expression databases</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$20k–100k/year</w:t>
            </w:r>
          </w:p>
        </w:tc>
      </w:tr>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High-quality animal genome sequencing (new species)</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$3k–10k per species</w:t>
            </w:r>
          </w:p>
        </w:tc>
      </w:tr>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Large-scale wet lab validation</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$50k–500k+</w:t>
            </w:r>
          </w:p>
        </w:tc>
      </w:tr>
    </w:tbl>
    <w:p>
      <w:pPr>
        <w:pStyle w:val="Heading1"/>
        <w:pageBreakBefore/>
        <w:spacing w:after="160" w:before="400"/>
      </w:pPr>
      <w:r>
        <w:rPr>
          <w:rFonts w:ascii="Arial" w:cs="Arial" w:eastAsia="Arial" w:hAnsi="Arial"/>
          <w:b/>
          <w:bCs/>
        </w:rPr>
        <w:t xml:space="preserve">5. Data Gaps and Honest Limitations</w:t>
      </w:r>
    </w:p>
    <w:p>
      <w:pPr>
        <w:spacing w:after="60" w:before="60"/>
      </w:pPr>
      <w:r>
        <w:rPr>
          <w:rFonts w:ascii="Arial" w:cs="Arial" w:eastAsia="Arial" w:hAnsi="Arial"/>
          <w:color w:val="1F2937"/>
          <w:sz w:val="22"/>
          <w:szCs w:val="22"/>
        </w:rPr>
        <w:t xml:space="preserve">This section exists because the plan must reflect reality, not aspiration. Every gap listed here is real, known in advance, and will affect the quality of results if not addressed. Mitigation strategies are provided where they exist.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Impact on Results</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Species breadth (current POC: 2–3 species)</w:t>
            </w:r>
          </w:p>
        </w:tc>
        <w:tc>
          <w:tcPr>
            <w:tcW w:type="dxa" w:w="1200"/>
            <w:tcBorders>
              <w:top w:val="single" w:color="D1D5DB" w:sz="1"/>
              <w:left w:val="single" w:color="D1D5DB" w:sz="1"/>
              <w:bottom w:val="single" w:color="D1D5DB" w:sz="1"/>
              <w:right w:val="single" w:color="D1D5DB"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Convergence signal is statistically meaningless with fewer than 8–10 species across independent lineages. Current outputs cannot support evolutionary selection claims.</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Expand to 15–20 species in Phase 1 using only well-annotated public genomes. No new sequencing needed.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evolutionary selection testing yet</w:t>
            </w:r>
          </w:p>
        </w:tc>
        <w:tc>
          <w:tcPr>
            <w:tcW w:type="dxa" w:w="1200"/>
            <w:tcBorders>
              <w:top w:val="single" w:color="D1D5DB" w:sz="1"/>
              <w:left w:val="single" w:color="D1D5DB" w:sz="1"/>
              <w:bottom w:val="single" w:color="D1D5DB" w:sz="1"/>
              <w:right w:val="single" w:color="D1D5DB"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Current scoring uses sequence divergence as a proxy for selection. This conflates genuine selection with neutral drift. Many false positives expected.</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Implement HyPhy in Phase 1. Requires phylogenetic tree first (IQ-TREE). 2–3 weeks of engineering.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Scoring model not calibrated</w:t>
            </w:r>
          </w:p>
        </w:tc>
        <w:tc>
          <w:tcPr>
            <w:tcW w:type="dxa" w:w="120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composite score weights are arbitrary starting points. Without calibration against known validated targets, the ranking is informed but not validated.</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Assemble a benchmark set of 20–30 known animal-derived drug targets. Calibrate weights against recall of known positives. Phase 2 deliverable.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Expression data sparse for exotic species</w:t>
            </w:r>
          </w:p>
        </w:tc>
        <w:tc>
          <w:tcPr>
            <w:tcW w:type="dxa" w:w="120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Of the most biologically interesting species (axolotl, bowhead whale, Greenland shark), public transcriptomics data is limited. Expression support scores will be weak or absent for many.</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Prioritise species with rich GEO datasets for Phase 1. Flag missing expression data explicitly in outputs rather than assuming it is absent evidence.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Epigenomics data nearly absent</w:t>
            </w:r>
          </w:p>
        </w:tc>
        <w:tc>
          <w:tcPr>
            <w:tcW w:type="dxa" w:w="1200"/>
            <w:tcBorders>
              <w:top w:val="single" w:color="D1D5DB" w:sz="1"/>
              <w:left w:val="single" w:color="D1D5DB" w:sz="1"/>
              <w:bottom w:val="single" w:color="D1D5DB" w:sz="1"/>
              <w:right w:val="single" w:color="D1D5DB" w:sz="1"/>
            </w:tcBorders>
            <w:shd w:fill="1A7F74"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epigenetic layer (methylation, chromatin accessibility) is scientifically important but almost no public data exists for non-model protective species.</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Designate as Phase 2. Requires wet-lab collection or academic partnerships with labs actively studying these species.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wet-lab validation yet</w:t>
            </w:r>
          </w:p>
        </w:tc>
        <w:tc>
          <w:tcPr>
            <w:tcW w:type="dxa" w:w="1200"/>
            <w:tcBorders>
              <w:top w:val="single" w:color="D1D5DB" w:sz="1"/>
              <w:left w:val="single" w:color="D1D5DB" w:sz="1"/>
              <w:bottom w:val="single" w:color="D1D5DB" w:sz="1"/>
              <w:right w:val="single" w:color="D1D5DB" w:sz="1"/>
            </w:tcBorders>
            <w:shd w:fill="1A7F74"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Computational predictions without any experimental confirmation are hypotheses, not results. Investors and partners will require at least one validated prediction.</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Identify one university biology lab for collaboration in Phase 2. Target one top-ranked candidate for a cell-based assay.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IP structure undefined</w:t>
            </w:r>
          </w:p>
        </w:tc>
        <w:tc>
          <w:tcPr>
            <w:tcW w:type="dxa" w:w="1200"/>
            <w:tcBorders>
              <w:top w:val="single" w:color="D1D5DB" w:sz="1"/>
              <w:left w:val="single" w:color="D1D5DB" w:sz="1"/>
              <w:bottom w:val="single" w:color="D1D5DB" w:sz="1"/>
              <w:right w:val="single" w:color="D1D5DB" w:sz="1"/>
            </w:tcBorders>
            <w:shd w:fill="1A7F74"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Before showing outputs to any external party, legal clarity is needed on who owns discovered sequences and whether the methodology and outputs are patentable.</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File at least one provisional patent application on the most promising peptide motif before any external disclosure. Define ownership agreements if multiple founders involved.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Animal ortholog structure availability</w:t>
            </w:r>
          </w:p>
        </w:tc>
        <w:tc>
          <w:tcPr>
            <w:tcW w:type="dxa" w:w="1200"/>
            <w:tcBorders>
              <w:top w:val="single" w:color="D1D5DB" w:sz="1"/>
              <w:left w:val="single" w:color="D1D5DB" w:sz="1"/>
              <w:bottom w:val="single" w:color="D1D5DB" w:sz="1"/>
              <w:right w:val="single" w:color="D1D5DB" w:sz="1"/>
            </w:tcBorders>
            <w:shd w:fill="1A7F74"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AlphaFold DB covers human proteins well. Animal protein structures need ESMFold prediction, which is slower and less accurate for distant species.</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ESMFold is adequate for Phase 1. Flag lower confidence predictions. Phase 2 can add experimental structure validation for top candidates.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dN/dS slow at scale</w:t>
            </w:r>
          </w:p>
        </w:tc>
        <w:tc>
          <w:tcPr>
            <w:tcW w:type="dxa" w:w="1200"/>
            <w:tcBorders>
              <w:top w:val="single" w:color="D1D5DB" w:sz="1"/>
              <w:left w:val="single" w:color="D1D5DB" w:sz="1"/>
              <w:bottom w:val="single" w:color="D1D5DB" w:sz="1"/>
              <w:right w:val="single" w:color="D1D5DB" w:sz="1"/>
            </w:tcBorders>
            <w:shd w:fill="1A7F74"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HyPhy aBSREL model is computationally intensive for large gene sets. Running on all human orthologs across 15 species will take days of compute.</w:t>
            </w:r>
          </w:p>
        </w:tc>
        <w:tc>
          <w:tcPr>
            <w:tcW w:type="dxa" w:w="24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Run selection analysis only on candidates that clear Layer 1 divergence threshold. Do not run on the full proteome.</w:t>
            </w:r>
          </w:p>
        </w:tc>
      </w:tr>
    </w:tbl>
    <w:p>
      <w:pPr>
        <w:pStyle w:val="Heading1"/>
        <w:pageBreakBefore/>
        <w:spacing w:after="160" w:before="400"/>
      </w:pPr>
      <w:r>
        <w:rPr>
          <w:rFonts w:ascii="Arial" w:cs="Arial" w:eastAsia="Arial" w:hAnsi="Arial"/>
          <w:b/>
          <w:bCs/>
        </w:rPr>
        <w:t xml:space="preserve">6. Build Phases</w:t>
      </w:r>
    </w:p>
    <w:p>
      <w:pPr>
        <w:spacing w:after="60" w:before="60"/>
      </w:pPr>
      <w:r>
        <w:rPr>
          <w:rFonts w:ascii="Arial" w:cs="Arial" w:eastAsia="Arial" w:hAnsi="Arial"/>
          <w:color w:val="1F2937"/>
          <w:sz w:val="22"/>
          <w:szCs w:val="22"/>
        </w:rPr>
        <w:t xml:space="preserve">The build is structured in four phases over 12 months. Each phase has defined deliverables and clear entry/exit criteria. No phase should be considered complete until its deliverables are in hand, not just in progress.</w:t>
      </w:r>
    </w:p>
    <w:p>
      <w:pPr>
        <w:pStyle w:val="Heading2"/>
        <w:spacing w:after="120" w:before="280"/>
      </w:pPr>
      <w:r>
        <w:rPr>
          <w:rFonts w:ascii="Arial" w:cs="Arial" w:eastAsia="Arial" w:hAnsi="Arial"/>
          <w:b/>
          <w:bCs/>
        </w:rPr>
        <w:t xml:space="preserve">Phase 1 —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r>
              <w:rPr>
                <w:rFonts w:ascii="Arial" w:cs="Arial" w:eastAsia="Arial" w:hAnsi="Arial"/>
                <w:color w:val="1B3A6B"/>
                <w:sz w:val="21"/>
                <w:szCs w:val="21"/>
              </w:rPr>
              <w:t xml:space="preserve">Goal: A scientifically defensible pipeline running on 15+ species, producing ranked candidates with Layer 1 (sequence + expression) and Layer 2 (selection + convergence) scores. No disease annotation yet, no wet lab.</w:t>
            </w:r>
          </w:p>
        </w:tc>
      </w:tr>
    </w:tbl>
    <w:p>
      <w:pPr>
        <w:spacing w:before="80"/>
      </w:pPr>
    </w:p>
    <w:p>
      <w:pPr>
        <w:pStyle w:val="ListParagraph"/>
        <w:numPr>
          <w:ilvl w:val="0"/>
          <w:numId w:val="2"/>
        </w:numPr>
        <w:spacing w:after="40" w:before="40"/>
        <w:ind w:left="720" w:hanging="360"/>
      </w:pPr>
      <w:r>
        <w:rPr>
          <w:rFonts w:ascii="Arial" w:cs="Arial" w:eastAsia="Arial" w:hAnsi="Arial"/>
          <w:b/>
          <w:bCs/>
          <w:color w:val="1F2937"/>
          <w:sz w:val="22"/>
          <w:szCs w:val="22"/>
        </w:rPr>
        <w:t xml:space="preserve">Audit existing POC code. Determine what is production-quality and what needs to be rebuilt.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Expand species registry to 15–20 species. Criteria: well-annotated public genome assembly, documented protective phenotype, GEO expression data available.</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Implement OrthoFinder for ortholog identification across all species (replaces BLAST-only approach).</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Implement IQ-TREE for phylogenetic tree construction (required for HyPhy).</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Implement HyPhy aBSREL for positive selection testing on candidate gene set.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Implement convergence detection using PhyloP scores and custom multi-lineage comparison.</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Integrate public expression data from GEO for the top 8–10 species with available datasets.</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Re-run full pipeline on expanded species set. Document all outputs with data provenance.</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Set up PostgreSQL database on AWS RDS. Migrate all outputs from POC.</w:t>
      </w:r>
    </w:p>
    <w:p>
      <w:pPr>
        <w:spacing w:before="60"/>
      </w:pPr>
    </w:p>
    <w:p>
      <w:pPr>
        <w:spacing w:after="60" w:before="60"/>
      </w:pPr>
      <w:r>
        <w:rPr>
          <w:rFonts w:ascii="Arial" w:cs="Arial" w:eastAsia="Arial" w:hAnsi="Arial"/>
          <w:color w:val="1F2937"/>
          <w:sz w:val="22"/>
          <w:szCs w:val="22"/>
        </w:rPr>
        <w:t xml:space="preserve">Exit criteria: Pipeline runs end-to-end on 15+ species without manual intervention. Outputs include dN/dS significance values, convergence counts, and expression support scores for all candidates.</w:t>
      </w:r>
    </w:p>
    <w:p>
      <w:pPr>
        <w:pStyle w:val="Heading2"/>
        <w:spacing w:after="120" w:before="280"/>
      </w:pPr>
      <w:r>
        <w:rPr>
          <w:rFonts w:ascii="Arial" w:cs="Arial" w:eastAsia="Arial" w:hAnsi="Arial"/>
          <w:b/>
          <w:bCs/>
        </w:rPr>
        <w:t xml:space="preserve">Phase 2 — Disease Translation and Scoring Calibration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r>
              <w:rPr>
                <w:rFonts w:ascii="Arial" w:cs="Arial" w:eastAsia="Arial" w:hAnsi="Arial"/>
                <w:color w:val="1B3A6B"/>
                <w:sz w:val="21"/>
                <w:szCs w:val="21"/>
              </w:rPr>
              <w:t xml:space="preserve">Goal: Full six-layer scoring pipeline operational. Disease-annotated, druggability-assessed, safety-filtered candidate list produced and ranked. Scoring model calibrated against benchmark.</w:t>
            </w:r>
          </w:p>
        </w:tc>
      </w:tr>
    </w:tbl>
    <w:p>
      <w:pPr>
        <w:spacing w:before="80"/>
      </w:pPr>
    </w:p>
    <w:p>
      <w:pPr>
        <w:pStyle w:val="ListParagraph"/>
        <w:numPr>
          <w:ilvl w:val="0"/>
          <w:numId w:val="2"/>
        </w:numPr>
        <w:spacing w:after="40" w:before="40"/>
        <w:ind w:left="720" w:hanging="360"/>
      </w:pPr>
      <w:r>
        <w:rPr>
          <w:rFonts w:ascii="Arial" w:cs="Arial" w:eastAsia="Arial" w:hAnsi="Arial"/>
          <w:b/>
          <w:bCs/>
          <w:color w:val="1F2937"/>
          <w:sz w:val="22"/>
          <w:szCs w:val="22"/>
        </w:rPr>
        <w:t xml:space="preserve">Implement Layer 3: OpenTargets, GWAS Catalog, gnomAD, IMPC, Human Protein Atlas integrations.</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Implement Layer 4: AlphaFold structure download, ESMFold for animal proteins, fpocket pocket analysis, ChEMBL and CanSAR API integration.</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Implement Layer 5: Gene therapy suitability scoring (gene size check, tissue tropism match, CRISPOR off-target analysis).</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Implement Layer 6: Safety pre-screening (PheWAS, STRING network centrality, selectivity risk).</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Implement peptide tractability scoring on all Layer 1 divergent motifs.</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Assemble benchmark set of 20–30 known validated targets derived from animal biology. Calibrate composite score weights against recall of these knowns.</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Produce first full ranked candidate list with all six layers. Review with computational biology consultant.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Build basic API (FastAPI) exposing candidate search and scoring endpoints.</w:t>
      </w:r>
    </w:p>
    <w:p>
      <w:pPr>
        <w:spacing w:before="60"/>
      </w:pPr>
    </w:p>
    <w:p>
      <w:pPr>
        <w:spacing w:after="60" w:before="60"/>
      </w:pPr>
      <w:r>
        <w:rPr>
          <w:rFonts w:ascii="Arial" w:cs="Arial" w:eastAsia="Arial" w:hAnsi="Arial"/>
          <w:color w:val="1F2937"/>
          <w:sz w:val="22"/>
          <w:szCs w:val="22"/>
        </w:rPr>
        <w:t xml:space="preserve">Exit criteria: Full six-layer scoring operational. Benchmark calibration complete with documented recall rate. Top 20 candidates shortlisted with all scores and data lineage.</w:t>
      </w:r>
    </w:p>
    <w:p>
      <w:pPr>
        <w:pStyle w:val="Heading2"/>
        <w:spacing w:after="120" w:before="280"/>
      </w:pPr>
      <w:r>
        <w:rPr>
          <w:rFonts w:ascii="Arial" w:cs="Arial" w:eastAsia="Arial" w:hAnsi="Arial"/>
          <w:b/>
          <w:bCs/>
        </w:rPr>
        <w:t xml:space="preserve">Phase 3 — Target Prioritisation and IP (Months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r>
              <w:rPr>
                <w:rFonts w:ascii="Arial" w:cs="Arial" w:eastAsia="Arial" w:hAnsi="Arial"/>
                <w:color w:val="1B3A6B"/>
                <w:sz w:val="21"/>
                <w:szCs w:val="21"/>
              </w:rPr>
              <w:t xml:space="preserve">Goal: Select 3–5 lead candidates for wet-lab validation. File provisional patent on the strongest peptide motif. Establish wet-lab collaboration agreement.</w:t>
            </w:r>
          </w:p>
        </w:tc>
      </w:tr>
    </w:tbl>
    <w:p>
      <w:pPr>
        <w:spacing w:before="80"/>
      </w:pPr>
    </w:p>
    <w:p>
      <w:pPr>
        <w:pStyle w:val="ListParagraph"/>
        <w:numPr>
          <w:ilvl w:val="0"/>
          <w:numId w:val="2"/>
        </w:numPr>
        <w:spacing w:after="40" w:before="40"/>
        <w:ind w:left="720" w:hanging="360"/>
      </w:pPr>
      <w:r>
        <w:rPr>
          <w:rFonts w:ascii="Arial" w:cs="Arial" w:eastAsia="Arial" w:hAnsi="Arial"/>
          <w:b/>
          <w:bCs/>
          <w:color w:val="1F2937"/>
          <w:sz w:val="22"/>
          <w:szCs w:val="22"/>
        </w:rPr>
        <w:t xml:space="preserve">Deep-dive review of top 20 candidates with biologist and computational biology consultant.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Select 3–5 candidates for wet-lab validation based on: convergence score, druggability, expression support, disease relevance, and commercial potential of the disease area.</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File provisional patent application on the highest-ranked novel peptide motif. Conduct prior art search first.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Identify and approach 2–3 university biology labs with relevant expertise. Define collaboration terms (who does what, who owns what).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Begin epigenomics data exploration: identify any public datasets available for target species, assess feasibility of wet-lab epigenomics collection.</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Build front-end candidate explorer UI (simple React or Vue application consuming the FastAPI).</w:t>
      </w:r>
    </w:p>
    <w:p>
      <w:pPr>
        <w:spacing w:before="60"/>
      </w:pPr>
    </w:p>
    <w:p>
      <w:pPr>
        <w:spacing w:after="60" w:before="60"/>
      </w:pPr>
      <w:r>
        <w:rPr>
          <w:rFonts w:ascii="Arial" w:cs="Arial" w:eastAsia="Arial" w:hAnsi="Arial"/>
          <w:color w:val="1F2937"/>
          <w:sz w:val="22"/>
          <w:szCs w:val="22"/>
        </w:rPr>
        <w:t xml:space="preserve">Exit criteria: Provisional patent filed. Wet-lab collaboration agreement signed. 3–5 candidates handed to wet-lab partner for cell-based assay.</w:t>
      </w:r>
    </w:p>
    <w:p>
      <w:pPr>
        <w:pStyle w:val="Heading2"/>
        <w:spacing w:after="120" w:before="280"/>
      </w:pPr>
      <w:r>
        <w:rPr>
          <w:rFonts w:ascii="Arial" w:cs="Arial" w:eastAsia="Arial" w:hAnsi="Arial"/>
          <w:b/>
          <w:bCs/>
        </w:rPr>
        <w:t xml:space="preserve">Phase 4 — Validation and Commercial Positioning (Months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r>
              <w:rPr>
                <w:rFonts w:ascii="Arial" w:cs="Arial" w:eastAsia="Arial" w:hAnsi="Arial"/>
                <w:color w:val="1B3A6B"/>
                <w:sz w:val="21"/>
                <w:szCs w:val="21"/>
              </w:rPr>
              <w:t xml:space="preserve">Goal: First wet-lab result in hand, even if small. Prepare data package for investor or partner conversations. Do not raise or partner before having this.</w:t>
            </w:r>
          </w:p>
        </w:tc>
      </w:tr>
    </w:tbl>
    <w:p>
      <w:pPr>
        <w:spacing w:before="80"/>
      </w:pPr>
    </w:p>
    <w:p>
      <w:pPr>
        <w:pStyle w:val="ListParagraph"/>
        <w:numPr>
          <w:ilvl w:val="0"/>
          <w:numId w:val="2"/>
        </w:numPr>
        <w:spacing w:after="40" w:before="40"/>
        <w:ind w:left="720" w:hanging="360"/>
      </w:pPr>
      <w:r>
        <w:rPr>
          <w:rFonts w:ascii="Arial" w:cs="Arial" w:eastAsia="Arial" w:hAnsi="Arial"/>
          <w:b/>
          <w:bCs/>
          <w:color w:val="1F2937"/>
          <w:sz w:val="22"/>
          <w:szCs w:val="22"/>
        </w:rPr>
        <w:t xml:space="preserve">Wet-lab assay results returned from university partner. Interpret with biologist.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If positive: document result, update patent filing, prepare data package. This is now a fundable result.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If negative: perform failure analysis. Was the model wrong about the biology, or was the assay design suboptimal? Distinguish between a failed prediction and a failed experiment.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Expand pipeline to second species cohort with different protective phenotypes (if first cohort was longevity-focused, add regeneration or cancer resistance species).</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Prepare investor / partner data package: method overview, candidate shortlist, scoring rationale, wet-lab result, IP status, commercial roadmap.</w:t>
      </w:r>
    </w:p>
    <w:p>
      <w:pPr>
        <w:spacing w:before="60"/>
      </w:pPr>
    </w:p>
    <w:p>
      <w:pPr>
        <w:spacing w:after="60" w:before="60"/>
      </w:pPr>
      <w:r>
        <w:rPr>
          <w:rFonts w:ascii="Arial" w:cs="Arial" w:eastAsia="Arial" w:hAnsi="Arial"/>
          <w:color w:val="1F2937"/>
          <w:sz w:val="22"/>
          <w:szCs w:val="22"/>
        </w:rPr>
        <w:t xml:space="preserve">Exit criteria: At least one wet-lab result, regardless of direction. Data package complete and reviewed. IP protected for disclosed candidates.</w:t>
      </w:r>
    </w:p>
    <w:p>
      <w:pPr>
        <w:pStyle w:val="Heading1"/>
        <w:pageBreakBefore/>
        <w:spacing w:after="160" w:before="400"/>
      </w:pPr>
      <w:r>
        <w:rPr>
          <w:rFonts w:ascii="Arial" w:cs="Arial" w:eastAsia="Arial" w:hAnsi="Arial"/>
          <w:b/>
          <w:bCs/>
        </w:rPr>
        <w:t xml:space="preserve">7. Species Selection Guidance</w:t>
      </w:r>
    </w:p>
    <w:p>
      <w:pPr>
        <w:spacing w:after="60" w:before="60"/>
      </w:pPr>
      <w:r>
        <w:rPr>
          <w:rFonts w:ascii="Arial" w:cs="Arial" w:eastAsia="Arial" w:hAnsi="Arial"/>
          <w:color w:val="1F2937"/>
          <w:sz w:val="22"/>
          <w:szCs w:val="22"/>
        </w:rPr>
        <w:t xml:space="preserve">Species must be chosen based on three criteria: documented protective phenotype directly relevant to human disease, high-quality publicly available genome assembly, and available transcriptomics data in GEO or ArrayExpress. The following list meets all three criteria and should form the Phase 1 species set.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Species</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color w:val="FFFFFF"/>
                <w:sz w:val="21"/>
                <w:szCs w:val="21"/>
              </w:rPr>
              <w:t xml:space="preserve">Protective Phenotype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Naked mole rat (Heterocephalus glaber)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Cancer resistance, extreme longevity, pain insensitivity</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Bowhead whale (Balaena mysticetus)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200-year lifespan, cancer resistance, large body without proportionate cancer risk</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Axolotl (Ambystoma mexicanum)</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Complete limb and cardiac tissue regeneration</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Hibernating ground squirrel (Ictidomys tridecemlineatus)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Cardiac and metabolic protection during torpor, ischaemia resistance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Little brown bat (Myotis lucifugus)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Viral resistance, longevity relative to body size, cancer resistance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Damaraland mole rat (Fukomys damarensis)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Longevity, cancer resistance (independent of naked mole rat lineage)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Greenland shark (Somniosus microcephalus)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400+ year lifespan (genome now available)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African elephant (Loxodonta africana)</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TP53 gene duplication — cancer resistance at large body size (Peto's paradox)</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Gray mouse lemur (Microcebus murinus)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Primate hibernator — closest evolutionary relative to humans that hibernates</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Spiny mouse (Acomys cahirinus)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Skin and ear tissue regeneration without scarring</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Whales (multiple cetaceans)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Lifespan, cardiovascular adaptation, cancer resistance at large scale</w:t>
            </w:r>
          </w:p>
        </w:tc>
      </w:tr>
      <w:tr>
        <w:tc>
          <w:tcPr>
            <w:tcW w:type="dxa" w:w="4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B3A6B"/>
                <w:sz w:val="21"/>
                <w:szCs w:val="21"/>
              </w:rPr>
              <w:t xml:space="preserve">Rockfish (Sebastes spp.)</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Extreme longevity (200+ years), recent genomic studies available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pPr>
            <w:r>
              <w:rPr>
                <w:rFonts w:ascii="Arial" w:cs="Arial" w:eastAsia="Arial" w:hAnsi="Arial"/>
                <w:b/>
                <w:bCs/>
                <w:color w:val="1B3A6B"/>
                <w:sz w:val="20"/>
                <w:szCs w:val="20"/>
              </w:rPr>
              <w:t xml:space="preserve">Priority Guidance</w:t>
            </w:r>
          </w:p>
          <w:p>
            <w:r>
              <w:rPr>
                <w:rFonts w:ascii="Arial" w:cs="Arial" w:eastAsia="Arial" w:hAnsi="Arial"/>
                <w:color w:val="1B3A6B"/>
                <w:sz w:val="21"/>
                <w:szCs w:val="21"/>
              </w:rPr>
              <w:t xml:space="preserve">Prioritise species where the protective phenotype maps to commercially important human diseases: heart failure, cancer, neurodegeneration, and metabolic disease. Bowhead whale + ground squirrel + naked mole rat form the highest-priority initial trio.</w:t>
            </w:r>
          </w:p>
        </w:tc>
      </w:tr>
    </w:tbl>
    <w:p>
      <w:pPr>
        <w:pStyle w:val="Heading1"/>
        <w:pageBreakBefore/>
        <w:spacing w:after="160" w:before="400"/>
      </w:pPr>
      <w:r>
        <w:rPr>
          <w:rFonts w:ascii="Arial" w:cs="Arial" w:eastAsia="Arial" w:hAnsi="Arial"/>
          <w:b/>
          <w:bCs/>
        </w:rPr>
        <w:t xml:space="preserve">8. What This Plan Does Not Solve</w:t>
      </w:r>
    </w:p>
    <w:p>
      <w:pPr>
        <w:spacing w:after="60" w:before="60"/>
      </w:pPr>
      <w:r>
        <w:rPr>
          <w:rFonts w:ascii="Arial" w:cs="Arial" w:eastAsia="Arial" w:hAnsi="Arial"/>
          <w:color w:val="1F2937"/>
          <w:sz w:val="22"/>
          <w:szCs w:val="22"/>
        </w:rPr>
        <w:t xml:space="preserve">In the interest of realism, the following are outside the scope of this plan and must be addressed separately.</w:t>
      </w:r>
    </w:p>
    <w:p>
      <w:pPr>
        <w:spacing w:before="80"/>
      </w:pPr>
    </w:p>
    <w:p>
      <w:pPr>
        <w:pStyle w:val="ListParagraph"/>
        <w:numPr>
          <w:ilvl w:val="0"/>
          <w:numId w:val="2"/>
        </w:numPr>
        <w:spacing w:after="40" w:before="40"/>
        <w:ind w:left="720" w:hanging="360"/>
      </w:pPr>
      <w:r>
        <w:rPr>
          <w:rFonts w:ascii="Arial" w:cs="Arial" w:eastAsia="Arial" w:hAnsi="Arial"/>
          <w:b/>
          <w:bCs/>
          <w:color w:val="1F2937"/>
          <w:sz w:val="22"/>
          <w:szCs w:val="22"/>
        </w:rPr>
        <w:t xml:space="preserve">Clinical development pathway. Finding a target is step one of a 10–15 year, multi-hundred-million-dollar process to bring a drug to market. This plan produces validated targets and candidate sequences, not drugs.</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Regulatory strategy. Gene therapy in particular has complex and jurisdiction-specific regulatory requirements. No regulatory roadmap is included here.</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Team composition. The plan assumes bioinformatics engineering capability and access to biological expertise. Neither is specified. This is the most critical resourcing gap.</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Business development and partnership strategy. How and when to approach pharma partners, what to license vs develop internally, and at what valuation are outside this document.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Fundraising. The cost model gives a Year 1 budget but does not define how it is funded, at what dilution, or via what instrument.</w:t>
      </w:r>
    </w:p>
    <w:p>
      <w:pPr>
        <w:pStyle w:val="ListParagraph"/>
        <w:numPr>
          <w:ilvl w:val="0"/>
          <w:numId w:val="2"/>
        </w:numPr>
        <w:spacing w:after="40" w:before="40"/>
        <w:ind w:left="720" w:hanging="360"/>
      </w:pPr>
      <w:r>
        <w:rPr>
          <w:rFonts w:ascii="Arial" w:cs="Arial" w:eastAsia="Arial" w:hAnsi="Arial"/>
          <w:b w:val="false"/>
          <w:bCs w:val="false"/>
          <w:color w:val="1F2937"/>
          <w:sz w:val="22"/>
          <w:szCs w:val="22"/>
        </w:rPr>
        <w:t xml:space="preserve">Animal research ethics. If any work moves in-house involving biological samples from the listed species, ethics approvals are required in most jurisdictions. Not applicable to purely computational Phase 1 work.</w:t>
      </w:r>
    </w:p>
    <w:p>
      <w:pPr>
        <w:pStyle w:val="Heading1"/>
        <w:pageBreakBefore/>
        <w:spacing w:after="160" w:before="400"/>
      </w:pPr>
      <w:r>
        <w:rPr>
          <w:rFonts w:ascii="Arial" w:cs="Arial" w:eastAsia="Arial" w:hAnsi="Arial"/>
          <w:b/>
          <w:bCs/>
        </w:rPr>
        <w:t xml:space="preserve">9. One-Page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pPr>
            <w:r>
              <w:rPr>
                <w:rFonts w:ascii="Arial" w:cs="Arial" w:eastAsia="Arial" w:hAnsi="Arial"/>
                <w:b/>
                <w:bCs/>
                <w:color w:val="1B3A6B"/>
                <w:sz w:val="20"/>
                <w:szCs w:val="20"/>
              </w:rPr>
              <w:t xml:space="preserve">Summary</w:t>
            </w:r>
          </w:p>
          <w:p>
            <w:r>
              <w:rPr>
                <w:rFonts w:ascii="Arial" w:cs="Arial" w:eastAsia="Arial" w:hAnsi="Arial"/>
                <w:color w:val="1B3A6B"/>
                <w:sz w:val="21"/>
                <w:szCs w:val="21"/>
              </w:rPr>
              <w:t xml:space="preserve">The thesis is real. Fauna Bio's $494M Eli Lilly deal proves the concept commercially. The POC demonstrates the logic works computationally. The gaps are engineering and data depth problems, not conceptual problems.
The science is sound when the full six-layer system is built: animal sequence divergence and expression, evolutionary selection and convergence, disease annotation, druggability, gene therapy suitability, and safety pre-screening. Every layer uses free public data and open-source tools.
Year 1 budget is $27k–$136k depending on team composition. The wide range reflects hiring decisions, not scientific uncertainty. Compute is cheap. Wet lab validation and expert consultancy are the material costs.
The three things that determine success: expanding to 15+ species with real evolutionary selection testing (Phase 1), calibrating the scoring model against known validated targets (Phase 2), and getting one wet-lab result in hand before any external conversation (Phase 4). Without those three, what you have is a compelling concept. With them, you have a defensible scientific asset.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before="120"/>
    </w:pPr>
    <w:r>
      <w:rPr>
        <w:rFonts w:ascii="Arial" w:cs="Arial" w:eastAsia="Arial" w:hAnsi="Arial"/>
        <w:color w:val="6B7280"/>
        <w:sz w:val="16"/>
        <w:szCs w:val="16"/>
      </w:rPr>
      <w:t xml:space="preserve">Confidential — Not for distribution</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spacing w:after="120"/>
    </w:pPr>
    <w:r>
      <w:rPr>
        <w:rFonts w:ascii="Arial" w:cs="Arial" w:eastAsia="Arial" w:hAnsi="Arial"/>
        <w:color w:val="6B7280"/>
        <w:sz w:val="18"/>
        <w:szCs w:val="18"/>
      </w:rPr>
      <w:t xml:space="preserve">BioResilient AI — Master Build Plan</w:t>
    </w:r>
    <w:r>
      <w:rPr>
        <w:rFonts w:ascii="Arial" w:cs="Arial" w:eastAsia="Arial" w:hAnsi="Arial"/>
        <w:sz w:val="18"/>
        <w:szCs w:val="18"/>
      </w:rPr>
      <w:t xml:space="preserve">	</w:t>
    </w:r>
    <w:r>
      <w:rPr>
        <w:rFonts w:ascii="Arial" w:cs="Arial" w:eastAsia="Arial" w:hAnsi="Arial"/>
        <w:color w:val="6B7280"/>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F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2026-03-01T07:19:40.740Z</dcterms:created>
  <dcterms:modified xsi:type="dcterms:W3CDTF">2026-03-01T07:19:40.741Z</dcterms:modified>
</cp:coreProperties>
</file>

<file path=docProps/custom.xml><?xml version="1.0" encoding="utf-8"?>
<Properties xmlns="http://schemas.openxmlformats.org/officeDocument/2006/custom-properties" xmlns:vt="http://schemas.openxmlformats.org/officeDocument/2006/docPropsVTypes"/>
</file>