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color w:val="888888"/>
          <w:sz w:val="16"/>
          <w:szCs w:val="16"/>
        </w:rPr>
        <w:t xml:space="preserve">EXECUTIVE MEMO</w:t>
      </w:r>
    </w:p>
    <w:p>
      <w:pPr>
        <w:spacing w:after="0"/>
        <w:jc w:val="left"/>
      </w:pPr>
      <w:r>
        <w:rPr>
          <w:rFonts w:ascii="Arial" w:cs="Arial" w:eastAsia="Arial" w:hAnsi="Arial"/>
          <w:b/>
          <w:bCs/>
          <w:color w:val="2C3E50"/>
          <w:sz w:val="36"/>
          <w:szCs w:val="36"/>
        </w:rPr>
        <w:t xml:space="preserve">Customer Churn Analysis and Retention Strategy</w:t>
      </w:r>
    </w:p>
    <w:p>
      <w:pPr>
        <w:spacing w:after="200"/>
      </w:pPr>
      <w:r>
        <w:rPr>
          <w:rFonts w:ascii="Arial" w:cs="Arial" w:eastAsia="Arial" w:hAnsi="Arial"/>
          <w:color w:val="888888"/>
          <w:sz w:val="18"/>
          <w:szCs w:val="18"/>
        </w:rPr>
        <w:t xml:space="preserve">Prepared by: Sarat Bhattiprolu  |  Date: March 2026  |  Confidential</w:t>
      </w:r>
    </w:p>
    <w:p>
      <w:pPr>
        <w:pBdr>
          <w:bottom w:val="single" w:color="2C3E50" w:sz="6" w:space="1"/>
        </w:pBdr>
        <w:spacing w:after="300"/>
      </w:pPr>
    </w:p>
    <w:p>
      <w:pPr>
        <w:pStyle w:val="Heading1"/>
      </w:pPr>
      <w:r>
        <w:t xml:space="preserve">The problem</w:t>
      </w:r>
    </w:p>
    <w:p>
      <w:pPr>
        <w:spacing w:after="200"/>
      </w:pPr>
      <w:r>
        <w:t xml:space="preserve">We are losing </w:t>
      </w:r>
      <w:r>
        <w:rPr>
          <w:b/>
          <w:bCs/>
        </w:rPr>
        <w:t xml:space="preserve">31.7% of our customer base </w:t>
      </w:r>
      <w:r>
        <w:t xml:space="preserve">annually, translating to </w:t>
      </w:r>
      <w:r>
        <w:rPr>
          <w:b/>
          <w:bCs/>
        </w:rPr>
        <w:t xml:space="preserve">$1.73M in annual revenue at risk. </w:t>
      </w:r>
      <w:r>
        <w:t xml:space="preserve">Analysis of 7,043 customer records reveals that churn is not random. It is concentrated in specific customer segments, driven by identifiable factors, and preventable with targeted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Churn rate</w:t>
            </w:r>
          </w:p>
        </w:tc>
        <w:tc>
          <w:tcPr>
            <w:tcW w:type="dxa" w:w="23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Revenue at risk</w:t>
            </w:r>
          </w:p>
        </w:tc>
        <w:tc>
          <w:tcPr>
            <w:tcW w:type="dxa" w:w="23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Avg churner tenure</w:t>
            </w:r>
          </w:p>
        </w:tc>
        <w:tc>
          <w:tcPr>
            <w:tcW w:type="dxa" w:w="23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Highest risk segment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31.7%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$1.73M/year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 months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Month-to-month</w:t>
            </w:r>
          </w:p>
        </w:tc>
      </w:tr>
    </w:tbl>
    <w:p>
      <w:pPr>
        <w:spacing w:before="300"/>
      </w:pPr>
    </w:p>
    <w:p>
      <w:pPr>
        <w:pStyle w:val="Heading1"/>
      </w:pPr>
      <w:r>
        <w:t xml:space="preserve">Key findings</w:t>
      </w:r>
    </w:p>
    <w:p>
      <w:pPr>
        <w:pStyle w:val="Heading2"/>
      </w:pPr>
      <w:r>
        <w:t xml:space="preserve">1. Contract type is the strongest churn predictor</w:t>
      </w:r>
    </w:p>
    <w:p>
      <w:pPr>
        <w:spacing w:after="100"/>
      </w:pPr>
      <w:r>
        <w:t xml:space="preserve">Month-to-month customers churn at </w:t>
      </w:r>
      <w:r>
        <w:rPr>
          <w:b/>
          <w:bCs/>
        </w:rPr>
        <w:t xml:space="preserve">43.1%</w:t>
      </w:r>
      <w:r>
        <w:t xml:space="preserve">, compared to 22.5% for one-year contracts and just </w:t>
      </w:r>
      <w:r>
        <w:rPr>
          <w:b/>
          <w:bCs/>
        </w:rPr>
        <w:t xml:space="preserve">13.2% for two-year contracts</w:t>
      </w:r>
      <w:r>
        <w:t xml:space="preserve">. This 3.3x difference represents the single largest lever for reducing churn. Every customer we migrate from month-to-month to annual saves an estimated $1,100 in lifetime value.</w:t>
      </w:r>
    </w:p>
    <w:p>
      <w:pPr>
        <w:pStyle w:val="Heading2"/>
      </w:pPr>
      <w:r>
        <w:t xml:space="preserve">2. The first 12 months are the danger zone</w:t>
      </w:r>
    </w:p>
    <w:p>
      <w:pPr>
        <w:spacing w:after="100"/>
      </w:pPr>
      <w:r>
        <w:t xml:space="preserve">Customers who survive their first year are significantly less likely to leave. Churned customers have an average tenure of 24 months versus 34 months for retained customers. The highest churn concentration is in months 1-6, suggesting our onboarding experience is failing to deliver value quickly enough.</w:t>
      </w:r>
    </w:p>
    <w:p>
      <w:pPr>
        <w:pStyle w:val="Heading2"/>
      </w:pPr>
      <w:r>
        <w:t xml:space="preserve">3. Fiber optic customers are disproportionately unhappy</w:t>
      </w:r>
    </w:p>
    <w:p>
      <w:pPr>
        <w:spacing w:after="100"/>
      </w:pPr>
      <w:r>
        <w:t xml:space="preserve">Fiber optic subscribers churn at </w:t>
      </w:r>
      <w:r>
        <w:rPr>
          <w:b/>
          <w:bCs/>
        </w:rPr>
        <w:t xml:space="preserve">37.6%</w:t>
      </w:r>
      <w:r>
        <w:t xml:space="preserve">, the highest of any internet service type. Combined with higher monthly charges, this points to a price-to-value mismatch. These customers are paying premium prices but may not be receiving premium experiences. A product quality audit of the fiber optic service is warranted.</w:t>
      </w:r>
    </w:p>
    <w:p>
      <w:pPr>
        <w:pStyle w:val="Heading2"/>
      </w:pPr>
      <w:r>
        <w:t xml:space="preserve">4. Electronic check payers signal disengagement</w:t>
      </w:r>
    </w:p>
    <w:p>
      <w:pPr>
        <w:spacing w:after="100"/>
      </w:pPr>
      <w:r>
        <w:t xml:space="preserve">Customers paying via electronic check churn at 34.5%, compared to 25-29% for automatic payment methods. This is likely a proxy for engagement level. Customers who take the friction of setting up auto-pay are demonstrating commitment. Migrating electronic check payers to auto-pay could be both a retention signal and intervention.</w:t>
      </w:r>
    </w:p>
    <w:p>
      <w:pPr>
        <w:spacing w:before="200"/>
      </w:pPr>
      <w:r>
        <w:br w:type="page"/>
      </w:r>
    </w:p>
    <w:p>
      <w:pPr>
        <w:pStyle w:val="Heading1"/>
      </w:pPr>
      <w:r>
        <w:t xml:space="preserve">Predictive model results</w:t>
      </w:r>
    </w:p>
    <w:p>
      <w:pPr>
        <w:spacing w:after="200"/>
      </w:pPr>
      <w:r>
        <w:t xml:space="preserve">We evaluated three ML algorithms. The Gradient Boosting model achieved the best balance of performance across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it means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AUC-ROC</w:t>
            </w:r>
          </w:p>
        </w:tc>
        <w:tc>
          <w:tcPr>
            <w:tcW w:type="dxa" w:w="312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sz w:val="20"/>
                <w:szCs w:val="20"/>
              </w:rPr>
              <w:t xml:space="preserve">0.722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Model ranks churners above non-churners 72% of the time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Precision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0.53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When model flags a churner, it is correct 53% of the time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Recall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0.27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Model catches 27% of actual churners (room to improve)</w:t>
            </w:r>
          </w:p>
        </w:tc>
      </w:tr>
    </w:tbl>
    <w:p>
      <w:pPr>
        <w:spacing w:after="200" w:before="200"/>
      </w:pPr>
      <w:r>
        <w:rPr>
          <w:b/>
          <w:bCs/>
        </w:rPr>
        <w:t xml:space="preserve">Recommendation: </w:t>
      </w:r>
      <w:r>
        <w:t xml:space="preserve">Lower the classification threshold from 0.50 to 0.35 to increase recall. The cost of missing a churner ($1,500 in lost LTV) far exceeds the cost of a false alarm ($50 in outreach). At the lower threshold, we expect to catch 45-50% of churners with acceptable false positive rates.</w:t>
      </w:r>
    </w:p>
    <w:p>
      <w:pPr>
        <w:pStyle w:val="Heading1"/>
      </w:pPr>
      <w:r>
        <w:t xml:space="preserve">Recommended initiatives (ranked by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1800"/>
        <w:gridCol w:w="1200"/>
        <w:gridCol w:w="1560"/>
      </w:tblGrid>
      <w:tr>
        <w:tc>
          <w:tcPr>
            <w:tcW w:type="dxa" w:w="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Initiative</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 segment</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 annual impact</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Investment</w:t>
            </w:r>
          </w:p>
        </w:tc>
        <w:tc>
          <w:tcPr>
            <w:tcW w:type="dxa" w:w="1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Deploy churn early-warning system using ML model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All at-risk</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sz w:val="20"/>
                <w:szCs w:val="20"/>
              </w:rPr>
              <w:t xml:space="preserve">$850K revenue saved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$120K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Q2 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Annual plan migration campaign (20% discount incentive)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Month-to-month</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sz w:val="20"/>
                <w:szCs w:val="20"/>
              </w:rPr>
              <w:t xml:space="preserve">$400K churn reduction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$60K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Q2 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Redesign first-90-day onboarding with trigger-based workflows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New customers</w:t>
            </w:r>
          </w:p>
        </w:tc>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sz w:val="20"/>
                <w:szCs w:val="20"/>
              </w:rPr>
              <w:t xml:space="preserve">$300K retention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$80K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Q3 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Fiber optic service quality audit and NPS improvement program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Fiber optic users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$200K retention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$150K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Q3-Q4 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Auto-pay migration campaign with account credit incentive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E-check payers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$100K retention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$25K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Q2 2026</w:t>
            </w:r>
          </w:p>
        </w:tc>
      </w:tr>
    </w:tbl>
    <w:p>
      <w:pPr>
        <w:spacing w:before="300"/>
      </w:pPr>
    </w:p>
    <w:p>
      <w:pPr>
        <w:pStyle w:val="Heading1"/>
      </w:pPr>
      <w:r>
        <w:t xml:space="preserve">The bottom line</w:t>
      </w:r>
    </w:p>
    <w:p>
      <w:pPr>
        <w:spacing w:after="100"/>
      </w:pPr>
      <w:r>
        <w:rPr>
          <w:b/>
          <w:bCs/>
        </w:rPr>
        <w:t xml:space="preserve">Total estimated investment: </w:t>
      </w:r>
      <w:r>
        <w:t xml:space="preserve">$435K across all five initiatives</w:t>
      </w:r>
    </w:p>
    <w:p>
      <w:pPr>
        <w:spacing w:after="100"/>
      </w:pPr>
      <w:r>
        <w:rPr>
          <w:b/>
          <w:bCs/>
        </w:rPr>
        <w:t xml:space="preserve">Total projected annual impact: </w:t>
      </w:r>
      <w:r>
        <w:t xml:space="preserve">$1.85M in retained revenue</w:t>
      </w:r>
    </w:p>
    <w:p>
      <w:pPr>
        <w:spacing w:after="100"/>
      </w:pPr>
      <w:r>
        <w:rPr>
          <w:b/>
          <w:bCs/>
        </w:rPr>
        <w:t xml:space="preserve">Projected ROI: </w:t>
      </w:r>
      <w:r>
        <w:t xml:space="preserve">4.3x in the first year</w:t>
      </w:r>
    </w:p>
    <w:p>
      <w:pPr>
        <w:spacing w:after="200"/>
      </w:pPr>
      <w:r>
        <w:t xml:space="preserve">The churn problem is significant but solvable. The data clearly identifies who is leaving, why they are leaving, and what interventions have the highest probability of success. I recommend proceeding with initiatives 1, 2, and 5 immediately (lowest investment, fastest time-to-impact) while scoping initiatives 3 and 4 for Q3.</w:t>
      </w:r>
    </w:p>
    <w:p>
      <w:pPr>
        <w:pBdr>
          <w:bottom w:val="single" w:color="2C3E50" w:sz="6" w:space="1"/>
        </w:pBdr>
        <w:spacing w:after="200"/>
      </w:pPr>
    </w:p>
    <w:p>
      <w:pPr>
        <w:spacing w:after="100"/>
      </w:pPr>
      <w:r>
        <w:rPr>
          <w:b/>
          <w:bCs/>
        </w:rPr>
        <w:t xml:space="preserve">Next steps: </w:t>
      </w:r>
      <w:r>
        <w:t xml:space="preserve">Approve budget for Q2 initiatives. Schedule deep-dive with Engineering on churn model deployment. Set up monthly churn review cadence with Customer Success leadership.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2026-03-23T05:44:58.550Z</dcterms:created>
  <dcterms:modified xsi:type="dcterms:W3CDTF">2026-03-23T05:44:58.550Z</dcterms:modified>
</cp:coreProperties>
</file>

<file path=docProps/custom.xml><?xml version="1.0" encoding="utf-8"?>
<Properties xmlns="http://schemas.openxmlformats.org/officeDocument/2006/custom-properties" xmlns:vt="http://schemas.openxmlformats.org/officeDocument/2006/docPropsVTypes"/>
</file>