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Variables</w:t>
      </w:r>
    </w:p>
    <w:p>
      <w:r>
        <w:t>Variables store values that differ per host (hostname, user, password, ports, DNS, etc.). One playbook + many values. Use Jinja2 {{ }} to reference them. Prefer ansible_password; encrypt secrets with Vault.</w:t>
      </w:r>
    </w:p>
    <w:p>
      <w:pPr>
        <w:pStyle w:val="Heading1"/>
      </w:pPr>
      <w:r>
        <w:t>Why Variables?</w:t>
      </w:r>
    </w:p>
    <w:p>
      <w:pPr>
        <w:pStyle w:val="IntenseQuote"/>
      </w:pPr>
      <w:r>
        <w:t>Patch 100 servers → write ONE playbook</w:t>
        <w:br/>
        <w:t>Variables hold what differs: host names, usernames, passwords</w:t>
        <w:br/>
        <w:t>One playbook, many values</w:t>
      </w:r>
    </w:p>
    <w:p>
      <w:pPr>
        <w:pStyle w:val="Heading1"/>
      </w:pPr>
      <w:r>
        <w:t>Inventory Variables (Already Seen)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ansible_host</w:t>
            </w:r>
          </w:p>
        </w:tc>
        <w:tc>
          <w:tcPr>
            <w:tcW w:type="dxa" w:w="4320"/>
          </w:tcPr>
          <w:p>
            <w:r>
              <w:t>Real IP / FQDN</w:t>
            </w:r>
          </w:p>
        </w:tc>
      </w:tr>
      <w:tr>
        <w:tc>
          <w:tcPr>
            <w:tcW w:type="dxa" w:w="4320"/>
          </w:tcPr>
          <w:p>
            <w:r>
              <w:t>ansible_connection</w:t>
            </w:r>
          </w:p>
        </w:tc>
        <w:tc>
          <w:tcPr>
            <w:tcW w:type="dxa" w:w="4320"/>
          </w:tcPr>
          <w:p>
            <w:r>
              <w:t>ssh / winrm / localhost</w:t>
            </w:r>
          </w:p>
        </w:tc>
      </w:tr>
      <w:tr>
        <w:tc>
          <w:tcPr>
            <w:tcW w:type="dxa" w:w="4320"/>
          </w:tcPr>
          <w:p>
            <w:r>
              <w:t>ansible_password</w:t>
            </w:r>
          </w:p>
        </w:tc>
        <w:tc>
          <w:tcPr>
            <w:tcW w:type="dxa" w:w="4320"/>
          </w:tcPr>
          <w:p>
            <w:r>
              <w:t>Canonical password — works all connection types</w:t>
            </w:r>
          </w:p>
        </w:tc>
      </w:tr>
      <w:tr>
        <w:tc>
          <w:tcPr>
            <w:tcW w:type="dxa" w:w="4320"/>
          </w:tcPr>
          <w:p>
            <w:r>
              <w:t>ansible_ssh_pass</w:t>
            </w:r>
          </w:p>
        </w:tc>
        <w:tc>
          <w:tcPr>
            <w:tcW w:type="dxa" w:w="4320"/>
          </w:tcPr>
          <w:p>
            <w:r>
              <w:t>Older alias — still works, but SSH-named (misleading for WinRM)</w:t>
            </w:r>
          </w:p>
        </w:tc>
      </w:tr>
    </w:tbl>
    <w:p/>
    <w:p>
      <w:pPr>
        <w:pStyle w:val="IntenseQuote"/>
      </w:pPr>
      <w:r>
        <w:t>Passwords in plain text = teaching only.</w:t>
        <w:br/>
        <w:t>Real world: encrypt with Ansible Vault.</w:t>
      </w:r>
    </w:p>
    <w:p>
      <w:pPr>
        <w:pStyle w:val="Heading1"/>
      </w:pPr>
      <w:r>
        <w:t>Playbook vars Directive</w:t>
      </w:r>
    </w:p>
    <w:p>
      <w:pPr>
        <w:pStyle w:val="IntenseQuote"/>
      </w:pPr>
      <w:r>
        <w:t>- name: Add DNS server to resolv.conf</w:t>
        <w:br/>
        <w:t xml:space="preserve">  hosts: localhost</w:t>
        <w:br/>
        <w:t xml:space="preserve">  vars:</w:t>
        <w:br/>
        <w:t xml:space="preserve">    dns_server: 10.1.250.10</w:t>
        <w:br/>
        <w:t xml:space="preserve">  tasks:</w:t>
        <w:br/>
        <w:t xml:space="preserve">    - lineinfile:</w:t>
        <w:br/>
        <w:t xml:space="preserve">        path: /etc/resolv.conf</w:t>
        <w:br/>
        <w:t xml:space="preserve">        line: "nameserver {{ dns_server }}"</w:t>
        <w:br/>
        <w:br/>
        <w:t>Define with vars:; use with {{ dns_server }}</w:t>
      </w:r>
    </w:p>
    <w:p>
      <w:pPr>
        <w:pStyle w:val="Heading1"/>
      </w:pPr>
      <w:r>
        <w:t>Where to Put Varying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Place</w:t>
            </w:r>
          </w:p>
        </w:tc>
        <w:tc>
          <w:tcPr>
            <w:tcW w:type="dxa" w:w="4320"/>
          </w:tcPr>
          <w:p>
            <w:r>
              <w:t>Pros</w:t>
            </w:r>
          </w:p>
        </w:tc>
      </w:tr>
      <w:tr>
        <w:tc>
          <w:tcPr>
            <w:tcW w:type="dxa" w:w="4320"/>
          </w:tcPr>
          <w:p>
            <w:r>
              <w:t>Hardcoded in playbook</w:t>
            </w:r>
          </w:p>
        </w:tc>
        <w:tc>
          <w:tcPr>
            <w:tcW w:type="dxa" w:w="4320"/>
          </w:tcPr>
          <w:p>
            <w:r>
              <w:t>Bad — must edit playbook to reuse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Change inventory only; playbook stays same</w:t>
            </w:r>
          </w:p>
        </w:tc>
      </w:tr>
      <w:tr>
        <w:tc>
          <w:tcPr>
            <w:tcW w:type="dxa" w:w="4320"/>
          </w:tcPr>
          <w:p>
            <w:r>
              <w:t>Host var file (e.g. web.yml)</w:t>
            </w:r>
          </w:p>
        </w:tc>
        <w:tc>
          <w:tcPr>
            <w:tcW w:type="dxa" w:w="4320"/>
          </w:tcPr>
          <w:p>
            <w:r>
              <w:t>Best organization — per-host values ready at run</w:t>
            </w:r>
          </w:p>
        </w:tc>
      </w:tr>
      <w:tr>
        <w:tc>
          <w:tcPr>
            <w:tcW w:type="dxa" w:w="4320"/>
          </w:tcPr>
          <w:p>
            <w:r>
              <w:t>Separate vars file</w:t>
            </w:r>
          </w:p>
        </w:tc>
        <w:tc>
          <w:tcPr>
            <w:tcW w:type="dxa" w:w="4320"/>
          </w:tcPr>
          <w:p>
            <w:r>
              <w:t>Covered later with includes/roles</w:t>
            </w:r>
          </w:p>
        </w:tc>
      </w:tr>
    </w:tbl>
    <w:p/>
    <w:p>
      <w:pPr>
        <w:pStyle w:val="Heading1"/>
      </w:pPr>
      <w:r>
        <w:t>Jinja2 Templating</w:t>
      </w:r>
    </w:p>
    <w:p>
      <w:pPr>
        <w:pStyle w:val="IntenseQuote"/>
      </w:pPr>
      <w:r>
        <w:t>Using variables via {{ }} is Jinja2 templating</w:t>
        <w:br/>
        <w:t>Ansible swaps in the value when the playbook runs</w:t>
        <w:br/>
        <w:t>KodeKloud has a Jinja2 Absolute Beginners course for deeper study</w:t>
      </w:r>
    </w:p>
    <w:p>
      <w:pPr>
        <w:pStyle w:val="Heading1"/>
      </w:pPr>
      <w:r>
        <w:t>Quotes Tip (Important)</w:t>
      </w:r>
    </w:p>
    <w:p>
      <w:pPr>
        <w:pStyle w:val="IntenseQuote"/>
      </w:pPr>
      <w:r>
        <w:t>Value STARTS with variable → wrap in quotes:</w:t>
        <w:br/>
        <w:t xml:space="preserve">  port: "{{ http_port }}/tcp"</w:t>
        <w:br/>
        <w:br/>
        <w:t>Variable in the MIDDLE of a string → quotes not required</w:t>
        <w:br/>
        <w:t xml:space="preserve">  line: nameserver {{ dns_server }}</w:t>
      </w:r>
    </w:p>
    <w:p>
      <w:pPr>
        <w:pStyle w:val="Heading1"/>
      </w:pPr>
      <w:r>
        <w:t>Firewall Example — Hardcoded → Variables</w:t>
      </w:r>
    </w:p>
    <w:p>
      <w:pPr>
        <w:pStyle w:val="IntenseQuote"/>
      </w:pPr>
      <w:r>
        <w:t>Move http_port, snmp_port, inter_ip_range to inventory or web.yml</w:t>
        <w:br/>
        <w:t>Playbook uses "{{ http_port }}/tcp" etc.</w:t>
        <w:br/>
        <w:t>Reuse = touch inventory/host file, not the playbook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