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Behind Schedule - KodeKloud - Master Notes</w:t>
      </w:r>
    </w:p>
    <w:p>
      <w:pPr>
        <w:pStyle w:val="Heading1"/>
      </w:pPr>
      <w:r>
        <w:t>1. What &amp; Why</w:t>
      </w:r>
    </w:p>
    <w:p>
      <w:r>
        <w:t>What: Behind Schedule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Working with Shell - II</w:t>
        <w:br/>
        <w:br/>
        <w:t>Behind Schedule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Working with Shell - II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Behind Schedule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Working with Shell - II</w:t>
      </w:r>
    </w:p>
    <w:p>
      <w:pPr>
        <w:pStyle w:val="ListBullet"/>
      </w:pPr>
      <w:r>
        <w:t>Behind Schedule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Behind Schedule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Behind Schedule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Behind Schedule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