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IPTABLES Securing the Environment - KodeKloud - Master Notes</w:t>
      </w:r>
    </w:p>
    <w:p>
      <w:pPr>
        <w:pStyle w:val="Heading1"/>
      </w:pPr>
      <w:r>
        <w:t>1. What &amp; Why</w:t>
      </w:r>
    </w:p>
    <w:p>
      <w:r>
        <w:t>What: IPTABLES Securing the Environment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IPTABLES Securing the Environment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IPTABLES Securing the Environment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IPTABLES Securing the Environment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IPTABLES Securing the Environment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IPTABLES Securing the Environment - KodeKloud</w:t>
      </w:r>
    </w:p>
    <w:p>
      <w:r>
        <w:t>IPTABLES Securing the Environment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IPTABLES Securing the Environment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IPTABLES Securing the Environment - KodeKloud</w:t>
        <w:br/>
        <w:t>IPTABLES Securing the Environment</w:t>
        <w:br/>
        <w:t>APT vs APT GET</w:t>
        <w:br/>
        <w:t>VI Editor</w:t>
        <w:br/>
        <w:t>SSH and SCP</w:t>
        <w:br/>
        <w:t>IPTABLES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IPTABLES Securing the Environment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IPTABLES Securing the Environment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