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16FEF" w14:textId="77777777" w:rsidR="00497A4E" w:rsidRDefault="00497A4E">
      <w:pPr>
        <w:rPr>
          <w:lang w:val="en-US"/>
        </w:rPr>
      </w:pPr>
    </w:p>
    <w:p w14:paraId="53E671DF" w14:textId="77777777" w:rsidR="00AD53DC" w:rsidRDefault="00AD53DC">
      <w:pPr>
        <w:rPr>
          <w:lang w:val="en-US"/>
        </w:rPr>
      </w:pPr>
    </w:p>
    <w:p w14:paraId="29C905DC" w14:textId="77777777" w:rsidR="00AD53DC" w:rsidRDefault="00AD53DC">
      <w:pPr>
        <w:rPr>
          <w:lang w:val="en-US"/>
        </w:rPr>
      </w:pPr>
    </w:p>
    <w:p w14:paraId="3863DB25" w14:textId="77777777" w:rsidR="00AD53DC" w:rsidRDefault="00AD53DC">
      <w:pPr>
        <w:rPr>
          <w:lang w:val="en-US"/>
        </w:rPr>
      </w:pPr>
    </w:p>
    <w:p w14:paraId="0EA0EDEE" w14:textId="77777777" w:rsidR="00AD53DC" w:rsidRDefault="00AD53DC">
      <w:pPr>
        <w:rPr>
          <w:lang w:val="en-US"/>
        </w:rPr>
      </w:pPr>
    </w:p>
    <w:tbl>
      <w:tblPr>
        <w:tblStyle w:val="TableGrid"/>
        <w:tblW w:w="0" w:type="auto"/>
        <w:tblLook w:val="04A0" w:firstRow="1" w:lastRow="0" w:firstColumn="1" w:lastColumn="0" w:noHBand="0" w:noVBand="1"/>
      </w:tblPr>
      <w:tblGrid>
        <w:gridCol w:w="1837"/>
        <w:gridCol w:w="1502"/>
        <w:gridCol w:w="3601"/>
        <w:gridCol w:w="2076"/>
      </w:tblGrid>
      <w:tr w:rsidR="00674A37" w:rsidRPr="00A51A78" w14:paraId="266D0DB1" w14:textId="25F93D9F" w:rsidTr="00674A37">
        <w:tc>
          <w:tcPr>
            <w:tcW w:w="1980" w:type="dxa"/>
          </w:tcPr>
          <w:p w14:paraId="20AF8F73" w14:textId="53AADE9A" w:rsidR="00674A37" w:rsidRPr="00A51A78" w:rsidRDefault="002550F4">
            <w:pPr>
              <w:rPr>
                <w:sz w:val="20"/>
                <w:szCs w:val="20"/>
                <w:lang w:val="en-US"/>
              </w:rPr>
            </w:pPr>
            <w:proofErr w:type="spellStart"/>
            <w:r>
              <w:rPr>
                <w:sz w:val="20"/>
                <w:szCs w:val="20"/>
                <w:lang w:val="en-US"/>
              </w:rPr>
              <w:t>CUrve</w:t>
            </w:r>
            <w:proofErr w:type="spellEnd"/>
          </w:p>
        </w:tc>
        <w:tc>
          <w:tcPr>
            <w:tcW w:w="1559" w:type="dxa"/>
          </w:tcPr>
          <w:p w14:paraId="0A1EEDA5" w14:textId="2BED392B" w:rsidR="00674A37" w:rsidRPr="00A51A78" w:rsidRDefault="002550F4">
            <w:pPr>
              <w:rPr>
                <w:sz w:val="20"/>
                <w:szCs w:val="20"/>
                <w:lang w:val="en-US"/>
              </w:rPr>
            </w:pPr>
            <w:r>
              <w:rPr>
                <w:sz w:val="20"/>
                <w:szCs w:val="20"/>
                <w:lang w:val="en-US"/>
              </w:rPr>
              <w:t>Time span</w:t>
            </w:r>
            <w:r w:rsidR="008279AF">
              <w:rPr>
                <w:sz w:val="20"/>
                <w:szCs w:val="20"/>
                <w:lang w:val="en-US"/>
              </w:rPr>
              <w:t xml:space="preserve"> (resolution)</w:t>
            </w:r>
          </w:p>
        </w:tc>
        <w:tc>
          <w:tcPr>
            <w:tcW w:w="3874" w:type="dxa"/>
          </w:tcPr>
          <w:p w14:paraId="5F8F95A0" w14:textId="0A3161B1" w:rsidR="00674A37" w:rsidRPr="00A51A78" w:rsidRDefault="008279AF">
            <w:pPr>
              <w:rPr>
                <w:sz w:val="20"/>
                <w:szCs w:val="20"/>
                <w:lang w:val="en-US"/>
              </w:rPr>
            </w:pPr>
            <w:r>
              <w:rPr>
                <w:sz w:val="20"/>
                <w:szCs w:val="20"/>
                <w:lang w:val="en-US"/>
              </w:rPr>
              <w:t>Method</w:t>
            </w:r>
          </w:p>
        </w:tc>
        <w:tc>
          <w:tcPr>
            <w:tcW w:w="2217" w:type="dxa"/>
          </w:tcPr>
          <w:p w14:paraId="226C0E4B" w14:textId="6E69D3C2" w:rsidR="00674A37" w:rsidRPr="00A51A78" w:rsidRDefault="008279AF">
            <w:pPr>
              <w:rPr>
                <w:sz w:val="20"/>
                <w:szCs w:val="20"/>
                <w:lang w:val="en-US"/>
              </w:rPr>
            </w:pPr>
            <w:r>
              <w:rPr>
                <w:sz w:val="20"/>
                <w:szCs w:val="20"/>
                <w:lang w:val="en-US"/>
              </w:rPr>
              <w:t>Applicability</w:t>
            </w:r>
          </w:p>
        </w:tc>
      </w:tr>
      <w:tr w:rsidR="00674A37" w:rsidRPr="00A51A78" w14:paraId="591F5892" w14:textId="234D540A" w:rsidTr="00674A37">
        <w:tc>
          <w:tcPr>
            <w:tcW w:w="1980" w:type="dxa"/>
          </w:tcPr>
          <w:p w14:paraId="40B30CDA" w14:textId="09E43F10" w:rsidR="00674A37" w:rsidRPr="00A51A78" w:rsidRDefault="00674A37">
            <w:pPr>
              <w:rPr>
                <w:sz w:val="20"/>
                <w:szCs w:val="20"/>
                <w:lang w:val="en-US"/>
              </w:rPr>
            </w:pPr>
            <w:r w:rsidRPr="00A51A78">
              <w:rPr>
                <w:sz w:val="20"/>
                <w:szCs w:val="20"/>
                <w:lang w:val="en-US"/>
              </w:rPr>
              <w:fldChar w:fldCharType="begin" w:fldLock="1"/>
            </w:r>
            <w:r>
              <w:rPr>
                <w:sz w:val="20"/>
                <w:szCs w:val="20"/>
                <w:lang w:val="en-US"/>
              </w:rPr>
              <w:instrText>ADDIN CSL_CITATION {"citationItems":[{"id":"ITEM-1","itemData":{"DOI":"10.1038/NCOMMS6076;TECHMETA=119,140,141;SUBJMETA=106,125,2737,2738,704,829;KWRD=CRYOSPHERIC+SCIENCE,PALAEOCEANOGRAPHY,PHYSICAL+OCEANOGRAPHY","ISSN":"20411723","abstract":"Research on global ice-volume changes during Pleistocene glacial cycles is hindered by a lack of detailed sea-level records for time intervals older than the last interglacial. Here we present the first robustly dated, continuous and highly resolved records of Red Sea sea level and rates of sea-level change over the last 500,000 years, based on tight synchronization to an Asian monsoon record. We observe maximum 'natural' (pre-anthropogenic forcing) sea-level rise rates below 2 m per century following periods with up to twice present-day ice volumes, and substantially higher rise rates for greater ice volumes. We also find that maximum sea-level rise rates were attained within 2 kyr of the onset of deglaciations, for 85% of such events. Finally, multivariate regressions of orbital parameters, sea-level and monsoon records suggest that major meltwater pulses account for millennial-scale variability and insolation-lagged responses in Asian monsoon records.","author":[{"dropping-particle":"","family":"Grant","given":"K. M.","non-dropping-particle":"","parse-names":false,"suffix":""},{"dropping-particle":"","family":"Rohling","given":"E. J.","non-dropping-particle":"","parse-names":false,"suffix":""},{"dropping-particle":"","family":"Bronk Ramsey","given":"C.","non-dropping-particle":"","parse-names":false,"suffix":""},{"dropping-particle":"","family":"Cheng","given":"H.","non-dropping-particle":"","parse-names":false,"suffix":""},{"dropping-particle":"","family":"Edwards","given":"R. L.","non-dropping-particle":"","parse-names":false,"suffix":""},{"dropping-particle":"","family":"Florindo","given":"F.","non-dropping-particle":"","parse-names":false,"suffix":""},{"dropping-particle":"","family":"Heslop","given":"D.","non-dropping-particle":"","parse-names":false,"suffix":""},{"dropping-particle":"","family":"Marra","given":"F.","non-dropping-particle":"","parse-names":false,"suffix":""},{"dropping-particle":"","family":"Roberts","given":"A. P.","non-dropping-particle":"","parse-names":false,"suffix":""},{"dropping-particle":"","family":"Tamisiea","given":"M. E.","non-dropping-particle":"","parse-names":false,"suffix":""},{"dropping-particle":"","family":"Williams","given":"F.","non-dropping-particle":"","parse-names":false,"suffix":""}],"container-title":"Nature Communications","id":"ITEM-1","issue":"1","issued":{"date-parts":[["2014","9","25"]]},"page":"1-9","publisher":"Nature Publishing Group","title":"Sea-level variability over five glacial cycles","type":"article-journal","volume":"5"},"uris":["http://www.mendeley.com/documents/?uuid=d9c1fece-3bd0-3389-985b-0a8e56033d1d"]}],"mendeley":{"formattedCitation":"(Grant et al., 2014)","plainTextFormattedCitation":"(Grant et al., 2014)","previouslyFormattedCitation":"(Grant et al., 2014)"},"properties":{"noteIndex":0},"schema":"https://github.com/citation-style-language/schema/raw/master/csl-citation.json"}</w:instrText>
            </w:r>
            <w:r w:rsidRPr="00A51A78">
              <w:rPr>
                <w:sz w:val="20"/>
                <w:szCs w:val="20"/>
                <w:lang w:val="en-US"/>
              </w:rPr>
              <w:fldChar w:fldCharType="separate"/>
            </w:r>
            <w:r w:rsidRPr="00A51A78">
              <w:rPr>
                <w:noProof/>
                <w:sz w:val="20"/>
                <w:szCs w:val="20"/>
                <w:lang w:val="en-US"/>
              </w:rPr>
              <w:t>(Grant et al., 2014)</w:t>
            </w:r>
            <w:r w:rsidRPr="00A51A78">
              <w:rPr>
                <w:sz w:val="20"/>
                <w:szCs w:val="20"/>
                <w:lang w:val="en-US"/>
              </w:rPr>
              <w:fldChar w:fldCharType="end"/>
            </w:r>
          </w:p>
        </w:tc>
        <w:tc>
          <w:tcPr>
            <w:tcW w:w="1559" w:type="dxa"/>
          </w:tcPr>
          <w:p w14:paraId="3000E0F6" w14:textId="0ECA81B1" w:rsidR="00674A37" w:rsidRPr="00A51A78" w:rsidRDefault="00674A37">
            <w:pPr>
              <w:rPr>
                <w:sz w:val="20"/>
                <w:szCs w:val="20"/>
                <w:lang w:val="en-US"/>
              </w:rPr>
            </w:pPr>
            <w:r w:rsidRPr="00A51A78">
              <w:rPr>
                <w:sz w:val="20"/>
                <w:szCs w:val="20"/>
                <w:lang w:val="en-US"/>
              </w:rPr>
              <w:t>0-500 ka</w:t>
            </w:r>
            <w:r>
              <w:rPr>
                <w:sz w:val="20"/>
                <w:szCs w:val="20"/>
                <w:lang w:val="en-US"/>
              </w:rPr>
              <w:t xml:space="preserve"> (200 year spacing)</w:t>
            </w:r>
          </w:p>
        </w:tc>
        <w:tc>
          <w:tcPr>
            <w:tcW w:w="3874" w:type="dxa"/>
          </w:tcPr>
          <w:p w14:paraId="6DB35309" w14:textId="1031AF7C" w:rsidR="00674A37" w:rsidRDefault="00674A37">
            <w:pPr>
              <w:rPr>
                <w:sz w:val="20"/>
                <w:szCs w:val="20"/>
                <w:lang w:val="en-US"/>
              </w:rPr>
            </w:pPr>
            <w:proofErr w:type="spellStart"/>
            <w:r w:rsidRPr="00A51A78">
              <w:rPr>
                <w:sz w:val="20"/>
                <w:szCs w:val="20"/>
                <w:lang w:val="en-US"/>
              </w:rPr>
              <w:t>Synchronisation</w:t>
            </w:r>
            <w:proofErr w:type="spellEnd"/>
            <w:r w:rsidRPr="00A51A78">
              <w:rPr>
                <w:sz w:val="20"/>
                <w:szCs w:val="20"/>
                <w:lang w:val="en-US"/>
              </w:rPr>
              <w:t xml:space="preserve"> with monsoon records (U/Th-dated </w:t>
            </w:r>
            <w:proofErr w:type="spellStart"/>
            <w:r w:rsidRPr="00A51A78">
              <w:rPr>
                <w:sz w:val="20"/>
                <w:szCs w:val="20"/>
                <w:lang w:val="en-US"/>
              </w:rPr>
              <w:t>Sanbao</w:t>
            </w:r>
            <w:proofErr w:type="spellEnd"/>
            <w:r w:rsidRPr="00A51A78">
              <w:rPr>
                <w:sz w:val="20"/>
                <w:szCs w:val="20"/>
                <w:lang w:val="en-US"/>
              </w:rPr>
              <w:t xml:space="preserve"> Cave, C</w:t>
            </w:r>
            <w:r>
              <w:rPr>
                <w:sz w:val="20"/>
                <w:szCs w:val="20"/>
                <w:lang w:val="en-US"/>
              </w:rPr>
              <w:t>h</w:t>
            </w:r>
            <w:r w:rsidRPr="00A51A78">
              <w:rPr>
                <w:sz w:val="20"/>
                <w:szCs w:val="20"/>
                <w:lang w:val="en-US"/>
              </w:rPr>
              <w:t>ina)</w:t>
            </w:r>
          </w:p>
          <w:p w14:paraId="0995211F" w14:textId="353D358F" w:rsidR="00674A37" w:rsidRPr="008F351D" w:rsidRDefault="00674A37" w:rsidP="008F351D">
            <w:pPr>
              <w:rPr>
                <w:sz w:val="20"/>
                <w:szCs w:val="20"/>
                <w:lang w:val="en-US"/>
              </w:rPr>
            </w:pPr>
            <w:r w:rsidRPr="008F351D">
              <w:rPr>
                <w:sz w:val="20"/>
                <w:szCs w:val="20"/>
              </w:rPr>
              <w:t> </w:t>
            </w:r>
            <w:r w:rsidRPr="008F351D">
              <w:rPr>
                <w:sz w:val="20"/>
                <w:szCs w:val="20"/>
                <w:vertAlign w:val="superscript"/>
              </w:rPr>
              <w:t>40</w:t>
            </w:r>
            <w:r w:rsidRPr="008F351D">
              <w:rPr>
                <w:sz w:val="20"/>
                <w:szCs w:val="20"/>
              </w:rPr>
              <w:t>Ar/</w:t>
            </w:r>
            <w:r w:rsidRPr="008F351D">
              <w:rPr>
                <w:sz w:val="20"/>
                <w:szCs w:val="20"/>
                <w:vertAlign w:val="superscript"/>
              </w:rPr>
              <w:t>39</w:t>
            </w:r>
            <w:r w:rsidRPr="008F351D">
              <w:rPr>
                <w:sz w:val="20"/>
                <w:szCs w:val="20"/>
              </w:rPr>
              <w:t xml:space="preserve">Ar-dated ash (tephra) layers </w:t>
            </w:r>
            <w:proofErr w:type="spellStart"/>
            <w:r w:rsidRPr="008F351D">
              <w:rPr>
                <w:sz w:val="20"/>
                <w:szCs w:val="20"/>
              </w:rPr>
              <w:t>Palaeo</w:t>
            </w:r>
            <w:proofErr w:type="spellEnd"/>
            <w:r w:rsidRPr="008F351D">
              <w:rPr>
                <w:sz w:val="20"/>
                <w:szCs w:val="20"/>
              </w:rPr>
              <w:t>-Tiber River, Italy</w:t>
            </w:r>
          </w:p>
          <w:p w14:paraId="2CC30812" w14:textId="2F3092A7" w:rsidR="00674A37" w:rsidRPr="00A51A78" w:rsidRDefault="00674A37">
            <w:pPr>
              <w:rPr>
                <w:sz w:val="20"/>
                <w:szCs w:val="20"/>
                <w:lang w:val="en-US"/>
              </w:rPr>
            </w:pPr>
          </w:p>
        </w:tc>
        <w:tc>
          <w:tcPr>
            <w:tcW w:w="2217" w:type="dxa"/>
          </w:tcPr>
          <w:p w14:paraId="5119780D" w14:textId="4BC21D7B" w:rsidR="00674A37" w:rsidRPr="00A51A78" w:rsidRDefault="00674A37">
            <w:pPr>
              <w:rPr>
                <w:sz w:val="20"/>
                <w:szCs w:val="20"/>
                <w:lang w:val="en-US"/>
              </w:rPr>
            </w:pPr>
            <w:r>
              <w:rPr>
                <w:sz w:val="20"/>
                <w:szCs w:val="20"/>
                <w:lang w:val="en-US"/>
              </w:rPr>
              <w:t>Red Sea levels</w:t>
            </w:r>
          </w:p>
        </w:tc>
      </w:tr>
      <w:tr w:rsidR="00674A37" w:rsidRPr="00A51A78" w14:paraId="173BFD4A" w14:textId="70A6D87D" w:rsidTr="00674A37">
        <w:tc>
          <w:tcPr>
            <w:tcW w:w="1980" w:type="dxa"/>
          </w:tcPr>
          <w:p w14:paraId="2295CEAE" w14:textId="29115EC0" w:rsidR="00674A37" w:rsidRPr="00A51A78" w:rsidRDefault="00674A37">
            <w:pPr>
              <w:rPr>
                <w:sz w:val="20"/>
                <w:szCs w:val="20"/>
                <w:lang w:val="en-US"/>
              </w:rPr>
            </w:pPr>
            <w:r>
              <w:rPr>
                <w:sz w:val="20"/>
                <w:szCs w:val="20"/>
                <w:lang w:val="en-US"/>
              </w:rPr>
              <w:fldChar w:fldCharType="begin" w:fldLock="1"/>
            </w:r>
            <w:r>
              <w:rPr>
                <w:sz w:val="20"/>
                <w:szCs w:val="20"/>
                <w:lang w:val="en-US"/>
              </w:rPr>
              <w:instrText xml:space="preserve">ADDIN CSL_CITATION {"citationItems":[{"id":"ITEM-1","itemData":{"DOI":"10.1073/PNAS.1411762111/SUPPL_FILE/PNAS.1411762111.SAPP.PDF","ISSN":"10916490","PMID":"25313072","abstract":"The major cause of sea-level change during ice ages is the exchange of water between ice and ocean and the planet's dynamic response to the changing surface load. Inversion of </w:instrText>
            </w:r>
            <w:r>
              <w:rPr>
                <w:rFonts w:ascii="Cambria Math" w:hAnsi="Cambria Math" w:cs="Cambria Math"/>
                <w:sz w:val="20"/>
                <w:szCs w:val="20"/>
                <w:lang w:val="en-US"/>
              </w:rPr>
              <w:instrText>∼</w:instrText>
            </w:r>
            <w:r>
              <w:rPr>
                <w:sz w:val="20"/>
                <w:szCs w:val="20"/>
                <w:lang w:val="en-US"/>
              </w:rPr>
              <w:instrText xml:space="preserve">1,000 observations for the past 35,000 y from localities far from former ice margins has provided new constraints on the fluctuation of ice volume in this interval. Key results are: (i) a rapid final fall in global sea level of </w:instrText>
            </w:r>
            <w:r>
              <w:rPr>
                <w:rFonts w:ascii="Cambria Math" w:hAnsi="Cambria Math" w:cs="Cambria Math"/>
                <w:sz w:val="20"/>
                <w:szCs w:val="20"/>
                <w:lang w:val="en-US"/>
              </w:rPr>
              <w:instrText>∼</w:instrText>
            </w:r>
            <w:r>
              <w:rPr>
                <w:sz w:val="20"/>
                <w:szCs w:val="20"/>
                <w:lang w:val="en-US"/>
              </w:rPr>
              <w:instrText xml:space="preserve">40 m in &lt;2,000 y at the onset of the glacial maximum </w:instrText>
            </w:r>
            <w:r>
              <w:rPr>
                <w:rFonts w:ascii="Cambria Math" w:hAnsi="Cambria Math" w:cs="Cambria Math"/>
                <w:sz w:val="20"/>
                <w:szCs w:val="20"/>
                <w:lang w:val="en-US"/>
              </w:rPr>
              <w:instrText>∼</w:instrText>
            </w:r>
            <w:r>
              <w:rPr>
                <w:sz w:val="20"/>
                <w:szCs w:val="20"/>
                <w:lang w:val="en-US"/>
              </w:rPr>
              <w:instrText xml:space="preserve">30,000 y before present (30 ka BP); (ii) a slow fall to -134 m from 29 to 21 ka BP with a maximum grounded ice volume of </w:instrText>
            </w:r>
            <w:r>
              <w:rPr>
                <w:rFonts w:ascii="Cambria Math" w:hAnsi="Cambria Math" w:cs="Cambria Math"/>
                <w:sz w:val="20"/>
                <w:szCs w:val="20"/>
                <w:lang w:val="en-US"/>
              </w:rPr>
              <w:instrText>∼</w:instrText>
            </w:r>
            <w:r>
              <w:rPr>
                <w:sz w:val="20"/>
                <w:szCs w:val="20"/>
                <w:lang w:val="en-US"/>
              </w:rPr>
              <w:instrText xml:space="preserve">52 </w:instrText>
            </w:r>
            <w:r>
              <w:rPr>
                <w:rFonts w:ascii="Calibri" w:hAnsi="Calibri" w:cs="Calibri"/>
                <w:sz w:val="20"/>
                <w:szCs w:val="20"/>
                <w:lang w:val="en-US"/>
              </w:rPr>
              <w:instrText>×</w:instrText>
            </w:r>
            <w:r>
              <w:rPr>
                <w:sz w:val="20"/>
                <w:szCs w:val="20"/>
                <w:lang w:val="en-US"/>
              </w:rPr>
              <w:instrText xml:space="preserve"> 10&lt;sup&gt;6&lt;/sup&gt; km&lt;sup&gt;3&lt;/sup&gt; greater than today; (iii) after an initial short duration rapid rise and a short interval of near-constant sea level, the main phase of deglaciation occurred from </w:instrText>
            </w:r>
            <w:r>
              <w:rPr>
                <w:rFonts w:ascii="Cambria Math" w:hAnsi="Cambria Math" w:cs="Cambria Math"/>
                <w:sz w:val="20"/>
                <w:szCs w:val="20"/>
                <w:lang w:val="en-US"/>
              </w:rPr>
              <w:instrText>∼</w:instrText>
            </w:r>
            <w:r>
              <w:rPr>
                <w:sz w:val="20"/>
                <w:szCs w:val="20"/>
                <w:lang w:val="en-US"/>
              </w:rPr>
              <w:instrText xml:space="preserve">16.5 ka BP to </w:instrText>
            </w:r>
            <w:r>
              <w:rPr>
                <w:rFonts w:ascii="Cambria Math" w:hAnsi="Cambria Math" w:cs="Cambria Math"/>
                <w:sz w:val="20"/>
                <w:szCs w:val="20"/>
                <w:lang w:val="en-US"/>
              </w:rPr>
              <w:instrText>∼</w:instrText>
            </w:r>
            <w:r>
              <w:rPr>
                <w:sz w:val="20"/>
                <w:szCs w:val="20"/>
                <w:lang w:val="en-US"/>
              </w:rPr>
              <w:instrText>8.2 ka BP at an average rate of rise of 12 m</w:instrText>
            </w:r>
            <w:r>
              <w:rPr>
                <w:rFonts w:ascii="Calibri" w:hAnsi="Calibri" w:cs="Calibri"/>
                <w:sz w:val="20"/>
                <w:szCs w:val="20"/>
                <w:lang w:val="en-US"/>
              </w:rPr>
              <w:instrText>·</w:instrText>
            </w:r>
            <w:r>
              <w:rPr>
                <w:sz w:val="20"/>
                <w:szCs w:val="20"/>
                <w:lang w:val="en-US"/>
              </w:rPr>
              <w:instrText xml:space="preserve">ka&lt;sup&gt;-1&lt;/sup&gt; punctuated by periods of greater, particularly at 14.5-14.0 ka BP at </w:instrText>
            </w:r>
            <w:r>
              <w:rPr>
                <w:rFonts w:hint="eastAsia"/>
                <w:sz w:val="20"/>
                <w:szCs w:val="20"/>
                <w:lang w:val="en-US"/>
              </w:rPr>
              <w:instrText>≥</w:instrText>
            </w:r>
            <w:r>
              <w:rPr>
                <w:sz w:val="20"/>
                <w:szCs w:val="20"/>
                <w:lang w:val="en-US"/>
              </w:rPr>
              <w:instrText xml:space="preserve">40 mm·y&lt;sup&gt;-1&lt;/sup&gt; (MWP-1A), and lesser, from 12.5 to 11.5 ka BP (Younger Dryas), rates; (iv) no evidence for a global MWP-1B event at </w:instrText>
            </w:r>
            <w:r>
              <w:rPr>
                <w:rFonts w:ascii="Cambria Math" w:hAnsi="Cambria Math" w:cs="Cambria Math"/>
                <w:sz w:val="20"/>
                <w:szCs w:val="20"/>
                <w:lang w:val="en-US"/>
              </w:rPr>
              <w:instrText>∼</w:instrText>
            </w:r>
            <w:r>
              <w:rPr>
                <w:sz w:val="20"/>
                <w:szCs w:val="20"/>
                <w:lang w:val="en-US"/>
              </w:rPr>
              <w:instrText xml:space="preserve">11.3 ka BP; and (v) a progressive decrease in the rate of rise from 8.2 ka to </w:instrText>
            </w:r>
            <w:r>
              <w:rPr>
                <w:rFonts w:ascii="Cambria Math" w:hAnsi="Cambria Math" w:cs="Cambria Math"/>
                <w:sz w:val="20"/>
                <w:szCs w:val="20"/>
                <w:lang w:val="en-US"/>
              </w:rPr>
              <w:instrText>∼</w:instrText>
            </w:r>
            <w:r>
              <w:rPr>
                <w:sz w:val="20"/>
                <w:szCs w:val="20"/>
                <w:lang w:val="en-US"/>
              </w:rPr>
              <w:instrText xml:space="preserve">2.5 ka BP, after which ocean volumes remained nearly constant until the renewed sea-level rise at 100-150 y ago, with no evidence of oscillations exceeding </w:instrText>
            </w:r>
            <w:r>
              <w:rPr>
                <w:rFonts w:ascii="Cambria Math" w:hAnsi="Cambria Math" w:cs="Cambria Math"/>
                <w:sz w:val="20"/>
                <w:szCs w:val="20"/>
                <w:lang w:val="en-US"/>
              </w:rPr>
              <w:instrText>∼</w:instrText>
            </w:r>
            <w:r>
              <w:rPr>
                <w:sz w:val="20"/>
                <w:szCs w:val="20"/>
                <w:lang w:val="en-US"/>
              </w:rPr>
              <w:instrText xml:space="preserve">15-20 cm in time intervals </w:instrText>
            </w:r>
            <w:r>
              <w:rPr>
                <w:rFonts w:hint="eastAsia"/>
                <w:sz w:val="20"/>
                <w:szCs w:val="20"/>
                <w:lang w:val="en-US"/>
              </w:rPr>
              <w:instrText>≥</w:instrText>
            </w:r>
            <w:r>
              <w:rPr>
                <w:sz w:val="20"/>
                <w:szCs w:val="20"/>
                <w:lang w:val="en-US"/>
              </w:rPr>
              <w:instrText>200 y from 6 to 0.15 ka BP.","author":[{"dropping-particle":"","family":"Lambeck","given":"Kurt","non-dropping-particle":"","parse-names":false,"suffix":""},{"dropping-particle":"","family":"Rouby","given":"Hélène","non-dropping-particle":"","parse-names":false,"suffix":""},{"dropping-particle":"","family":"Purcell","given":"Anthony","non-dropping-particle":"","parse-names":false,"suffix":""},{"dropping-particle":"","family":"Sun","given":"Yiying","non-dropping-particle":"","parse-names":false,"suffix":""},{"dropping-particle":"","family":"Sambridge","given":"Malcolm","non-dropping-particle":"","parse-names":false,"suffix":""}],"container-title":"Proceedings of the National Academy of Sciences of the United States of America","id":"ITEM-1","issue":"43","issued":{"date-parts":[["2014","10","28"]]},"page":"15296-15303","publisher":"National Academy of Sciences","title":"Sea level and global ice volumes from the Last Glacial Maximum to the Holocene","type":"article-journal","volume":"111"},"uris":["http://www.mendeley.com/documents/?uuid=59bbca41-f565-3e3c-9924-06d7849c8e07"]}],"mendeley":{"formattedCitation":"(Lambeck et al., 2014)","plainTextFormattedCitation":"(Lambeck et al., 2014)","previouslyFormattedCitation":"(Lambeck et al., 2014)"},"properties":{"noteIndex":0},"schema":"https://github.com/citation-style-language/schema/raw/master/csl-citation.json"}</w:instrText>
            </w:r>
            <w:r>
              <w:rPr>
                <w:sz w:val="20"/>
                <w:szCs w:val="20"/>
                <w:lang w:val="en-US"/>
              </w:rPr>
              <w:fldChar w:fldCharType="separate"/>
            </w:r>
            <w:r w:rsidRPr="009D718D">
              <w:rPr>
                <w:noProof/>
                <w:sz w:val="20"/>
                <w:szCs w:val="20"/>
                <w:lang w:val="en-US"/>
              </w:rPr>
              <w:t>(Lambeck et al., 2014)</w:t>
            </w:r>
            <w:r>
              <w:rPr>
                <w:sz w:val="20"/>
                <w:szCs w:val="20"/>
                <w:lang w:val="en-US"/>
              </w:rPr>
              <w:fldChar w:fldCharType="end"/>
            </w:r>
          </w:p>
        </w:tc>
        <w:tc>
          <w:tcPr>
            <w:tcW w:w="1559" w:type="dxa"/>
          </w:tcPr>
          <w:p w14:paraId="5FF1F2F0" w14:textId="77777777" w:rsidR="00674A37" w:rsidRDefault="00674A37">
            <w:pPr>
              <w:rPr>
                <w:sz w:val="20"/>
                <w:szCs w:val="20"/>
                <w:lang w:val="en-US"/>
              </w:rPr>
            </w:pPr>
            <w:r>
              <w:rPr>
                <w:sz w:val="20"/>
                <w:szCs w:val="20"/>
                <w:lang w:val="en-US"/>
              </w:rPr>
              <w:t>0-35 ka</w:t>
            </w:r>
          </w:p>
          <w:p w14:paraId="6826A36E" w14:textId="5AF96C1E" w:rsidR="00674A37" w:rsidRPr="00A51A78" w:rsidRDefault="00674A37">
            <w:pPr>
              <w:rPr>
                <w:sz w:val="20"/>
                <w:szCs w:val="20"/>
                <w:lang w:val="en-US"/>
              </w:rPr>
            </w:pPr>
            <w:r>
              <w:rPr>
                <w:sz w:val="20"/>
                <w:szCs w:val="20"/>
                <w:lang w:val="en-US"/>
              </w:rPr>
              <w:t>(high resolution)</w:t>
            </w:r>
          </w:p>
        </w:tc>
        <w:tc>
          <w:tcPr>
            <w:tcW w:w="3874" w:type="dxa"/>
          </w:tcPr>
          <w:p w14:paraId="0102357F" w14:textId="77777777" w:rsidR="00674A37" w:rsidRDefault="00674A37">
            <w:pPr>
              <w:rPr>
                <w:sz w:val="20"/>
                <w:szCs w:val="20"/>
                <w:lang w:val="en-US"/>
              </w:rPr>
            </w:pPr>
            <w:r>
              <w:rPr>
                <w:sz w:val="20"/>
                <w:szCs w:val="20"/>
                <w:lang w:val="en-US"/>
              </w:rPr>
              <w:t>Primarily used fossil corals, U-Th dated</w:t>
            </w:r>
          </w:p>
          <w:p w14:paraId="2D5891F9" w14:textId="311FCA13" w:rsidR="00674A37" w:rsidRPr="00A51A78" w:rsidRDefault="00674A37">
            <w:pPr>
              <w:rPr>
                <w:sz w:val="20"/>
                <w:szCs w:val="20"/>
                <w:lang w:val="en-US"/>
              </w:rPr>
            </w:pPr>
          </w:p>
        </w:tc>
        <w:tc>
          <w:tcPr>
            <w:tcW w:w="2217" w:type="dxa"/>
          </w:tcPr>
          <w:p w14:paraId="39E4BD39" w14:textId="21C56979" w:rsidR="00674A37" w:rsidRPr="00A51A78" w:rsidRDefault="00674A37">
            <w:pPr>
              <w:rPr>
                <w:sz w:val="20"/>
                <w:szCs w:val="20"/>
                <w:lang w:val="en-US"/>
              </w:rPr>
            </w:pPr>
            <w:r w:rsidRPr="00674A37">
              <w:rPr>
                <w:sz w:val="20"/>
                <w:szCs w:val="20"/>
              </w:rPr>
              <w:t>Local but distributed globally (Barbados, Tahiti, Papua New Guinea, Indian Ocean, Australia)</w:t>
            </w:r>
          </w:p>
        </w:tc>
      </w:tr>
      <w:tr w:rsidR="00674A37" w:rsidRPr="00A51A78" w14:paraId="5C6098EA" w14:textId="3C9C002F" w:rsidTr="00674A37">
        <w:tc>
          <w:tcPr>
            <w:tcW w:w="1980" w:type="dxa"/>
          </w:tcPr>
          <w:p w14:paraId="7370C198" w14:textId="5BB07159" w:rsidR="00674A37" w:rsidRPr="00A51A78" w:rsidRDefault="00674A37">
            <w:pPr>
              <w:rPr>
                <w:sz w:val="20"/>
                <w:szCs w:val="20"/>
                <w:lang w:val="en-US"/>
              </w:rPr>
            </w:pPr>
            <w:r>
              <w:rPr>
                <w:sz w:val="20"/>
                <w:szCs w:val="20"/>
                <w:lang w:val="en-US"/>
              </w:rPr>
              <w:fldChar w:fldCharType="begin" w:fldLock="1"/>
            </w:r>
            <w:r>
              <w:rPr>
                <w:sz w:val="20"/>
                <w:szCs w:val="20"/>
                <w:lang w:val="en-US"/>
              </w:rPr>
              <w:instrText>ADDIN CSL_CITATION {"citationItems":[{"id":"ITEM-1","itemData":{"DOI":"10.1038/NATURE13259,","ISSN":"14764687","PMID":"24805239","abstract":"Precipitation changes projected for the end of the twenty-first century show an increase of more than 50 per cent in the Arctic regions. This marked increase, which is among the highest globally, has previously been attributed primarily to enhanced poleward moisture transport from lower latitudes. Here we use state-of-the-art global climate models to show that the projected increases in Arctic precipitation over the twenty-first century, which peak in late autumn and winter, are instead due mainly to strongly intensified local surface evaporation (maximum in winter), and only to a lesser degree due to enhanced moisture inflow from lower latitudes (maximum in late summer and autumn). Moreover, we show that the enhanced surface evaporation results mainly from retreating winter sea ice, signalling an amplified Arctic hydrological cycle. This demonstrates that increases in Arctic precipitation are firmly linked to Arctic warming and sea-ice decline. As a result, the Arctic mean precipitation sensitivity (4.5 per cent increase per degree of temperature warming) is much larger than the global value (1.6 to 1.9 per cent per kelvin). The associated seasonally varying increase in Arctic precipitation is likely to increase river discharge and snowfall over ice sheets (thereby affecting global sea level), and could even affect global climate through freshening of the Arctic Ocean and subsequent modulations of the Atlantic meridional overturning circulation. © 2014 Macmillan Publishers Limited. All rights reserved.","author":[{"dropping-particle":"","family":"Bintanja","given":"R.","non-dropping-particle":"","parse-names":false,"suffix":""},{"dropping-particle":"","family":"Selten","given":"F. M.","non-dropping-particle":"","parse-names":false,"suffix":""}],"container-title":"Nature","id":"ITEM-1","issue":"7501","issued":{"date-parts":[["2014"]]},"page":"479-482","publisher":"Nature Publishing Group","title":"Future increases in Arctic precipitation linked to local evaporation and sea-ice retreat","type":"article-journal","volume":"509"},"uris":["http://www.mendeley.com/documents/?uuid=b33b0c55-d260-3f54-a574-0cce63ff0324"]}],"mendeley":{"formattedCitation":"(Bintanja and Selten, 2014)","plainTextFormattedCitation":"(Bintanja and Selten, 2014)","previouslyFormattedCitation":"(Bintanja and Selten, 2014)"},"properties":{"noteIndex":0},"schema":"https://github.com/citation-style-language/schema/raw/master/csl-citation.json"}</w:instrText>
            </w:r>
            <w:r>
              <w:rPr>
                <w:sz w:val="20"/>
                <w:szCs w:val="20"/>
                <w:lang w:val="en-US"/>
              </w:rPr>
              <w:fldChar w:fldCharType="separate"/>
            </w:r>
            <w:r w:rsidRPr="00E46678">
              <w:rPr>
                <w:noProof/>
                <w:sz w:val="20"/>
                <w:szCs w:val="20"/>
                <w:lang w:val="en-US"/>
              </w:rPr>
              <w:t>(Bintanja and Selten, 2014)</w:t>
            </w:r>
            <w:r>
              <w:rPr>
                <w:sz w:val="20"/>
                <w:szCs w:val="20"/>
                <w:lang w:val="en-US"/>
              </w:rPr>
              <w:fldChar w:fldCharType="end"/>
            </w:r>
          </w:p>
        </w:tc>
        <w:tc>
          <w:tcPr>
            <w:tcW w:w="1559" w:type="dxa"/>
          </w:tcPr>
          <w:p w14:paraId="47BFC986" w14:textId="4AF758DF" w:rsidR="00674A37" w:rsidRPr="00A51A78" w:rsidRDefault="00674A37">
            <w:pPr>
              <w:rPr>
                <w:sz w:val="20"/>
                <w:szCs w:val="20"/>
                <w:lang w:val="en-US"/>
              </w:rPr>
            </w:pPr>
            <w:r>
              <w:rPr>
                <w:sz w:val="20"/>
                <w:szCs w:val="20"/>
                <w:lang w:val="en-US"/>
              </w:rPr>
              <w:t>0-1070 ka</w:t>
            </w:r>
          </w:p>
        </w:tc>
        <w:tc>
          <w:tcPr>
            <w:tcW w:w="3874" w:type="dxa"/>
          </w:tcPr>
          <w:p w14:paraId="23A2E356" w14:textId="75577333" w:rsidR="00674A37" w:rsidRPr="00A51A78" w:rsidRDefault="00674A37">
            <w:pPr>
              <w:rPr>
                <w:sz w:val="20"/>
                <w:szCs w:val="20"/>
                <w:lang w:val="en-US"/>
              </w:rPr>
            </w:pPr>
            <w:r>
              <w:rPr>
                <w:sz w:val="20"/>
                <w:szCs w:val="20"/>
                <w:lang w:val="en-US"/>
              </w:rPr>
              <w:t>Model</w:t>
            </w:r>
          </w:p>
        </w:tc>
        <w:tc>
          <w:tcPr>
            <w:tcW w:w="2217" w:type="dxa"/>
          </w:tcPr>
          <w:p w14:paraId="3AF822EC" w14:textId="77777777" w:rsidR="00674A37" w:rsidRPr="00A51A78" w:rsidRDefault="00674A37">
            <w:pPr>
              <w:rPr>
                <w:sz w:val="20"/>
                <w:szCs w:val="20"/>
                <w:lang w:val="en-US"/>
              </w:rPr>
            </w:pPr>
          </w:p>
        </w:tc>
      </w:tr>
      <w:tr w:rsidR="00674A37" w:rsidRPr="0005471C" w14:paraId="4B721723" w14:textId="774D4967" w:rsidTr="00674A37">
        <w:tc>
          <w:tcPr>
            <w:tcW w:w="1980" w:type="dxa"/>
          </w:tcPr>
          <w:p w14:paraId="00D73968" w14:textId="18AACFBF" w:rsidR="00674A37" w:rsidRPr="00A51A78" w:rsidRDefault="00674A37">
            <w:pPr>
              <w:rPr>
                <w:sz w:val="20"/>
                <w:szCs w:val="20"/>
                <w:lang w:val="en-US"/>
              </w:rPr>
            </w:pPr>
            <w:r>
              <w:rPr>
                <w:sz w:val="20"/>
                <w:szCs w:val="20"/>
                <w:lang w:val="en-US"/>
              </w:rPr>
              <w:fldChar w:fldCharType="begin" w:fldLock="1"/>
            </w:r>
            <w:r>
              <w:rPr>
                <w:sz w:val="20"/>
                <w:szCs w:val="20"/>
                <w:lang w:val="en-US"/>
              </w:rPr>
              <w:instrText xml:space="preserve">ADDIN CSL_CITATION {"citationItems":[{"id":"ITEM-1","itemData":{"DOI":"10.5194/CP-12-1079-2016","ISSN":"18149332","abstract":"Late Pleistocene sea level has been reconstructed from ocean sediment core data using a wide variety of proxies and models. However, the accuracy of individual reconstructions is limited by measurement error, local variations in salinity and temperature, and assumptions particular to each technique. Here we present a sea level stack (average) which increases the signal-to-noise ratio of individual reconstructions. Specifically, we perform principal component analysis (PCA) on seven records from 0 to 430 ka and five records from 0 to 798 ka. The first principal component, which we use as the stack, describes </w:instrText>
            </w:r>
            <w:r>
              <w:rPr>
                <w:rFonts w:ascii="Cambria Math" w:hAnsi="Cambria Math" w:cs="Cambria Math"/>
                <w:sz w:val="20"/>
                <w:szCs w:val="20"/>
                <w:lang w:val="en-US"/>
              </w:rPr>
              <w:instrText>∼</w:instrText>
            </w:r>
            <w:r>
              <w:rPr>
                <w:sz w:val="20"/>
                <w:szCs w:val="20"/>
                <w:lang w:val="en-US"/>
              </w:rPr>
              <w:instrText>80% of the variance in the data and is similar using either five or seven records. After scaling the stack based on Holocene and Last Glacial Maximum (LGM) sea level estimates, the stack agrees to within 5 m with isostatically adjusted coral sea level estimates for Marine Isotope Stages 5e and 11 (125 and 400 ka, respectively). Bootstrapping and random sampling yield mean uncertainty estimates of 9-12 m (1σ) for the scaled stack. Sea level change accounts for about 45% of the total orbital-band variance in benthic δ18O, compared to a 65% contribution during the LGM-to-Holocene transition. Additionally, the second and third principal components of our analyses reflect differences between proxy records associated with spatial variations in the δ18O of seawater.","author":[{"dropping-particle":"","family":"Spratt","given":"Rachel M.","non-dropping-particle":"","parse-names":false,"suffix":""},{"dropping-particle":"","family":"Lisiecki","given":"Lorraine E.","non-dropping-particle":"","parse-names":false,"suffix":""}],"container-title":"Climate of the Past","id":"ITEM-1","issue":"4","issued":{"date-parts":[["2016","4","26"]]},"page":"1079-1092","publisher":"Copernicus GmbH","title":"A Late Pleistocene sea level stack","type":"article-journal","volume":"12"},"uris":["http://www.mendeley.com/documents/?uuid=1332cde8-2396-34a6-b783-cf7f1fc84413"]}],"mendeley":{"formattedCitation":"(Spratt and Lisiecki, 2016)","plainTextFormattedCitation":"(Spratt and Lisiecki, 2016)","previouslyFormattedCitation":"(Spratt and Lisiecki, 2016)"},"properties":{"noteIndex":0},"schema":"https://github.com/citation-style-language/schema/raw/master/csl-citation.json"}</w:instrText>
            </w:r>
            <w:r>
              <w:rPr>
                <w:sz w:val="20"/>
                <w:szCs w:val="20"/>
                <w:lang w:val="en-US"/>
              </w:rPr>
              <w:fldChar w:fldCharType="separate"/>
            </w:r>
            <w:r w:rsidRPr="00CB35E7">
              <w:rPr>
                <w:noProof/>
                <w:sz w:val="20"/>
                <w:szCs w:val="20"/>
                <w:lang w:val="en-US"/>
              </w:rPr>
              <w:t>(Spratt and Lisiecki, 2016)</w:t>
            </w:r>
            <w:r>
              <w:rPr>
                <w:sz w:val="20"/>
                <w:szCs w:val="20"/>
                <w:lang w:val="en-US"/>
              </w:rPr>
              <w:fldChar w:fldCharType="end"/>
            </w:r>
          </w:p>
        </w:tc>
        <w:tc>
          <w:tcPr>
            <w:tcW w:w="1559" w:type="dxa"/>
          </w:tcPr>
          <w:p w14:paraId="76490C60" w14:textId="77777777" w:rsidR="00674A37" w:rsidRDefault="00674A37">
            <w:pPr>
              <w:rPr>
                <w:sz w:val="20"/>
                <w:szCs w:val="20"/>
                <w:lang w:val="en-US"/>
              </w:rPr>
            </w:pPr>
            <w:r>
              <w:rPr>
                <w:sz w:val="20"/>
                <w:szCs w:val="20"/>
                <w:lang w:val="en-US"/>
              </w:rPr>
              <w:t>0-798 ka</w:t>
            </w:r>
          </w:p>
          <w:p w14:paraId="2CADDCA0" w14:textId="77777777" w:rsidR="00674A37" w:rsidRDefault="00674A37">
            <w:pPr>
              <w:rPr>
                <w:sz w:val="20"/>
                <w:szCs w:val="20"/>
                <w:lang w:val="en-US"/>
              </w:rPr>
            </w:pPr>
            <w:r>
              <w:rPr>
                <w:sz w:val="20"/>
                <w:szCs w:val="20"/>
                <w:lang w:val="en-US"/>
              </w:rPr>
              <w:t>(0-430 ka at a higher resolution)</w:t>
            </w:r>
          </w:p>
          <w:p w14:paraId="01092CF8" w14:textId="77777777" w:rsidR="00674A37" w:rsidRDefault="00674A37">
            <w:pPr>
              <w:rPr>
                <w:sz w:val="20"/>
                <w:szCs w:val="20"/>
                <w:lang w:val="en-US"/>
              </w:rPr>
            </w:pPr>
          </w:p>
          <w:p w14:paraId="5BC1E993" w14:textId="640B62AB" w:rsidR="00674A37" w:rsidRPr="00A51A78" w:rsidRDefault="00674A37">
            <w:pPr>
              <w:rPr>
                <w:sz w:val="20"/>
                <w:szCs w:val="20"/>
                <w:lang w:val="en-US"/>
              </w:rPr>
            </w:pPr>
            <w:r w:rsidRPr="0005471C">
              <w:rPr>
                <w:sz w:val="20"/>
                <w:szCs w:val="20"/>
              </w:rPr>
              <w:t xml:space="preserve">1–3 </w:t>
            </w:r>
            <w:proofErr w:type="spellStart"/>
            <w:r w:rsidRPr="0005471C">
              <w:rPr>
                <w:sz w:val="20"/>
                <w:szCs w:val="20"/>
              </w:rPr>
              <w:t>kyr</w:t>
            </w:r>
            <w:proofErr w:type="spellEnd"/>
            <w:r>
              <w:rPr>
                <w:sz w:val="20"/>
                <w:szCs w:val="20"/>
              </w:rPr>
              <w:t xml:space="preserve"> resolution</w:t>
            </w:r>
          </w:p>
        </w:tc>
        <w:tc>
          <w:tcPr>
            <w:tcW w:w="3874" w:type="dxa"/>
          </w:tcPr>
          <w:p w14:paraId="2CD0A8CF" w14:textId="77777777" w:rsidR="00674A37" w:rsidRDefault="00674A37">
            <w:pPr>
              <w:rPr>
                <w:sz w:val="20"/>
                <w:szCs w:val="20"/>
              </w:rPr>
            </w:pPr>
            <w:r w:rsidRPr="00010824">
              <w:rPr>
                <w:sz w:val="20"/>
                <w:szCs w:val="20"/>
              </w:rPr>
              <w:t>(PCA) of 7 sea-level records (5 for the full 798 ka)</w:t>
            </w:r>
          </w:p>
          <w:p w14:paraId="73AD88F5" w14:textId="6E75180B" w:rsidR="00674A37" w:rsidRDefault="00504280" w:rsidP="00010824">
            <w:pPr>
              <w:numPr>
                <w:ilvl w:val="0"/>
                <w:numId w:val="2"/>
              </w:numPr>
              <w:rPr>
                <w:sz w:val="20"/>
                <w:szCs w:val="20"/>
                <w:lang w:val="da-DK"/>
              </w:rPr>
            </w:pPr>
            <w:r>
              <w:rPr>
                <w:sz w:val="20"/>
                <w:szCs w:val="20"/>
              </w:rPr>
              <w:t>Used foraminifera, coral and models</w:t>
            </w:r>
          </w:p>
          <w:p w14:paraId="4AA73655" w14:textId="455487BC" w:rsidR="00674A37" w:rsidRPr="00010824" w:rsidRDefault="00674A37" w:rsidP="0005471C">
            <w:pPr>
              <w:rPr>
                <w:sz w:val="20"/>
                <w:szCs w:val="20"/>
              </w:rPr>
            </w:pPr>
            <w:r w:rsidRPr="0005471C">
              <w:rPr>
                <w:sz w:val="20"/>
                <w:szCs w:val="20"/>
              </w:rPr>
              <w:t>Dating: Aligned to the LR04 benthic δ¹⁸O stack (orbitally tuned).</w:t>
            </w:r>
          </w:p>
          <w:p w14:paraId="392A9F58" w14:textId="20E0C3E6" w:rsidR="00674A37" w:rsidRPr="0005471C" w:rsidRDefault="00674A37">
            <w:pPr>
              <w:rPr>
                <w:sz w:val="20"/>
                <w:szCs w:val="20"/>
              </w:rPr>
            </w:pPr>
          </w:p>
        </w:tc>
        <w:tc>
          <w:tcPr>
            <w:tcW w:w="2217" w:type="dxa"/>
          </w:tcPr>
          <w:p w14:paraId="332FCA56" w14:textId="69D752C2" w:rsidR="00674A37" w:rsidRPr="0005471C" w:rsidRDefault="00674A37">
            <w:pPr>
              <w:rPr>
                <w:sz w:val="20"/>
                <w:szCs w:val="20"/>
              </w:rPr>
            </w:pPr>
            <w:r w:rsidRPr="0052646B">
              <w:rPr>
                <w:sz w:val="20"/>
                <w:szCs w:val="20"/>
              </w:rPr>
              <w:t>Global, but incorporates regional RSL proxies</w:t>
            </w:r>
          </w:p>
        </w:tc>
      </w:tr>
      <w:tr w:rsidR="00674A37" w:rsidRPr="0005471C" w14:paraId="6E0ADD40" w14:textId="2D9F2675" w:rsidTr="00674A37">
        <w:tc>
          <w:tcPr>
            <w:tcW w:w="1980" w:type="dxa"/>
          </w:tcPr>
          <w:p w14:paraId="72EE8802" w14:textId="3FF013AE" w:rsidR="00674A37" w:rsidRPr="0005471C" w:rsidRDefault="00674A37">
            <w:pPr>
              <w:rPr>
                <w:sz w:val="20"/>
                <w:szCs w:val="20"/>
              </w:rPr>
            </w:pPr>
            <w:r>
              <w:rPr>
                <w:sz w:val="20"/>
                <w:szCs w:val="20"/>
              </w:rPr>
              <w:fldChar w:fldCharType="begin" w:fldLock="1"/>
            </w:r>
            <w:r w:rsidR="00D612C7">
              <w:rPr>
                <w:sz w:val="20"/>
                <w:szCs w:val="20"/>
              </w:rPr>
              <w:instrText>ADDIN CSL_CITATION {"citationItems":[{"id":"ITEM-1","itemData":{"DOI":"10.1038/nature13230","ISSN":"14764687","PMID":"24739960","abstract":"Ice volume (and hence sea level) and deep-sea temperature are key measures of global climate change. Sea level has been documented using several independent methods over the past 0.5 million years (Myr). Older periods, however, lack such independent validation; all existing records are related to deep-sea oxygen isotope (Î́ 18 O) data that are influenced by processes unrelated to sea level. For deep-sea temperature, only one continuous high-resolution (Mg/Ca-based) record exists, with related sea-level estimates, spanning the past 1.5 Myr. Here we present a novel sea-level reconstruction, with associated estimates of deep-sea temperature, which independently validates the previous 0-1.5 Myr reconstruction and extends it back to 5.3 Myr ago. We find that deep-sea temperature and sea level generally decreased through time, but distinctly out of synchrony, which is remarkable given the importance of ice-albedo feedbacks on the radiative forcing of climate. In particular, we observe a large temporal offset during the onset of Plio-Pleistocene ice ages, between a marked cooling step at 2.73 Myr ago and the first major glaciation at 2.15 Myr ago. Last, we tentatively infer that ice sheets may have grown largest during glacials with more modest reductions in deep-sea temperature. © 2014 Macmillan Publishers Limited.","author":[{"dropping-particle":"","family":"Rohling","given":"E. J.","non-dropping-particle":"","parse-names":false,"suffix":""},{"dropping-particle":"","family":"Foster","given":"G. L.","non-dropping-particle":"","parse-names":false,"suffix":""},{"dropping-particle":"","family":"Grant","given":"K. M.","non-dropping-particle":"","parse-names":false,"suffix":""},{"dropping-particle":"","family":"Marino","given":"G.","non-dropping-particle":"","parse-names":false,"suffix":""},{"dropping-particle":"","family":"Roberts","given":"A. P.","non-dropping-particle":"","parse-names":false,"suffix":""},{"dropping-particle":"","family":"Tamisiea","given":"M. E.","non-dropping-particle":"","parse-names":false,"suffix":""},{"dropping-particle":"","family":"Williams","given":"F.","non-dropping-particle":"","parse-names":false,"suffix":""}],"container-title":"Nature","id":"ITEM-1","issue":"7497","issued":{"date-parts":[["2014"]]},"page":"477-482","publisher":"Nature Publishing Group","title":"Sea-level and deep-sea-temperature variability over the past 5.3 million years","type":"article-journal","volume":"508"},"uris":["http://www.mendeley.com/documents/?uuid=09d972f9-bbd9-4a1d-a775-ced391acbcbb"]}],"mendeley":{"formattedCitation":"(Rohling et al., 2014)","plainTextFormattedCitation":"(Rohling et al., 2014)","previouslyFormattedCitation":"(Rohling et al., 2014)"},"properties":{"noteIndex":0},"schema":"https://github.com/citation-style-language/schema/raw/master/csl-citation.json"}</w:instrText>
            </w:r>
            <w:r>
              <w:rPr>
                <w:sz w:val="20"/>
                <w:szCs w:val="20"/>
              </w:rPr>
              <w:fldChar w:fldCharType="separate"/>
            </w:r>
            <w:r w:rsidRPr="0061427E">
              <w:rPr>
                <w:noProof/>
                <w:sz w:val="20"/>
                <w:szCs w:val="20"/>
              </w:rPr>
              <w:t>(Rohling et al., 2014)</w:t>
            </w:r>
            <w:r>
              <w:rPr>
                <w:sz w:val="20"/>
                <w:szCs w:val="20"/>
              </w:rPr>
              <w:fldChar w:fldCharType="end"/>
            </w:r>
          </w:p>
        </w:tc>
        <w:tc>
          <w:tcPr>
            <w:tcW w:w="1559" w:type="dxa"/>
          </w:tcPr>
          <w:p w14:paraId="43E49CF4" w14:textId="3CE98463" w:rsidR="00674A37" w:rsidRPr="0005471C" w:rsidRDefault="00674A37">
            <w:pPr>
              <w:rPr>
                <w:sz w:val="20"/>
                <w:szCs w:val="20"/>
              </w:rPr>
            </w:pPr>
            <w:r w:rsidRPr="008D477C">
              <w:rPr>
                <w:sz w:val="20"/>
                <w:szCs w:val="20"/>
              </w:rPr>
              <w:t>5.3 million years (Myr) to present.</w:t>
            </w:r>
          </w:p>
        </w:tc>
        <w:tc>
          <w:tcPr>
            <w:tcW w:w="3874" w:type="dxa"/>
          </w:tcPr>
          <w:p w14:paraId="34660998" w14:textId="20C953D3" w:rsidR="00674A37" w:rsidRPr="0005471C" w:rsidRDefault="00674A37">
            <w:pPr>
              <w:rPr>
                <w:sz w:val="20"/>
                <w:szCs w:val="20"/>
              </w:rPr>
            </w:pPr>
            <w:r w:rsidRPr="008D477C">
              <w:rPr>
                <w:sz w:val="20"/>
                <w:szCs w:val="20"/>
              </w:rPr>
              <w:t> planktonic foraminiferal δ¹⁸O from eastern Mediterranean sediments</w:t>
            </w:r>
          </w:p>
        </w:tc>
        <w:tc>
          <w:tcPr>
            <w:tcW w:w="2217" w:type="dxa"/>
          </w:tcPr>
          <w:p w14:paraId="498AD499" w14:textId="77777777" w:rsidR="00674A37" w:rsidRPr="0005471C" w:rsidRDefault="00674A37">
            <w:pPr>
              <w:rPr>
                <w:sz w:val="20"/>
                <w:szCs w:val="20"/>
              </w:rPr>
            </w:pPr>
          </w:p>
        </w:tc>
      </w:tr>
    </w:tbl>
    <w:p w14:paraId="46261AE8" w14:textId="77777777" w:rsidR="00AD53DC" w:rsidRDefault="00AD53DC"/>
    <w:p w14:paraId="7ADF4126" w14:textId="77777777" w:rsidR="005101F7" w:rsidRDefault="005101F7"/>
    <w:p w14:paraId="677EE1C5" w14:textId="27BB1B9F" w:rsidR="00D612C7" w:rsidRPr="00D612C7" w:rsidRDefault="00D612C7" w:rsidP="00D612C7">
      <w:pPr>
        <w:widowControl w:val="0"/>
        <w:autoSpaceDE w:val="0"/>
        <w:autoSpaceDN w:val="0"/>
        <w:adjustRightInd w:val="0"/>
        <w:spacing w:line="240" w:lineRule="auto"/>
        <w:ind w:left="480" w:hanging="480"/>
        <w:rPr>
          <w:rFonts w:ascii="Calibri" w:hAnsi="Calibri" w:cs="Calibri"/>
          <w:noProof/>
          <w:kern w:val="0"/>
        </w:rPr>
      </w:pPr>
      <w:r>
        <w:fldChar w:fldCharType="begin" w:fldLock="1"/>
      </w:r>
      <w:r>
        <w:instrText xml:space="preserve">ADDIN Mendeley Bibliography CSL_BIBLIOGRAPHY </w:instrText>
      </w:r>
      <w:r>
        <w:fldChar w:fldCharType="separate"/>
      </w:r>
      <w:r w:rsidRPr="00D612C7">
        <w:rPr>
          <w:rFonts w:ascii="Calibri" w:hAnsi="Calibri" w:cs="Calibri"/>
          <w:noProof/>
          <w:kern w:val="0"/>
        </w:rPr>
        <w:t>Bintanja, R., Selten, F.M., 2014. Future increases in Arctic precipitation linked to local evaporation and sea-ice retreat. Nature 509, 479–482. https://doi.org/10.1038/NATURE13259,</w:t>
      </w:r>
    </w:p>
    <w:p w14:paraId="09A81EF5" w14:textId="77777777" w:rsidR="00D612C7" w:rsidRPr="00D612C7" w:rsidRDefault="00D612C7" w:rsidP="00D612C7">
      <w:pPr>
        <w:widowControl w:val="0"/>
        <w:autoSpaceDE w:val="0"/>
        <w:autoSpaceDN w:val="0"/>
        <w:adjustRightInd w:val="0"/>
        <w:spacing w:line="240" w:lineRule="auto"/>
        <w:ind w:left="480" w:hanging="480"/>
        <w:rPr>
          <w:rFonts w:ascii="Calibri" w:hAnsi="Calibri" w:cs="Calibri"/>
          <w:noProof/>
          <w:kern w:val="0"/>
        </w:rPr>
      </w:pPr>
      <w:r w:rsidRPr="00D612C7">
        <w:rPr>
          <w:rFonts w:ascii="Calibri" w:hAnsi="Calibri" w:cs="Calibri"/>
          <w:noProof/>
          <w:kern w:val="0"/>
        </w:rPr>
        <w:t>Grant, K.M., Rohling, E.J., Bronk Ramsey, C., Cheng, H., Edwards, R.L., Florindo, F., Heslop, D., Marra, F., Roberts, A.P., Tamisiea, M.E., Williams, F., 2014. Sea-level variability over five glacial cycles. Nat. Commun. 5, 1–9. https://doi.org/10.1038/NCOMMS6076;TECHMETA=119,140,141;SUBJMETA=106,125,2737,2738,704,829;KWRD=CRYOSPHERIC+SCIENCE,PALAEOCEANOGRAPHY,PHYSICAL+OCEANOGRAPHY</w:t>
      </w:r>
    </w:p>
    <w:p w14:paraId="11B84F0F" w14:textId="77777777" w:rsidR="00D612C7" w:rsidRPr="00D612C7" w:rsidRDefault="00D612C7" w:rsidP="00D612C7">
      <w:pPr>
        <w:widowControl w:val="0"/>
        <w:autoSpaceDE w:val="0"/>
        <w:autoSpaceDN w:val="0"/>
        <w:adjustRightInd w:val="0"/>
        <w:spacing w:line="240" w:lineRule="auto"/>
        <w:ind w:left="480" w:hanging="480"/>
        <w:rPr>
          <w:rFonts w:ascii="Calibri" w:hAnsi="Calibri" w:cs="Calibri"/>
          <w:noProof/>
          <w:kern w:val="0"/>
        </w:rPr>
      </w:pPr>
      <w:r w:rsidRPr="00D612C7">
        <w:rPr>
          <w:rFonts w:ascii="Calibri" w:hAnsi="Calibri" w:cs="Calibri"/>
          <w:noProof/>
          <w:kern w:val="0"/>
        </w:rPr>
        <w:t>Lambeck, K., Rouby, H., Purcell, A., Sun, Y., Sambridge, M., 2014. Sea level and global ice volumes from the Last Glacial Maximum to the Holocene. Proc. Natl. Acad. Sci. U. S. A. 111, 15296–15303. https://doi.org/10.1073/PNAS.1411762111/SUPPL_FILE/PNAS.1411762111.SAPP.PDF</w:t>
      </w:r>
    </w:p>
    <w:p w14:paraId="66BDB2D0" w14:textId="77777777" w:rsidR="00D612C7" w:rsidRPr="00D612C7" w:rsidRDefault="00D612C7" w:rsidP="00D612C7">
      <w:pPr>
        <w:widowControl w:val="0"/>
        <w:autoSpaceDE w:val="0"/>
        <w:autoSpaceDN w:val="0"/>
        <w:adjustRightInd w:val="0"/>
        <w:spacing w:line="240" w:lineRule="auto"/>
        <w:ind w:left="480" w:hanging="480"/>
        <w:rPr>
          <w:rFonts w:ascii="Calibri" w:hAnsi="Calibri" w:cs="Calibri"/>
          <w:noProof/>
          <w:kern w:val="0"/>
        </w:rPr>
      </w:pPr>
      <w:r w:rsidRPr="00D612C7">
        <w:rPr>
          <w:rFonts w:ascii="Calibri" w:hAnsi="Calibri" w:cs="Calibri"/>
          <w:noProof/>
          <w:kern w:val="0"/>
        </w:rPr>
        <w:lastRenderedPageBreak/>
        <w:t>Rohling, E.J., Foster, G.L., Grant, K.M., Marino, G., Roberts, A.P., Tamisiea, M.E., Williams, F., 2014. Sea-level and deep-sea-temperature variability over the past 5.3 million years. Nature 508, 477–482. https://doi.org/10.1038/nature13230</w:t>
      </w:r>
    </w:p>
    <w:p w14:paraId="1681B087" w14:textId="77777777" w:rsidR="00D612C7" w:rsidRPr="00D612C7" w:rsidRDefault="00D612C7" w:rsidP="00D612C7">
      <w:pPr>
        <w:widowControl w:val="0"/>
        <w:autoSpaceDE w:val="0"/>
        <w:autoSpaceDN w:val="0"/>
        <w:adjustRightInd w:val="0"/>
        <w:spacing w:line="240" w:lineRule="auto"/>
        <w:ind w:left="480" w:hanging="480"/>
        <w:rPr>
          <w:rFonts w:ascii="Calibri" w:hAnsi="Calibri" w:cs="Calibri"/>
          <w:noProof/>
        </w:rPr>
      </w:pPr>
      <w:r w:rsidRPr="00D612C7">
        <w:rPr>
          <w:rFonts w:ascii="Calibri" w:hAnsi="Calibri" w:cs="Calibri"/>
          <w:noProof/>
          <w:kern w:val="0"/>
        </w:rPr>
        <w:t>Spratt, R.M., Lisiecki, L.E., 2016. A Late Pleistocene sea level stack. Clim. Past 12, 1079–1092. https://doi.org/10.5194/CP-12-1079-2016</w:t>
      </w:r>
    </w:p>
    <w:p w14:paraId="7FE74FC9" w14:textId="2F1BD3A8" w:rsidR="005101F7" w:rsidRPr="0005471C" w:rsidRDefault="00D612C7">
      <w:r>
        <w:fldChar w:fldCharType="end"/>
      </w:r>
    </w:p>
    <w:sectPr w:rsidR="005101F7" w:rsidRPr="0005471C" w:rsidSect="00674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881DD9"/>
    <w:multiLevelType w:val="multilevel"/>
    <w:tmpl w:val="A238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F91AE9"/>
    <w:multiLevelType w:val="hybridMultilevel"/>
    <w:tmpl w:val="8A72C686"/>
    <w:lvl w:ilvl="0" w:tplc="615A4DD0">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431752">
    <w:abstractNumId w:val="1"/>
  </w:num>
  <w:num w:numId="2" w16cid:durableId="1920864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4E"/>
    <w:rsid w:val="00010824"/>
    <w:rsid w:val="0002734E"/>
    <w:rsid w:val="0005471C"/>
    <w:rsid w:val="0013035F"/>
    <w:rsid w:val="00184182"/>
    <w:rsid w:val="00233454"/>
    <w:rsid w:val="002550F4"/>
    <w:rsid w:val="00497A4E"/>
    <w:rsid w:val="00504280"/>
    <w:rsid w:val="005101F7"/>
    <w:rsid w:val="0052646B"/>
    <w:rsid w:val="005B13EB"/>
    <w:rsid w:val="005B3F7A"/>
    <w:rsid w:val="00606D5A"/>
    <w:rsid w:val="0061427E"/>
    <w:rsid w:val="00674A37"/>
    <w:rsid w:val="008279AF"/>
    <w:rsid w:val="008D477C"/>
    <w:rsid w:val="008F351D"/>
    <w:rsid w:val="00943026"/>
    <w:rsid w:val="009473EA"/>
    <w:rsid w:val="009D718D"/>
    <w:rsid w:val="00A51A78"/>
    <w:rsid w:val="00A8796B"/>
    <w:rsid w:val="00AC29A8"/>
    <w:rsid w:val="00AD53DC"/>
    <w:rsid w:val="00C72EC6"/>
    <w:rsid w:val="00C93DA9"/>
    <w:rsid w:val="00CB35E7"/>
    <w:rsid w:val="00D612C7"/>
    <w:rsid w:val="00E46678"/>
  </w:rsids>
  <m:mathPr>
    <m:mathFont m:val="Cambria Math"/>
    <m:brkBin m:val="before"/>
    <m:brkBinSub m:val="--"/>
    <m:smallFrac m:val="0"/>
    <m:dispDef/>
    <m:lMargin m:val="0"/>
    <m:rMargin m:val="0"/>
    <m:defJc m:val="centerGroup"/>
    <m:wrapIndent m:val="1440"/>
    <m:intLim m:val="subSup"/>
    <m:naryLim m:val="undOvr"/>
  </m:mathPr>
  <w:themeFontLang w:val="en-IN" w:eastAsia="zh-C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20148"/>
  <w15:chartTrackingRefBased/>
  <w15:docId w15:val="{EFB99B06-B6D0-4030-87BD-B07E5B25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o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A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7A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7A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7A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7A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7A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A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A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A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A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7A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7A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7A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7A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7A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A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A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A4E"/>
    <w:rPr>
      <w:rFonts w:eastAsiaTheme="majorEastAsia" w:cstheme="majorBidi"/>
      <w:color w:val="272727" w:themeColor="text1" w:themeTint="D8"/>
    </w:rPr>
  </w:style>
  <w:style w:type="paragraph" w:styleId="Title">
    <w:name w:val="Title"/>
    <w:basedOn w:val="Normal"/>
    <w:next w:val="Normal"/>
    <w:link w:val="TitleChar"/>
    <w:uiPriority w:val="10"/>
    <w:qFormat/>
    <w:rsid w:val="00497A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A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A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A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A4E"/>
    <w:pPr>
      <w:spacing w:before="160"/>
      <w:jc w:val="center"/>
    </w:pPr>
    <w:rPr>
      <w:i/>
      <w:iCs/>
      <w:color w:val="404040" w:themeColor="text1" w:themeTint="BF"/>
    </w:rPr>
  </w:style>
  <w:style w:type="character" w:customStyle="1" w:styleId="QuoteChar">
    <w:name w:val="Quote Char"/>
    <w:basedOn w:val="DefaultParagraphFont"/>
    <w:link w:val="Quote"/>
    <w:uiPriority w:val="29"/>
    <w:rsid w:val="00497A4E"/>
    <w:rPr>
      <w:i/>
      <w:iCs/>
      <w:color w:val="404040" w:themeColor="text1" w:themeTint="BF"/>
    </w:rPr>
  </w:style>
  <w:style w:type="paragraph" w:styleId="ListParagraph">
    <w:name w:val="List Paragraph"/>
    <w:basedOn w:val="Normal"/>
    <w:uiPriority w:val="34"/>
    <w:qFormat/>
    <w:rsid w:val="00497A4E"/>
    <w:pPr>
      <w:ind w:left="720"/>
      <w:contextualSpacing/>
    </w:pPr>
  </w:style>
  <w:style w:type="character" w:styleId="IntenseEmphasis">
    <w:name w:val="Intense Emphasis"/>
    <w:basedOn w:val="DefaultParagraphFont"/>
    <w:uiPriority w:val="21"/>
    <w:qFormat/>
    <w:rsid w:val="00497A4E"/>
    <w:rPr>
      <w:i/>
      <w:iCs/>
      <w:color w:val="2F5496" w:themeColor="accent1" w:themeShade="BF"/>
    </w:rPr>
  </w:style>
  <w:style w:type="paragraph" w:styleId="IntenseQuote">
    <w:name w:val="Intense Quote"/>
    <w:basedOn w:val="Normal"/>
    <w:next w:val="Normal"/>
    <w:link w:val="IntenseQuoteChar"/>
    <w:uiPriority w:val="30"/>
    <w:qFormat/>
    <w:rsid w:val="00497A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7A4E"/>
    <w:rPr>
      <w:i/>
      <w:iCs/>
      <w:color w:val="2F5496" w:themeColor="accent1" w:themeShade="BF"/>
    </w:rPr>
  </w:style>
  <w:style w:type="character" w:styleId="IntenseReference">
    <w:name w:val="Intense Reference"/>
    <w:basedOn w:val="DefaultParagraphFont"/>
    <w:uiPriority w:val="32"/>
    <w:qFormat/>
    <w:rsid w:val="00497A4E"/>
    <w:rPr>
      <w:b/>
      <w:bCs/>
      <w:smallCaps/>
      <w:color w:val="2F5496" w:themeColor="accent1" w:themeShade="BF"/>
      <w:spacing w:val="5"/>
    </w:rPr>
  </w:style>
  <w:style w:type="table" w:styleId="TableGrid">
    <w:name w:val="Table Grid"/>
    <w:basedOn w:val="TableNormal"/>
    <w:uiPriority w:val="39"/>
    <w:rsid w:val="00AD5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76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D3529-63A5-4475-BF3D-0627BF5A5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Pages>
  <Words>2415</Words>
  <Characters>13771</Characters>
  <Application>Microsoft Office Word</Application>
  <DocSecurity>0</DocSecurity>
  <Lines>114</Lines>
  <Paragraphs>32</Paragraphs>
  <ScaleCrop>false</ScaleCrop>
  <Company/>
  <LinksUpToDate>false</LinksUpToDate>
  <CharactersWithSpaces>16154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Sarathi Jena</dc:creator>
  <cp:keywords/>
  <dc:description/>
  <cp:lastModifiedBy>Partha Sarathi Jena</cp:lastModifiedBy>
  <cp:revision>29</cp:revision>
  <dcterms:created xsi:type="dcterms:W3CDTF">2025-07-14T11:01:00Z</dcterms:created>
  <dcterms:modified xsi:type="dcterms:W3CDTF">2025-07-18T14:43:00Z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6th/7th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12th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4th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9th edition</vt:lpwstr>
  </property>
  <property fmtid="{D5CDD505-2E9C-101B-9397-08002B2CF9AE}" pid="16" name="Mendeley Recent Style Id 7_1">
    <vt:lpwstr>http://www.zotero.org/styles/nature-communications</vt:lpwstr>
  </property>
  <property fmtid="{D5CDD505-2E9C-101B-9397-08002B2CF9AE}" pid="17" name="Mendeley Recent Style Name 7_1">
    <vt:lpwstr>Nature Communications</vt:lpwstr>
  </property>
  <property fmtid="{D5CDD505-2E9C-101B-9397-08002B2CF9AE}" pid="18" name="Mendeley Recent Style Id 8_1">
    <vt:lpwstr>http://www.zotero.org/styles/quaternary-geochronology</vt:lpwstr>
  </property>
  <property fmtid="{D5CDD505-2E9C-101B-9397-08002B2CF9AE}" pid="19" name="Mendeley Recent Style Name 8_1">
    <vt:lpwstr>Quaternary Geochronology</vt:lpwstr>
  </property>
  <property fmtid="{D5CDD505-2E9C-101B-9397-08002B2CF9AE}" pid="20" name="Mendeley Recent Style Id 9_1">
    <vt:lpwstr>http://www.zotero.org/styles/quaternary-science-reviews</vt:lpwstr>
  </property>
  <property fmtid="{D5CDD505-2E9C-101B-9397-08002B2CF9AE}" pid="21" name="Mendeley Recent Style Name 9_1">
    <vt:lpwstr>Quaternary Science Reviews</vt:lpwstr>
  </property>
  <property fmtid="{D5CDD505-2E9C-101B-9397-08002B2CF9AE}" pid="22" name="Mendeley Document_1">
    <vt:lpwstr>True</vt:lpwstr>
  </property>
  <property fmtid="{D5CDD505-2E9C-101B-9397-08002B2CF9AE}" pid="23" name="Mendeley Unique User Id_1">
    <vt:lpwstr>08cd4112-305a-390c-bddf-b58734a2a19d</vt:lpwstr>
  </property>
  <property fmtid="{D5CDD505-2E9C-101B-9397-08002B2CF9AE}" pid="24" name="Mendeley Citation Style_1">
    <vt:lpwstr>http://www.zotero.org/styles/quaternary-geochronology</vt:lpwstr>
  </property>
</Properties>
</file>