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TECHNICAL APPROVAL MEMORANDUM</w:t>
      </w:r>
    </w:p>
    <w:p>
      <w:r>
        <w:t>Reference No: PSU/REF/2026/088</w:t>
      </w:r>
    </w:p>
    <w:p>
      <w:r>
        <w:t>Classification: INTERNAL / STRICTLY CONFIDENTIAL</w:t>
        <w:br/>
      </w:r>
    </w:p>
    <w:p>
      <w:pPr>
        <w:pStyle w:val="Heading2"/>
      </w:pPr>
      <w:r>
        <w:t>1. Executive Summary</w:t>
      </w:r>
    </w:p>
    <w:p>
      <w:r>
        <w:t>Review of pressure vessel inspection report and thickness gauge findings.</w:t>
      </w:r>
    </w:p>
    <w:p>
      <w:pPr>
        <w:pStyle w:val="Heading2"/>
      </w:pPr>
      <w:r>
        <w:t>2. Key Inspection Findings</w:t>
      </w:r>
    </w:p>
    <w:p>
      <w:pPr>
        <w:pStyle w:val="ListBullet"/>
      </w:pPr>
      <w:r>
        <w:t>Ultrasonic thickness measurement meets minimum threshold (12.4mm vs 10.0mm required).</w:t>
      </w:r>
    </w:p>
    <w:p>
      <w:pPr>
        <w:pStyle w:val="ListBullet"/>
      </w:pPr>
      <w:r>
        <w:t>No stress corrosion cracking observed on nozzle welds.</w:t>
      </w:r>
    </w:p>
    <w:p>
      <w:pPr>
        <w:pStyle w:val="ListBullet"/>
      </w:pPr>
      <w:r>
        <w:t>Complies with Indian Standard IS-2825 Class 1 requirements.</w:t>
      </w:r>
    </w:p>
    <w:p>
      <w:pPr>
        <w:pStyle w:val="Heading2"/>
      </w:pPr>
      <w:r>
        <w:t>3. Recommendations &amp; Sign-off</w:t>
      </w:r>
    </w:p>
    <w:p>
      <w:r>
        <w:t>Approve operational clearance for refinery hydrocracker 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