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Georgia" w:cs="Georgia" w:eastAsia="Georgia" w:hAnsi="Georgia"/>
          <w:b/>
          <w:bCs/>
          <w:color w:val="0B1E3D"/>
          <w:sz w:val="52"/>
          <w:szCs w:val="52"/>
        </w:rPr>
        <w:t xml:space="preserve">P.A. LEGAL CONSULTANT</w:t>
      </w:r>
    </w:p>
    <w:p>
      <w:pPr>
        <w:pBdr>
          <w:top w:val="single" w:color="C9A94A" w:sz="6" w:space="10"/>
        </w:pBdr>
        <w:spacing w:after="100" w:before="200"/>
        <w:jc w:val="center"/>
      </w:pPr>
    </w:p>
    <w:p>
      <w:pPr>
        <w:spacing w:after="1600"/>
        <w:jc w:val="center"/>
      </w:pPr>
      <w:r>
        <w:rPr>
          <w:rFonts w:ascii="Calibri" w:cs="Calibri" w:eastAsia="Calibri" w:hAnsi="Calibri"/>
          <w:color w:val="5B6472"/>
          <w:spacing w:val="20"/>
          <w:sz w:val="24"/>
          <w:szCs w:val="24"/>
        </w:rPr>
        <w:t xml:space="preserve">COUNSEL   ·   STRATEGY   ·   SOLUTION</w:t>
      </w:r>
    </w:p>
    <w:p>
      <w:pPr>
        <w:spacing w:before="3000"/>
        <w:jc w:val="center"/>
      </w:pPr>
      <w:r>
        <w:rPr>
          <w:rFonts w:ascii="Calibri" w:cs="Calibri" w:eastAsia="Calibri" w:hAnsi="Calibri"/>
          <w:b/>
          <w:bCs/>
          <w:color w:val="0B1E3D"/>
          <w:spacing w:val="30"/>
          <w:sz w:val="28"/>
          <w:szCs w:val="28"/>
        </w:rPr>
        <w:t xml:space="preserve">COMPANY PROFILE</w:t>
      </w:r>
    </w:p>
    <w:p>
      <w:pPr>
        <w:spacing w:after="200"/>
        <w:jc w:val="center"/>
      </w:pPr>
      <w:r>
        <w:rPr>
          <w:rFonts w:ascii="Calibri" w:cs="Calibri" w:eastAsia="Calibri" w:hAnsi="Calibri"/>
          <w:color w:val="5B6472"/>
          <w:sz w:val="22"/>
          <w:szCs w:val="22"/>
        </w:rPr>
        <w:t xml:space="preserve">Bangkok, Thailand</w:t>
      </w:r>
    </w:p>
    <w:p>
      <w:pPr>
        <w:sectPr>
          <w:pgSz w:w="11906" w:h="16838" w:orient="portrait"/>
          <w:pgMar w:top="1440" w:right="1440" w:bottom="1440" w:left="1440" w:header="708" w:footer="708" w:gutter="0"/>
          <w:pgNumType/>
          <w:docGrid w:linePitch="360"/>
        </w:sectPr>
      </w:pPr>
    </w:p>
    <w:p>
      <w:pPr>
        <w:pBdr>
          <w:bottom w:val="single" w:color="C9A94A" w:sz="8" w:space="8"/>
        </w:pBdr>
        <w:spacing w:after="400" w:before="200"/>
      </w:pPr>
      <w:r>
        <w:rPr>
          <w:rFonts w:ascii="Calibri" w:cs="Calibri" w:eastAsia="Calibri" w:hAnsi="Calibri"/>
          <w:b/>
          <w:bCs/>
          <w:color w:val="0B1E3D"/>
          <w:spacing w:val="20"/>
          <w:sz w:val="30"/>
          <w:szCs w:val="30"/>
        </w:rPr>
        <w:t xml:space="preserve">TABLE OF CONTENTS</w:t>
      </w:r>
    </w:p>
    <w:p>
      <w:pPr>
        <w:tabs>
          <w:tab w:val="right" w:pos="9026" w:leader="dot"/>
        </w:tabs>
        <w:spacing w:after="220"/>
      </w:pPr>
      <w:r>
        <w:rPr>
          <w:rFonts w:ascii="Calibri" w:cs="Calibri" w:eastAsia="Calibri" w:hAnsi="Calibri"/>
          <w:color w:val="0B1E3D"/>
          <w:sz w:val="24"/>
          <w:szCs w:val="24"/>
        </w:rPr>
        <w:t xml:space="preserve">About us</w:t>
      </w:r>
      <w:r>
        <w:rPr>
          <w:rFonts w:ascii="Calibri" w:cs="Calibri" w:eastAsia="Calibri" w:hAnsi="Calibri"/>
          <w:color w:val="5B6472"/>
          <w:sz w:val="24"/>
          <w:szCs w:val="24"/>
        </w:rPr>
        <w:t xml:space="preserve">	3</w:t>
      </w:r>
    </w:p>
    <w:p>
      <w:pPr>
        <w:tabs>
          <w:tab w:val="right" w:pos="9026" w:leader="dot"/>
        </w:tabs>
        <w:spacing w:after="220"/>
      </w:pPr>
      <w:r>
        <w:rPr>
          <w:rFonts w:ascii="Calibri" w:cs="Calibri" w:eastAsia="Calibri" w:hAnsi="Calibri"/>
          <w:color w:val="0B1E3D"/>
          <w:sz w:val="24"/>
          <w:szCs w:val="24"/>
        </w:rPr>
        <w:t xml:space="preserve">Our services / expertise</w:t>
      </w:r>
      <w:r>
        <w:rPr>
          <w:rFonts w:ascii="Calibri" w:cs="Calibri" w:eastAsia="Calibri" w:hAnsi="Calibri"/>
          <w:color w:val="5B6472"/>
          <w:sz w:val="24"/>
          <w:szCs w:val="24"/>
        </w:rPr>
        <w:t xml:space="preserve">	4</w:t>
      </w:r>
    </w:p>
    <w:p>
      <w:pPr>
        <w:tabs>
          <w:tab w:val="right" w:pos="9026" w:leader="dot"/>
        </w:tabs>
        <w:spacing w:after="220"/>
      </w:pPr>
      <w:r>
        <w:rPr>
          <w:rFonts w:ascii="Calibri" w:cs="Calibri" w:eastAsia="Calibri" w:hAnsi="Calibri"/>
          <w:color w:val="0B1E3D"/>
          <w:sz w:val="24"/>
          <w:szCs w:val="24"/>
        </w:rPr>
        <w:t xml:space="preserve">Our partners / team</w:t>
      </w:r>
      <w:r>
        <w:rPr>
          <w:rFonts w:ascii="Calibri" w:cs="Calibri" w:eastAsia="Calibri" w:hAnsi="Calibri"/>
          <w:color w:val="5B6472"/>
          <w:sz w:val="24"/>
          <w:szCs w:val="24"/>
        </w:rPr>
        <w:t xml:space="preserve">	5</w:t>
      </w:r>
    </w:p>
    <w:p>
      <w:pPr>
        <w:tabs>
          <w:tab w:val="right" w:pos="9026" w:leader="dot"/>
        </w:tabs>
        <w:spacing w:after="220"/>
      </w:pPr>
      <w:r>
        <w:rPr>
          <w:rFonts w:ascii="Calibri" w:cs="Calibri" w:eastAsia="Calibri" w:hAnsi="Calibri"/>
          <w:color w:val="0B1E3D"/>
          <w:sz w:val="24"/>
          <w:szCs w:val="24"/>
        </w:rPr>
        <w:t xml:space="preserve">Contact</w:t>
      </w:r>
      <w:r>
        <w:rPr>
          <w:rFonts w:ascii="Calibri" w:cs="Calibri" w:eastAsia="Calibri" w:hAnsi="Calibri"/>
          <w:color w:val="5B6472"/>
          <w:sz w:val="24"/>
          <w:szCs w:val="24"/>
        </w:rPr>
        <w:t xml:space="preserve">	6</w:t>
      </w:r>
    </w:p>
    <w:p>
      <w:pPr>
        <w:sectPr>
          <w:pgSz w:w="11906" w:h="16838" w:orient="portrait"/>
          <w:pgMar w:top="1440" w:right="1440" w:bottom="1440" w:left="1440" w:header="708" w:footer="708" w:gutter="0"/>
          <w:pgNumType/>
          <w:docGrid w:linePitch="360"/>
        </w:sectPr>
      </w:pPr>
    </w:p>
    <w:p>
      <w:pPr>
        <w:pStyle w:val="Heading1"/>
        <w:pBdr>
          <w:bottom w:val="single" w:color="C9A94A" w:sz="8" w:space="6"/>
        </w:pBdr>
        <w:spacing w:after="160" w:before="320"/>
      </w:pPr>
      <w:r>
        <w:rPr>
          <w:rFonts w:ascii="Calibri" w:cs="Calibri" w:eastAsia="Calibri" w:hAnsi="Calibri"/>
          <w:b/>
          <w:bCs/>
          <w:color w:val="0B1E3D"/>
          <w:spacing w:val="20"/>
          <w:sz w:val="26"/>
          <w:szCs w:val="26"/>
        </w:rPr>
        <w:t xml:space="preserve">ABOUT US</w:t>
      </w:r>
    </w:p>
    <w:p>
      <w:pPr>
        <w:spacing w:after="160" w:line="300"/>
      </w:pPr>
      <w:r>
        <w:rPr>
          <w:rFonts w:ascii="Calibri" w:cs="Calibri" w:eastAsia="Calibri" w:hAnsi="Calibri"/>
          <w:color w:val="2B2B2B"/>
          <w:sz w:val="22"/>
          <w:szCs w:val="22"/>
        </w:rPr>
        <w:t xml:space="preserve">P.A. Legal Consultant Co., Ltd. is a Bangkok-based law firm providing counsel, strategy, and solutions to individuals, entrepreneurs, and businesses operating in Thailand and across the region. We combine rigorous legal analysis with commercial judgment, helping clients make confident decisions rather than simply pointing out the risks.</w:t>
      </w:r>
    </w:p>
    <w:p>
      <w:pPr>
        <w:spacing w:after="160" w:line="300"/>
      </w:pPr>
      <w:r>
        <w:rPr>
          <w:rFonts w:ascii="Calibri" w:cs="Calibri" w:eastAsia="Calibri" w:hAnsi="Calibri"/>
          <w:color w:val="2B2B2B"/>
          <w:sz w:val="22"/>
          <w:szCs w:val="22"/>
        </w:rPr>
        <w:t xml:space="preserve">Our name reflects how we work: every engagement begins with clear counsel on where a client stands, moves through a strategy built around their objectives, and ends with a practical solution they can act on.</w:t>
      </w:r>
    </w:p>
    <w:p>
      <w:pPr>
        <w:spacing w:after="120" w:before="240"/>
      </w:pPr>
      <w:r>
        <w:rPr>
          <w:rFonts w:ascii="Calibri" w:cs="Calibri" w:eastAsia="Calibri" w:hAnsi="Calibri"/>
          <w:b/>
          <w:bCs/>
          <w:color w:val="0B1E3D"/>
          <w:spacing w:val="14"/>
          <w:sz w:val="22"/>
          <w:szCs w:val="22"/>
        </w:rPr>
        <w:t xml:space="preserve">OUR APPROACH</w:t>
      </w:r>
    </w:p>
    <w:p>
      <w:pPr>
        <w:spacing w:after="40" w:before="200"/>
      </w:pPr>
      <w:r>
        <w:rPr>
          <w:rFonts w:ascii="Calibri" w:cs="Calibri" w:eastAsia="Calibri" w:hAnsi="Calibri"/>
          <w:b/>
          <w:bCs/>
          <w:color w:val="C9A94A"/>
          <w:spacing w:val="10"/>
          <w:sz w:val="22"/>
          <w:szCs w:val="22"/>
        </w:rPr>
        <w:t xml:space="preserve">COUNSEL</w:t>
      </w:r>
    </w:p>
    <w:p>
      <w:pPr>
        <w:spacing w:after="120" w:line="280"/>
      </w:pPr>
      <w:r>
        <w:rPr>
          <w:rFonts w:ascii="Calibri" w:cs="Calibri" w:eastAsia="Calibri" w:hAnsi="Calibri"/>
          <w:color w:val="2B2B2B"/>
          <w:sz w:val="22"/>
          <w:szCs w:val="22"/>
        </w:rPr>
        <w:t xml:space="preserve">We start by listening. Before advising, we take the time to understand the client's business, objectives, and constraints, then explain the legal landscape in plain, direct terms — no jargon, no hedging.</w:t>
      </w:r>
    </w:p>
    <w:p>
      <w:pPr>
        <w:spacing w:after="40" w:before="200"/>
      </w:pPr>
      <w:r>
        <w:rPr>
          <w:rFonts w:ascii="Calibri" w:cs="Calibri" w:eastAsia="Calibri" w:hAnsi="Calibri"/>
          <w:b/>
          <w:bCs/>
          <w:color w:val="C9A94A"/>
          <w:spacing w:val="10"/>
          <w:sz w:val="22"/>
          <w:szCs w:val="22"/>
        </w:rPr>
        <w:t xml:space="preserve">STRATEGY</w:t>
      </w:r>
    </w:p>
    <w:p>
      <w:pPr>
        <w:spacing w:after="120" w:line="280"/>
      </w:pPr>
      <w:r>
        <w:rPr>
          <w:rFonts w:ascii="Calibri" w:cs="Calibri" w:eastAsia="Calibri" w:hAnsi="Calibri"/>
          <w:color w:val="2B2B2B"/>
          <w:sz w:val="22"/>
          <w:szCs w:val="22"/>
        </w:rPr>
        <w:t xml:space="preserve">Every matter is different, so we shape an approach around what the client is actually trying to achieve — balancing legal risk, cost, timeline, and commercial priorities rather than offering one-size-fits-all advice.</w:t>
      </w:r>
    </w:p>
    <w:p>
      <w:pPr>
        <w:spacing w:after="40" w:before="200"/>
      </w:pPr>
      <w:r>
        <w:rPr>
          <w:rFonts w:ascii="Calibri" w:cs="Calibri" w:eastAsia="Calibri" w:hAnsi="Calibri"/>
          <w:b/>
          <w:bCs/>
          <w:color w:val="C9A94A"/>
          <w:spacing w:val="10"/>
          <w:sz w:val="22"/>
          <w:szCs w:val="22"/>
        </w:rPr>
        <w:t xml:space="preserve">SOLUTION</w:t>
      </w:r>
    </w:p>
    <w:p>
      <w:pPr>
        <w:spacing w:after="120" w:line="280"/>
      </w:pPr>
      <w:r>
        <w:rPr>
          <w:rFonts w:ascii="Calibri" w:cs="Calibri" w:eastAsia="Calibri" w:hAnsi="Calibri"/>
          <w:color w:val="2B2B2B"/>
          <w:sz w:val="22"/>
          <w:szCs w:val="22"/>
        </w:rPr>
        <w:t xml:space="preserve">We close the loop with action: drafted documents, negotiated terms, resolved disputes, or a clear path forward. Advice is only useful when it leads somewhere, and we hold ourselves to that standard.</w:t>
      </w:r>
    </w:p>
    <w:p>
      <w:pPr>
        <w:spacing w:after="120" w:before="240"/>
      </w:pPr>
      <w:r>
        <w:rPr>
          <w:rFonts w:ascii="Calibri" w:cs="Calibri" w:eastAsia="Calibri" w:hAnsi="Calibri"/>
          <w:b/>
          <w:bCs/>
          <w:color w:val="0B1E3D"/>
          <w:spacing w:val="14"/>
          <w:sz w:val="22"/>
          <w:szCs w:val="22"/>
        </w:rPr>
        <w:t xml:space="preserve">OUR COMMITMENT</w:t>
      </w:r>
    </w:p>
    <w:p>
      <w:pPr>
        <w:spacing w:after="160" w:line="300"/>
      </w:pPr>
      <w:r>
        <w:rPr>
          <w:rFonts w:ascii="Calibri" w:cs="Calibri" w:eastAsia="Calibri" w:hAnsi="Calibri"/>
          <w:color w:val="2B2B2B"/>
          <w:sz w:val="22"/>
          <w:szCs w:val="22"/>
        </w:rPr>
        <w:t xml:space="preserve">We measure our work by outcomes, not billable hours. Clients come to P.A. Legal Consultant for clarity in complex situations and for a team that stays accountable from the first consultation through to resolution.</w:t>
      </w:r>
    </w:p>
    <w:p>
      <w:r>
        <w:br w:type="page"/>
      </w:r>
    </w:p>
    <w:p>
      <w:pPr>
        <w:pStyle w:val="Heading1"/>
        <w:pBdr>
          <w:bottom w:val="single" w:color="C9A94A" w:sz="8" w:space="6"/>
        </w:pBdr>
        <w:spacing w:after="160" w:before="320"/>
      </w:pPr>
      <w:r>
        <w:rPr>
          <w:rFonts w:ascii="Calibri" w:cs="Calibri" w:eastAsia="Calibri" w:hAnsi="Calibri"/>
          <w:b/>
          <w:bCs/>
          <w:color w:val="0B1E3D"/>
          <w:spacing w:val="20"/>
          <w:sz w:val="26"/>
          <w:szCs w:val="26"/>
        </w:rPr>
        <w:t xml:space="preserve">OUR SERVICES / EXPERTISE</w:t>
      </w:r>
    </w:p>
    <w:p>
      <w:pPr>
        <w:spacing w:after="160" w:line="300"/>
      </w:pPr>
      <w:r>
        <w:rPr>
          <w:rFonts w:ascii="Calibri" w:cs="Calibri" w:eastAsia="Calibri" w:hAnsi="Calibri"/>
          <w:color w:val="2B2B2B"/>
          <w:sz w:val="22"/>
          <w:szCs w:val="22"/>
        </w:rPr>
        <w:t xml:space="preserve">We advise across the areas that matter most to businesses and individuals operating in Thailand, bringing the same combination of counsel, strategy, and solution to every matter regardless of size.</w:t>
      </w:r>
    </w:p>
    <w:p>
      <w:pPr>
        <w:pStyle w:val="ListParagraph"/>
        <w:numPr>
          <w:ilvl w:val="0"/>
          <w:numId w:val="1"/>
        </w:numPr>
        <w:spacing w:after="90" w:line="280"/>
      </w:pPr>
      <w:r>
        <w:rPr>
          <w:rFonts w:ascii="Calibri" w:cs="Calibri" w:eastAsia="Calibri" w:hAnsi="Calibri"/>
          <w:color w:val="2B2B2B"/>
          <w:sz w:val="22"/>
          <w:szCs w:val="22"/>
        </w:rPr>
        <w:t xml:space="preserve">Corporate and commercial law — company formation, governance, and restructuring</w:t>
      </w:r>
    </w:p>
    <w:p>
      <w:pPr>
        <w:pStyle w:val="ListParagraph"/>
        <w:numPr>
          <w:ilvl w:val="0"/>
          <w:numId w:val="1"/>
        </w:numPr>
        <w:spacing w:after="90" w:line="280"/>
      </w:pPr>
      <w:r>
        <w:rPr>
          <w:rFonts w:ascii="Calibri" w:cs="Calibri" w:eastAsia="Calibri" w:hAnsi="Calibri"/>
          <w:color w:val="2B2B2B"/>
          <w:sz w:val="22"/>
          <w:szCs w:val="22"/>
        </w:rPr>
        <w:t xml:space="preserve">Contract drafting, review, and negotiation</w:t>
      </w:r>
    </w:p>
    <w:p>
      <w:pPr>
        <w:pStyle w:val="ListParagraph"/>
        <w:numPr>
          <w:ilvl w:val="0"/>
          <w:numId w:val="1"/>
        </w:numPr>
        <w:spacing w:after="90" w:line="280"/>
      </w:pPr>
      <w:r>
        <w:rPr>
          <w:rFonts w:ascii="Calibri" w:cs="Calibri" w:eastAsia="Calibri" w:hAnsi="Calibri"/>
          <w:color w:val="2B2B2B"/>
          <w:sz w:val="22"/>
          <w:szCs w:val="22"/>
        </w:rPr>
        <w:t xml:space="preserve">Foreign investment and BOI applications</w:t>
      </w:r>
    </w:p>
    <w:p>
      <w:pPr>
        <w:pStyle w:val="ListParagraph"/>
        <w:numPr>
          <w:ilvl w:val="0"/>
          <w:numId w:val="1"/>
        </w:numPr>
        <w:spacing w:after="90" w:line="280"/>
      </w:pPr>
      <w:r>
        <w:rPr>
          <w:rFonts w:ascii="Calibri" w:cs="Calibri" w:eastAsia="Calibri" w:hAnsi="Calibri"/>
          <w:color w:val="2B2B2B"/>
          <w:sz w:val="22"/>
          <w:szCs w:val="22"/>
        </w:rPr>
        <w:t xml:space="preserve">Mergers, acquisitions, and joint ventures</w:t>
      </w:r>
    </w:p>
    <w:p>
      <w:pPr>
        <w:pStyle w:val="ListParagraph"/>
        <w:numPr>
          <w:ilvl w:val="0"/>
          <w:numId w:val="1"/>
        </w:numPr>
        <w:spacing w:after="90" w:line="280"/>
      </w:pPr>
      <w:r>
        <w:rPr>
          <w:rFonts w:ascii="Calibri" w:cs="Calibri" w:eastAsia="Calibri" w:hAnsi="Calibri"/>
          <w:color w:val="2B2B2B"/>
          <w:sz w:val="22"/>
          <w:szCs w:val="22"/>
        </w:rPr>
        <w:t xml:space="preserve">Employment and labor law</w:t>
      </w:r>
    </w:p>
    <w:p>
      <w:pPr>
        <w:pStyle w:val="ListParagraph"/>
        <w:numPr>
          <w:ilvl w:val="0"/>
          <w:numId w:val="1"/>
        </w:numPr>
        <w:spacing w:after="90" w:line="280"/>
      </w:pPr>
      <w:r>
        <w:rPr>
          <w:rFonts w:ascii="Calibri" w:cs="Calibri" w:eastAsia="Calibri" w:hAnsi="Calibri"/>
          <w:color w:val="2B2B2B"/>
          <w:sz w:val="22"/>
          <w:szCs w:val="22"/>
        </w:rPr>
        <w:t xml:space="preserve">Real estate and property transactions</w:t>
      </w:r>
    </w:p>
    <w:p>
      <w:pPr>
        <w:pStyle w:val="ListParagraph"/>
        <w:numPr>
          <w:ilvl w:val="0"/>
          <w:numId w:val="1"/>
        </w:numPr>
        <w:spacing w:after="90" w:line="280"/>
      </w:pPr>
      <w:r>
        <w:rPr>
          <w:rFonts w:ascii="Calibri" w:cs="Calibri" w:eastAsia="Calibri" w:hAnsi="Calibri"/>
          <w:color w:val="2B2B2B"/>
          <w:sz w:val="22"/>
          <w:szCs w:val="22"/>
        </w:rPr>
        <w:t xml:space="preserve">Regulatory compliance and licensing</w:t>
      </w:r>
    </w:p>
    <w:p>
      <w:pPr>
        <w:pStyle w:val="ListParagraph"/>
        <w:numPr>
          <w:ilvl w:val="0"/>
          <w:numId w:val="1"/>
        </w:numPr>
        <w:spacing w:after="90" w:line="280"/>
      </w:pPr>
      <w:r>
        <w:rPr>
          <w:rFonts w:ascii="Calibri" w:cs="Calibri" w:eastAsia="Calibri" w:hAnsi="Calibri"/>
          <w:color w:val="2B2B2B"/>
          <w:sz w:val="22"/>
          <w:szCs w:val="22"/>
        </w:rPr>
        <w:t xml:space="preserve">Dispute resolution, litigation, and arbitration</w:t>
      </w:r>
    </w:p>
    <w:p>
      <w:pPr>
        <w:pStyle w:val="ListParagraph"/>
        <w:numPr>
          <w:ilvl w:val="0"/>
          <w:numId w:val="1"/>
        </w:numPr>
        <w:spacing w:after="90" w:line="280"/>
      </w:pPr>
      <w:r>
        <w:rPr>
          <w:rFonts w:ascii="Calibri" w:cs="Calibri" w:eastAsia="Calibri" w:hAnsi="Calibri"/>
          <w:color w:val="2B2B2B"/>
          <w:sz w:val="22"/>
          <w:szCs w:val="22"/>
        </w:rPr>
        <w:t xml:space="preserve">Intellectual property protection</w:t>
      </w:r>
    </w:p>
    <w:p>
      <w:pPr>
        <w:spacing w:after="160" w:line="300"/>
      </w:pPr>
      <w:r>
        <w:rPr>
          <w:rFonts w:ascii="Calibri" w:cs="Calibri" w:eastAsia="Calibri" w:hAnsi="Calibri"/>
          <w:color w:val="2B2B2B"/>
          <w:sz w:val="22"/>
          <w:szCs w:val="22"/>
        </w:rPr>
        <w:t xml:space="preserve">This list reflects a typical full-service practice — replace or reorder it to match the practice groups your firm intends to launch with.</w:t>
      </w:r>
    </w:p>
    <w:p>
      <w:pPr>
        <w:spacing w:after="120" w:before="240"/>
      </w:pPr>
      <w:r>
        <w:rPr>
          <w:rFonts w:ascii="Calibri" w:cs="Calibri" w:eastAsia="Calibri" w:hAnsi="Calibri"/>
          <w:b/>
          <w:bCs/>
          <w:color w:val="0B1E3D"/>
          <w:spacing w:val="14"/>
          <w:sz w:val="22"/>
          <w:szCs w:val="22"/>
        </w:rPr>
        <w:t xml:space="preserve">WHY CLIENTS WORK WITH US</w:t>
      </w:r>
    </w:p>
    <w:p>
      <w:pPr>
        <w:pStyle w:val="ListParagraph"/>
        <w:numPr>
          <w:ilvl w:val="0"/>
          <w:numId w:val="1"/>
        </w:numPr>
        <w:spacing w:after="90" w:line="280"/>
      </w:pPr>
      <w:r>
        <w:rPr>
          <w:rFonts w:ascii="Calibri" w:cs="Calibri" w:eastAsia="Calibri" w:hAnsi="Calibri"/>
          <w:color w:val="2B2B2B"/>
          <w:sz w:val="22"/>
          <w:szCs w:val="22"/>
        </w:rPr>
        <w:t xml:space="preserve">Bangkok-based team with a direct understanding of Thai law and regulatory practice</w:t>
      </w:r>
    </w:p>
    <w:p>
      <w:pPr>
        <w:pStyle w:val="ListParagraph"/>
        <w:numPr>
          <w:ilvl w:val="0"/>
          <w:numId w:val="1"/>
        </w:numPr>
        <w:spacing w:after="90" w:line="280"/>
      </w:pPr>
      <w:r>
        <w:rPr>
          <w:rFonts w:ascii="Calibri" w:cs="Calibri" w:eastAsia="Calibri" w:hAnsi="Calibri"/>
          <w:color w:val="2B2B2B"/>
          <w:sz w:val="22"/>
          <w:szCs w:val="22"/>
        </w:rPr>
        <w:t xml:space="preserve">Straightforward, jargon-free communication at every stage of a matter</w:t>
      </w:r>
    </w:p>
    <w:p>
      <w:pPr>
        <w:pStyle w:val="ListParagraph"/>
        <w:numPr>
          <w:ilvl w:val="0"/>
          <w:numId w:val="1"/>
        </w:numPr>
        <w:spacing w:after="90" w:line="280"/>
      </w:pPr>
      <w:r>
        <w:rPr>
          <w:rFonts w:ascii="Calibri" w:cs="Calibri" w:eastAsia="Calibri" w:hAnsi="Calibri"/>
          <w:color w:val="2B2B2B"/>
          <w:sz w:val="22"/>
          <w:szCs w:val="22"/>
        </w:rPr>
        <w:t xml:space="preserve">Advice built around commercial outcomes, not just legal positions</w:t>
      </w:r>
    </w:p>
    <w:p>
      <w:pPr>
        <w:pStyle w:val="ListParagraph"/>
        <w:numPr>
          <w:ilvl w:val="0"/>
          <w:numId w:val="1"/>
        </w:numPr>
        <w:spacing w:after="90" w:line="280"/>
      </w:pPr>
      <w:r>
        <w:rPr>
          <w:rFonts w:ascii="Calibri" w:cs="Calibri" w:eastAsia="Calibri" w:hAnsi="Calibri"/>
          <w:color w:val="2B2B2B"/>
          <w:sz w:val="22"/>
          <w:szCs w:val="22"/>
        </w:rPr>
        <w:t xml:space="preserve">Responsive, partner-level attention on every engagement</w:t>
      </w:r>
    </w:p>
    <w:p>
      <w:r>
        <w:br w:type="page"/>
      </w:r>
    </w:p>
    <w:p>
      <w:pPr>
        <w:pStyle w:val="Heading1"/>
        <w:pBdr>
          <w:bottom w:val="single" w:color="C9A94A" w:sz="8" w:space="6"/>
        </w:pBdr>
        <w:spacing w:after="160" w:before="320"/>
      </w:pPr>
      <w:r>
        <w:rPr>
          <w:rFonts w:ascii="Calibri" w:cs="Calibri" w:eastAsia="Calibri" w:hAnsi="Calibri"/>
          <w:b/>
          <w:bCs/>
          <w:color w:val="0B1E3D"/>
          <w:spacing w:val="20"/>
          <w:sz w:val="26"/>
          <w:szCs w:val="26"/>
        </w:rPr>
        <w:t xml:space="preserve">OUR PARTNERS / TEAM</w:t>
      </w:r>
    </w:p>
    <w:p>
      <w:pPr>
        <w:spacing w:after="160" w:line="300"/>
      </w:pPr>
      <w:r>
        <w:rPr>
          <w:rFonts w:ascii="Calibri" w:cs="Calibri" w:eastAsia="Calibri" w:hAnsi="Calibri"/>
          <w:color w:val="2B2B2B"/>
          <w:sz w:val="22"/>
          <w:szCs w:val="22"/>
        </w:rPr>
        <w:t xml:space="preserve">P.A. Legal Consultant is led by a small team of practitioners who stay directly involved in every matter — clients work with the people advising them, not a rotating cast of juniors.</w:t>
      </w:r>
    </w:p>
    <w:tbl>
      <w:tblPr>
        <w:tblW w:type="dxa" w:w="9026"/>
        <w:tblBorders>
          <w:top w:val="single" w:color="C9A94A" w:sz="8"/>
          <w:left w:val="single" w:color="D9D9D9" w:sz="2"/>
          <w:bottom w:val="single" w:color="D9D9D9" w:sz="2"/>
          <w:right w:val="single" w:color="D9D9D9" w:sz="2"/>
          <w:insideH w:val="none" w:color="FFFFFF" w:sz="0"/>
          <w:insideV w:val="none" w:color="FFFFFF" w:sz="0"/>
        </w:tblBorders>
      </w:tblPr>
      <w:tblGrid>
        <w:gridCol w:w="100"/>
      </w:tblGrid>
      <w:tr>
        <w:tc>
          <w:tcPr>
            <w:tcW w:type="dxa" w:w="9026"/>
            <w:tcMar>
              <w:top w:type="dxa" w:w="200"/>
              <w:left w:type="dxa" w:w="260"/>
              <w:bottom w:type="dxa" w:w="200"/>
              <w:right w:type="dxa" w:w="260"/>
            </w:tcMar>
          </w:tcPr>
          <w:p>
            <w:pPr>
              <w:spacing w:after="30"/>
            </w:pPr>
            <w:r>
              <w:rPr>
                <w:rFonts w:ascii="Calibri" w:cs="Calibri" w:eastAsia="Calibri" w:hAnsi="Calibri"/>
                <w:b/>
                <w:bCs/>
                <w:color w:val="0B1E3D"/>
                <w:sz w:val="24"/>
                <w:szCs w:val="24"/>
              </w:rPr>
              <w:t xml:space="preserve">Mr Piraphan Salirathavibhaga</w:t>
            </w:r>
          </w:p>
          <w:p>
            <w:pPr>
              <w:spacing w:after="120"/>
            </w:pPr>
            <w:r>
              <w:rPr>
                <w:rFonts w:ascii="Calibri" w:cs="Calibri" w:eastAsia="Calibri" w:hAnsi="Calibri"/>
                <w:b/>
                <w:bCs/>
                <w:color w:val="C9A94A"/>
                <w:spacing w:val="10"/>
                <w:sz w:val="18"/>
                <w:szCs w:val="18"/>
              </w:rPr>
              <w:t xml:space="preserve">MANAGING PARTNER</w:t>
            </w:r>
          </w:p>
          <w:p>
            <w:pPr>
              <w:spacing w:after="0" w:line="280"/>
            </w:pPr>
            <w:r>
              <w:rPr>
                <w:rFonts w:ascii="Calibri" w:cs="Calibri" w:eastAsia="Calibri" w:hAnsi="Calibri"/>
                <w:color w:val="2B2B2B"/>
                <w:sz w:val="21"/>
                <w:szCs w:val="21"/>
              </w:rPr>
              <w:t xml:space="preserve">[Insert background — practice focus, years of experience, prior firms or in-house roles, bar admissions, and languages spoken. This is the lead point of contact for firm strategy and major client relationships.]</w:t>
            </w:r>
          </w:p>
        </w:tc>
      </w:tr>
    </w:tbl>
    <w:p>
      <w:pPr>
        <w:spacing w:after="0"/>
      </w:pPr>
      <w:r>
        <w:rPr>
          <w:sz w:val="2"/>
          <w:szCs w:val="2"/>
        </w:rPr>
        <w:t xml:space="preserve"/>
      </w:r>
    </w:p>
    <w:tbl>
      <w:tblPr>
        <w:tblW w:type="dxa" w:w="9026"/>
        <w:tblBorders>
          <w:top w:val="single" w:color="C9A94A" w:sz="8"/>
          <w:left w:val="single" w:color="D9D9D9" w:sz="2"/>
          <w:bottom w:val="single" w:color="D9D9D9" w:sz="2"/>
          <w:right w:val="single" w:color="D9D9D9" w:sz="2"/>
          <w:insideH w:val="none" w:color="FFFFFF" w:sz="0"/>
          <w:insideV w:val="none" w:color="FFFFFF" w:sz="0"/>
        </w:tblBorders>
      </w:tblPr>
      <w:tblGrid>
        <w:gridCol w:w="100"/>
      </w:tblGrid>
      <w:tr>
        <w:tc>
          <w:tcPr>
            <w:tcW w:type="dxa" w:w="9026"/>
            <w:tcMar>
              <w:top w:type="dxa" w:w="200"/>
              <w:left w:type="dxa" w:w="260"/>
              <w:bottom w:type="dxa" w:w="200"/>
              <w:right w:type="dxa" w:w="260"/>
            </w:tcMar>
          </w:tcPr>
          <w:p>
            <w:pPr>
              <w:spacing w:after="30"/>
            </w:pPr>
            <w:r>
              <w:rPr>
                <w:rFonts w:ascii="Calibri" w:cs="Calibri" w:eastAsia="Calibri" w:hAnsi="Calibri"/>
                <w:b/>
                <w:bCs/>
                <w:color w:val="0B1E3D"/>
                <w:sz w:val="24"/>
                <w:szCs w:val="24"/>
              </w:rPr>
              <w:t xml:space="preserve">Ms Airada Bumroungruksa</w:t>
            </w:r>
          </w:p>
          <w:p>
            <w:pPr>
              <w:spacing w:after="120"/>
            </w:pPr>
            <w:r>
              <w:rPr>
                <w:rFonts w:ascii="Calibri" w:cs="Calibri" w:eastAsia="Calibri" w:hAnsi="Calibri"/>
                <w:b/>
                <w:bCs/>
                <w:color w:val="C9A94A"/>
                <w:spacing w:val="10"/>
                <w:sz w:val="18"/>
                <w:szCs w:val="18"/>
              </w:rPr>
              <w:t xml:space="preserve">FOUNDING PARTNER</w:t>
            </w:r>
          </w:p>
          <w:p>
            <w:pPr>
              <w:spacing w:after="0" w:line="280"/>
            </w:pPr>
            <w:r>
              <w:rPr>
                <w:rFonts w:ascii="Calibri" w:cs="Calibri" w:eastAsia="Calibri" w:hAnsi="Calibri"/>
                <w:color w:val="2B2B2B"/>
                <w:sz w:val="21"/>
                <w:szCs w:val="21"/>
              </w:rPr>
              <w:t xml:space="preserve">[Insert background — practice focus, years of experience, prior firms or in-house roles, bar admissions, and languages spoken.]</w:t>
            </w:r>
          </w:p>
        </w:tc>
      </w:tr>
    </w:tbl>
    <w:p>
      <w:pPr>
        <w:spacing w:before="200"/>
      </w:pPr>
      <w:r>
        <w:rPr>
          <w:rFonts w:ascii="Calibri" w:cs="Calibri" w:eastAsia="Calibri" w:hAnsi="Calibri"/>
          <w:i/>
          <w:iCs/>
          <w:color w:val="5B6472"/>
          <w:sz w:val="18"/>
          <w:szCs w:val="18"/>
        </w:rPr>
        <w:t xml:space="preserve">Bar admissions, years of experience, practice focus, and languages spoken to be added for each partner.</w:t>
      </w:r>
    </w:p>
    <w:p>
      <w:r>
        <w:br w:type="page"/>
      </w:r>
    </w:p>
    <w:p>
      <w:pPr>
        <w:pStyle w:val="Heading1"/>
        <w:pBdr>
          <w:bottom w:val="single" w:color="C9A94A" w:sz="8" w:space="6"/>
        </w:pBdr>
        <w:spacing w:after="160" w:before="320"/>
      </w:pPr>
      <w:r>
        <w:rPr>
          <w:rFonts w:ascii="Calibri" w:cs="Calibri" w:eastAsia="Calibri" w:hAnsi="Calibri"/>
          <w:b/>
          <w:bCs/>
          <w:color w:val="0B1E3D"/>
          <w:spacing w:val="20"/>
          <w:sz w:val="26"/>
          <w:szCs w:val="26"/>
        </w:rPr>
        <w:t xml:space="preserve">CONTACT</w:t>
      </w:r>
    </w:p>
    <w:p>
      <w:pPr>
        <w:spacing w:after="160" w:line="300"/>
      </w:pPr>
      <w:r>
        <w:rPr>
          <w:rFonts w:ascii="Calibri" w:cs="Calibri" w:eastAsia="Calibri" w:hAnsi="Calibri"/>
          <w:color w:val="2B2B2B"/>
          <w:sz w:val="22"/>
          <w:szCs w:val="22"/>
        </w:rPr>
        <w:t xml:space="preserve">P.A. Legal Consultant Co., Ltd.</w:t>
      </w:r>
    </w:p>
    <w:p>
      <w:pPr>
        <w:spacing w:after="160" w:line="300"/>
      </w:pPr>
      <w:r>
        <w:rPr>
          <w:rFonts w:ascii="Calibri" w:cs="Calibri" w:eastAsia="Calibri" w:hAnsi="Calibri"/>
          <w:color w:val="2B2B2B"/>
          <w:sz w:val="22"/>
          <w:szCs w:val="22"/>
        </w:rPr>
        <w:t xml:space="preserve">82 Soi Arisamphan 1, Phahon Yothin Road, Phaya Thai, Bangkok</w:t>
      </w:r>
    </w:p>
    <w:p>
      <w:pPr>
        <w:spacing w:after="160" w:line="300"/>
      </w:pPr>
      <w:r>
        <w:rPr>
          <w:rFonts w:ascii="Calibri" w:cs="Calibri" w:eastAsia="Calibri" w:hAnsi="Calibri"/>
          <w:color w:val="2B2B2B"/>
          <w:sz w:val="22"/>
          <w:szCs w:val="22"/>
        </w:rPr>
        <w:t xml:space="preserve">Tel: [insert phone number]</w:t>
      </w:r>
    </w:p>
    <w:p>
      <w:pPr>
        <w:spacing w:after="160" w:line="300"/>
      </w:pPr>
      <w:r>
        <w:rPr>
          <w:rFonts w:ascii="Calibri" w:cs="Calibri" w:eastAsia="Calibri" w:hAnsi="Calibri"/>
          <w:color w:val="2B2B2B"/>
          <w:sz w:val="22"/>
          <w:szCs w:val="22"/>
        </w:rPr>
        <w:t xml:space="preserve">Email: [insert email address]</w:t>
      </w:r>
    </w:p>
    <w:p>
      <w:pPr>
        <w:spacing w:after="160" w:line="300"/>
      </w:pPr>
      <w:r>
        <w:rPr>
          <w:rFonts w:ascii="Calibri" w:cs="Calibri" w:eastAsia="Calibri" w:hAnsi="Calibri"/>
          <w:color w:val="2B2B2B"/>
          <w:sz w:val="22"/>
          <w:szCs w:val="22"/>
        </w:rPr>
        <w:t xml:space="preserve">Website: [insert website]</w:t>
      </w:r>
    </w:p>
    <w:p>
      <w:pPr>
        <w:sectPr>
          <w:headerReference w:type="default" r:id="rId7"/>
          <w:footerReference w:type="default" r:id="rId8"/>
          <w:pgSz w:w="11906" w:h="16838" w:orient="portrait"/>
          <w:pgMar w:top="1440" w:right="1440" w:bottom="1440" w:left="1440" w:header="708" w:footer="708" w:gutter="0"/>
          <w:pgNumType/>
          <w:docGrid w:linePitch="360"/>
        </w:sectPr>
      </w:pPr>
    </w:p>
    <w:tbl>
      <w:tblPr>
        <w:tblW w:type="dxa" w:w="11906"/>
        <w:tblBorders>
          <w:top w:val="none" w:color="0B1E3D" w:sz="0"/>
          <w:left w:val="none" w:color="0B1E3D" w:sz="0"/>
          <w:bottom w:val="none" w:color="0B1E3D" w:sz="0"/>
          <w:right w:val="none" w:color="0B1E3D" w:sz="0"/>
          <w:insideH w:val="none" w:color="0B1E3D" w:sz="0"/>
          <w:insideV w:val="none" w:color="0B1E3D" w:sz="0"/>
        </w:tblBorders>
      </w:tblPr>
      <w:tblGrid>
        <w:gridCol w:w="100"/>
      </w:tblGrid>
      <w:tr>
        <w:trPr>
          <w:trHeight w:val="16838" w:hRule="exact"/>
        </w:trPr>
        <w:tc>
          <w:tcPr>
            <w:tcW w:type="dxa" w:w="11906"/>
            <w:shd w:fill="0B1E3D" w:color="auto" w:val="clear"/>
            <w:tcMar>
              <w:top w:type="dxa" w:w="0"/>
              <w:left w:type="dxa" w:w="0"/>
              <w:bottom w:type="dxa" w:w="0"/>
              <w:right w:type="dxa" w:w="0"/>
            </w:tcMar>
            <w:vAlign w:val="center"/>
          </w:tcPr>
          <w:p>
            <w:pPr>
              <w:spacing w:after="160"/>
              <w:jc w:val="center"/>
            </w:pPr>
            <w:r>
              <w:rPr>
                <w:rFonts w:ascii="Georgia" w:cs="Georgia" w:eastAsia="Georgia" w:hAnsi="Georgia"/>
                <w:b/>
                <w:bCs/>
                <w:color w:val="FFFFFF"/>
                <w:sz w:val="44"/>
                <w:szCs w:val="44"/>
              </w:rPr>
              <w:t xml:space="preserve">P.A. LEGAL CONSULTANT</w:t>
            </w:r>
          </w:p>
          <w:p>
            <w:pPr>
              <w:spacing w:after="260"/>
              <w:jc w:val="center"/>
            </w:pPr>
            <w:r>
              <w:rPr>
                <w:rFonts w:ascii="Georgia" w:cs="Georgia" w:eastAsia="Georgia" w:hAnsi="Georgia"/>
                <w:b/>
                <w:bCs/>
                <w:color w:val="FFFFFF"/>
                <w:spacing w:val="40"/>
                <w:sz w:val="26"/>
                <w:szCs w:val="26"/>
              </w:rPr>
              <w:t xml:space="preserve">CO., LTD.</w:t>
            </w:r>
          </w:p>
          <w:p>
            <w:pPr>
              <w:pBdr>
                <w:top w:val="single" w:color="C9A94A" w:sz="6" w:space="10"/>
              </w:pBdr>
              <w:spacing w:after="260"/>
              <w:jc w:val="center"/>
            </w:pPr>
          </w:p>
          <w:p>
            <w:pPr>
              <w:spacing w:after="900"/>
              <w:jc w:val="center"/>
            </w:pPr>
            <w:r>
              <w:rPr>
                <w:rFonts w:ascii="Calibri" w:cs="Calibri" w:eastAsia="Calibri" w:hAnsi="Calibri"/>
                <w:color w:val="C9A94A"/>
                <w:spacing w:val="20"/>
                <w:sz w:val="20"/>
                <w:szCs w:val="20"/>
              </w:rPr>
              <w:t xml:space="preserve">COUNSEL   ·   STRATEGY   ·   SOLUTION</w:t>
            </w:r>
          </w:p>
          <w:p>
            <w:pPr>
              <w:spacing w:after="60"/>
              <w:jc w:val="center"/>
            </w:pPr>
            <w:r>
              <w:rPr>
                <w:rFonts w:ascii="Calibri" w:cs="Calibri" w:eastAsia="Calibri" w:hAnsi="Calibri"/>
                <w:color w:val="FFFFFF"/>
                <w:sz w:val="20"/>
                <w:szCs w:val="20"/>
              </w:rPr>
              <w:t xml:space="preserve">82 Soi Arisamphan 1, Phahon Yothin Road, Phaya Thai, Bangkok</w:t>
            </w:r>
          </w:p>
          <w:p>
            <w:pPr>
              <w:spacing w:after="60"/>
              <w:jc w:val="center"/>
            </w:pPr>
            <w:r>
              <w:rPr>
                <w:rFonts w:ascii="Calibri" w:cs="Calibri" w:eastAsia="Calibri" w:hAnsi="Calibri"/>
                <w:color w:val="C7CDD9"/>
                <w:sz w:val="18"/>
                <w:szCs w:val="18"/>
              </w:rPr>
              <w:t xml:space="preserve">[insert phone number]   ·   [insert email address]</w:t>
            </w:r>
          </w:p>
          <w:p>
            <w:pPr>
              <w:jc w:val="center"/>
            </w:pPr>
            <w:r>
              <w:rPr>
                <w:rFonts w:ascii="Calibri" w:cs="Calibri" w:eastAsia="Calibri" w:hAnsi="Calibri"/>
                <w:color w:val="C7CDD9"/>
                <w:sz w:val="18"/>
                <w:szCs w:val="18"/>
              </w:rPr>
              <w:t xml:space="preserve">[insert website]</w:t>
            </w:r>
          </w:p>
        </w:tc>
      </w:tr>
    </w:tbl>
    <w:sectPr>
      <w:headerReference w:type="default" r:id="rId9"/>
      <w:footerReference w:type="default" r:id="rId10"/>
      <w:pgSz w:w="11906" w:h="16838"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Counsel · Strategy · Solution   —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4A" w:sz="4" w:space="4"/>
      </w:pBdr>
      <w:jc w:val="right"/>
    </w:pPr>
    <w:r>
      <w:rPr>
        <w:rFonts w:ascii="Calibri" w:cs="Calibri" w:eastAsia="Calibri" w:hAnsi="Calibri"/>
        <w:b/>
        <w:bCs/>
        <w:color w:val="0B1E3D"/>
        <w:spacing w:val="10"/>
        <w:sz w:val="16"/>
        <w:szCs w:val="16"/>
      </w:rPr>
      <w:t xml:space="preserve">P.A. LEGAL CONSULTANT CO.,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outlineLvl w:val="0"/>
    </w:pPr>
    <w:rPr>
      <w:rFonts w:ascii="Calibri" w:cs="Calibri" w:eastAsia="Calibri" w:hAnsi="Calibri"/>
      <w:b/>
      <w:bCs/>
      <w:color w:val="0B1E3D"/>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2026-09-01T06:15:55.381Z</dcterms:created>
  <dcterms:modified xsi:type="dcterms:W3CDTF">2026-09-01T06:15:55.394Z</dcterms:modified>
</cp:coreProperties>
</file>

<file path=docProps/custom.xml><?xml version="1.0" encoding="utf-8"?>
<Properties xmlns="http://schemas.openxmlformats.org/officeDocument/2006/custom-properties" xmlns:vt="http://schemas.openxmlformats.org/officeDocument/2006/docPropsVTypes"/>
</file>