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Voltage regulators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Linear regulators waste power as heat, but are simple, no-noise and inexpensive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Switching regulators are very power efficient, but are complex, noisy and expensive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Power switches are basically low resistance switches that come in SMD packages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Many come with over-voltage, over-current protection, under voltage cutoff, thermal protection, reverse current protection etc</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They generally are able to supply higher currents than PMICs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Optocouplers aren’t substitutes for power switches because of their higher on-resistance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Power-path ICs help select one out of multiple supplies to the load (For ex., mains vs. battery)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PMICs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Integrate regulators, battery charging and provide for multiple rails and all kinds of protection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Loads on all rails are generally assumed to be just the rails of an AP. In other words, they are generally not suitable for delivering large currents. Power switches are better for such purposes.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