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0396C" w14:textId="77777777" w:rsidR="005A6B29" w:rsidRPr="00272D53" w:rsidRDefault="005A6B29" w:rsidP="005A6B29">
      <w:pPr>
        <w:rPr>
          <w:b/>
          <w:bCs/>
        </w:rPr>
      </w:pPr>
      <w:r w:rsidRPr="00272D53">
        <w:rPr>
          <w:b/>
          <w:bCs/>
        </w:rPr>
        <w:t>Mock Document #1: Clinical Development Plan (CDP)</w:t>
      </w:r>
    </w:p>
    <w:p w14:paraId="3F372C1B" w14:textId="499215F8" w:rsidR="005A6B29" w:rsidRPr="00272D53" w:rsidRDefault="005A6B29" w:rsidP="005A6B29">
      <w:r w:rsidRPr="00272D53">
        <w:rPr>
          <w:b/>
          <w:bCs/>
        </w:rPr>
        <w:t>Title:</w:t>
      </w:r>
      <w:r w:rsidRPr="00272D53">
        <w:t xml:space="preserve"> </w:t>
      </w:r>
      <w:r w:rsidRPr="00272D53">
        <w:rPr>
          <w:i/>
          <w:iCs/>
        </w:rPr>
        <w:t>Clinical Development Plan for Dapagliflozin in Heart Failure with Reduced Ejection Fraction (</w:t>
      </w:r>
      <w:proofErr w:type="spellStart"/>
      <w:r w:rsidRPr="00272D53">
        <w:rPr>
          <w:i/>
          <w:iCs/>
        </w:rPr>
        <w:t>HFrEF</w:t>
      </w:r>
      <w:proofErr w:type="spellEnd"/>
      <w:r w:rsidRPr="00272D53">
        <w:rPr>
          <w:i/>
          <w:iCs/>
        </w:rPr>
        <w:t>)</w:t>
      </w:r>
      <w:r w:rsidRPr="00272D53">
        <w:br/>
      </w:r>
      <w:r w:rsidRPr="00272D53">
        <w:rPr>
          <w:b/>
          <w:bCs/>
        </w:rPr>
        <w:t>Version:</w:t>
      </w:r>
      <w:r w:rsidRPr="00272D53">
        <w:t xml:space="preserve"> 1.0</w:t>
      </w:r>
      <w:r w:rsidRPr="00272D53">
        <w:br/>
      </w:r>
      <w:r w:rsidRPr="00272D53">
        <w:rPr>
          <w:b/>
          <w:bCs/>
        </w:rPr>
        <w:t>Prepared By:</w:t>
      </w:r>
      <w:r w:rsidRPr="00272D53">
        <w:t xml:space="preserve"> Clinical Strategy Team</w:t>
      </w:r>
      <w:r w:rsidRPr="00272D53">
        <w:br/>
      </w:r>
      <w:r w:rsidRPr="00272D53">
        <w:rPr>
          <w:b/>
          <w:bCs/>
        </w:rPr>
        <w:t>Date:</w:t>
      </w:r>
      <w:r w:rsidRPr="00272D53">
        <w:t xml:space="preserve"> [Fictional] August 2023</w:t>
      </w:r>
    </w:p>
    <w:p w14:paraId="42A3EAB7" w14:textId="77777777" w:rsidR="005A6B29" w:rsidRPr="00272D53" w:rsidRDefault="005A6B29" w:rsidP="005A6B29">
      <w:pPr>
        <w:rPr>
          <w:b/>
          <w:bCs/>
        </w:rPr>
      </w:pPr>
      <w:r w:rsidRPr="00272D53">
        <w:rPr>
          <w:b/>
          <w:bCs/>
        </w:rPr>
        <w:t>1. Product Overview</w:t>
      </w:r>
    </w:p>
    <w:p w14:paraId="25703F54" w14:textId="77777777" w:rsidR="005A6B29" w:rsidRPr="00272D53" w:rsidRDefault="005A6B29" w:rsidP="005A6B29">
      <w:pPr>
        <w:numPr>
          <w:ilvl w:val="0"/>
          <w:numId w:val="1"/>
        </w:numPr>
      </w:pPr>
      <w:r w:rsidRPr="00272D53">
        <w:rPr>
          <w:b/>
          <w:bCs/>
        </w:rPr>
        <w:t>Compound Name:</w:t>
      </w:r>
      <w:r w:rsidRPr="00272D53">
        <w:t xml:space="preserve"> Dapagliflozin</w:t>
      </w:r>
    </w:p>
    <w:p w14:paraId="5E3A52FA" w14:textId="77777777" w:rsidR="005A6B29" w:rsidRPr="00272D53" w:rsidRDefault="005A6B29" w:rsidP="005A6B29">
      <w:pPr>
        <w:numPr>
          <w:ilvl w:val="0"/>
          <w:numId w:val="1"/>
        </w:numPr>
      </w:pPr>
      <w:r w:rsidRPr="00272D53">
        <w:rPr>
          <w:b/>
          <w:bCs/>
        </w:rPr>
        <w:t>Mechanism of Action:</w:t>
      </w:r>
      <w:r w:rsidRPr="00272D53">
        <w:t xml:space="preserve"> SGLT2 inhibitor that reduces renal glucose reabsorption, improves glycemic control, and shows cardioprotective effects.</w:t>
      </w:r>
    </w:p>
    <w:p w14:paraId="7E8E3C60" w14:textId="77777777" w:rsidR="005A6B29" w:rsidRPr="00272D53" w:rsidRDefault="005A6B29" w:rsidP="005A6B29">
      <w:pPr>
        <w:numPr>
          <w:ilvl w:val="0"/>
          <w:numId w:val="1"/>
        </w:numPr>
      </w:pPr>
      <w:r w:rsidRPr="00272D53">
        <w:rPr>
          <w:b/>
          <w:bCs/>
        </w:rPr>
        <w:t>Therapeutic Area:</w:t>
      </w:r>
      <w:r w:rsidRPr="00272D53">
        <w:t xml:space="preserve"> Cardiovascular — Heart Failure with Reduced Ejection Fraction (</w:t>
      </w:r>
      <w:proofErr w:type="spellStart"/>
      <w:r w:rsidRPr="00272D53">
        <w:t>HFrEF</w:t>
      </w:r>
      <w:proofErr w:type="spellEnd"/>
      <w:r w:rsidRPr="00272D53">
        <w:t>)</w:t>
      </w:r>
    </w:p>
    <w:p w14:paraId="25F3635E" w14:textId="2FE4EA19" w:rsidR="005A6B29" w:rsidRPr="00272D53" w:rsidRDefault="005A6B29" w:rsidP="005A6B29">
      <w:pPr>
        <w:numPr>
          <w:ilvl w:val="0"/>
          <w:numId w:val="1"/>
        </w:numPr>
      </w:pPr>
      <w:r w:rsidRPr="00272D53">
        <w:rPr>
          <w:b/>
          <w:bCs/>
        </w:rPr>
        <w:t>Target Population:</w:t>
      </w:r>
      <w:r w:rsidRPr="00272D53">
        <w:t xml:space="preserve"> Adults (≥18 years) with NYHA Class II–IV </w:t>
      </w:r>
      <w:proofErr w:type="spellStart"/>
      <w:r w:rsidRPr="00272D53">
        <w:t>HFrEF</w:t>
      </w:r>
      <w:proofErr w:type="spellEnd"/>
      <w:r w:rsidRPr="00272D53">
        <w:t>, LVEF ≤40%</w:t>
      </w:r>
    </w:p>
    <w:p w14:paraId="0537C426" w14:textId="77777777" w:rsidR="005A6B29" w:rsidRPr="00272D53" w:rsidRDefault="005A6B29" w:rsidP="005A6B29">
      <w:pPr>
        <w:rPr>
          <w:b/>
          <w:bCs/>
        </w:rPr>
      </w:pPr>
      <w:r w:rsidRPr="00272D53">
        <w:rPr>
          <w:b/>
          <w:bCs/>
        </w:rPr>
        <w:t>2. Clinical Development Objectives</w:t>
      </w:r>
    </w:p>
    <w:p w14:paraId="476CA5B8" w14:textId="77777777" w:rsidR="005A6B29" w:rsidRPr="00272D53" w:rsidRDefault="005A6B29" w:rsidP="005A6B29">
      <w:pPr>
        <w:numPr>
          <w:ilvl w:val="0"/>
          <w:numId w:val="2"/>
        </w:numPr>
      </w:pPr>
      <w:r w:rsidRPr="00272D53">
        <w:t xml:space="preserve">Evaluate dapagliflozin’s impact on time-to-event cardiovascular outcomes in patients with </w:t>
      </w:r>
      <w:proofErr w:type="spellStart"/>
      <w:r w:rsidRPr="00272D53">
        <w:t>HFrEF</w:t>
      </w:r>
      <w:proofErr w:type="spellEnd"/>
    </w:p>
    <w:p w14:paraId="2E1E5B5D" w14:textId="77777777" w:rsidR="005A6B29" w:rsidRPr="00272D53" w:rsidRDefault="005A6B29" w:rsidP="005A6B29">
      <w:pPr>
        <w:numPr>
          <w:ilvl w:val="0"/>
          <w:numId w:val="2"/>
        </w:numPr>
      </w:pPr>
      <w:r w:rsidRPr="00272D53">
        <w:t>Establish safety and tolerability in both diabetic and non-diabetic heart failure populations</w:t>
      </w:r>
    </w:p>
    <w:p w14:paraId="6CE07BAA" w14:textId="1BC14AC3" w:rsidR="005A6B29" w:rsidRPr="00272D53" w:rsidRDefault="005A6B29" w:rsidP="005A6B29">
      <w:pPr>
        <w:numPr>
          <w:ilvl w:val="0"/>
          <w:numId w:val="2"/>
        </w:numPr>
      </w:pPr>
      <w:r w:rsidRPr="00272D53">
        <w:t xml:space="preserve">Demonstrate </w:t>
      </w:r>
      <w:proofErr w:type="gramStart"/>
      <w:r w:rsidRPr="00272D53">
        <w:t>benefit</w:t>
      </w:r>
      <w:proofErr w:type="gramEnd"/>
      <w:r w:rsidRPr="00272D53">
        <w:t xml:space="preserve"> on secondary outcomes including quality-of-life and renal biomarkers</w:t>
      </w:r>
    </w:p>
    <w:p w14:paraId="7AF511BB" w14:textId="77777777" w:rsidR="005A6B29" w:rsidRPr="00272D53" w:rsidRDefault="005A6B29" w:rsidP="005A6B29">
      <w:pPr>
        <w:rPr>
          <w:b/>
          <w:bCs/>
        </w:rPr>
      </w:pPr>
      <w:r w:rsidRPr="00272D53">
        <w:rPr>
          <w:b/>
          <w:bCs/>
        </w:rPr>
        <w:t>3. Clinical Study Strategy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4707"/>
        <w:gridCol w:w="3736"/>
      </w:tblGrid>
      <w:tr w:rsidR="005A6B29" w:rsidRPr="00272D53" w14:paraId="3A83A73D" w14:textId="77777777" w:rsidTr="006248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B61F35" w14:textId="77777777" w:rsidR="005A6B29" w:rsidRPr="00272D53" w:rsidRDefault="005A6B29" w:rsidP="00861BBB">
            <w:pPr>
              <w:rPr>
                <w:b/>
                <w:bCs/>
              </w:rPr>
            </w:pPr>
            <w:r w:rsidRPr="00272D5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3D7F9DD" w14:textId="77777777" w:rsidR="005A6B29" w:rsidRPr="00272D53" w:rsidRDefault="005A6B29" w:rsidP="00861BBB">
            <w:pPr>
              <w:rPr>
                <w:b/>
                <w:bCs/>
              </w:rPr>
            </w:pPr>
            <w:r w:rsidRPr="00272D53">
              <w:rPr>
                <w:b/>
                <w:bCs/>
              </w:rPr>
              <w:t>Study Design</w:t>
            </w:r>
          </w:p>
        </w:tc>
        <w:tc>
          <w:tcPr>
            <w:tcW w:w="0" w:type="auto"/>
            <w:vAlign w:val="center"/>
            <w:hideMark/>
          </w:tcPr>
          <w:p w14:paraId="7F99634E" w14:textId="77777777" w:rsidR="005A6B29" w:rsidRPr="00272D53" w:rsidRDefault="005A6B29" w:rsidP="00861BBB">
            <w:pPr>
              <w:rPr>
                <w:b/>
                <w:bCs/>
              </w:rPr>
            </w:pPr>
            <w:r w:rsidRPr="00272D53">
              <w:rPr>
                <w:b/>
                <w:bCs/>
              </w:rPr>
              <w:t>Key Objectives</w:t>
            </w:r>
          </w:p>
        </w:tc>
      </w:tr>
      <w:tr w:rsidR="005A6B29" w:rsidRPr="00272D53" w14:paraId="6D418F29" w14:textId="77777777" w:rsidTr="00624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3AB65" w14:textId="77777777" w:rsidR="005A6B29" w:rsidRPr="00272D53" w:rsidRDefault="005A6B29" w:rsidP="00861BBB">
            <w:r w:rsidRPr="00272D53">
              <w:t>Phase 1</w:t>
            </w:r>
          </w:p>
        </w:tc>
        <w:tc>
          <w:tcPr>
            <w:tcW w:w="0" w:type="auto"/>
            <w:vAlign w:val="center"/>
            <w:hideMark/>
          </w:tcPr>
          <w:p w14:paraId="72C33288" w14:textId="77777777" w:rsidR="005A6B29" w:rsidRPr="00272D53" w:rsidRDefault="005A6B29" w:rsidP="00861BBB">
            <w:r w:rsidRPr="00272D53">
              <w:t>PK/PD studies in healthy volunteers</w:t>
            </w:r>
          </w:p>
        </w:tc>
        <w:tc>
          <w:tcPr>
            <w:tcW w:w="0" w:type="auto"/>
            <w:vAlign w:val="center"/>
            <w:hideMark/>
          </w:tcPr>
          <w:p w14:paraId="45767A60" w14:textId="77777777" w:rsidR="005A6B29" w:rsidRPr="00272D53" w:rsidRDefault="005A6B29" w:rsidP="00861BBB">
            <w:r w:rsidRPr="00272D53">
              <w:t>Dose finding, renal clearance, food effect</w:t>
            </w:r>
          </w:p>
        </w:tc>
      </w:tr>
      <w:tr w:rsidR="005A6B29" w:rsidRPr="00272D53" w14:paraId="356A7F51" w14:textId="77777777" w:rsidTr="00624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E1361" w14:textId="77777777" w:rsidR="005A6B29" w:rsidRPr="00272D53" w:rsidRDefault="005A6B29" w:rsidP="00861BBB">
            <w:r w:rsidRPr="00272D53">
              <w:t>Phase 2</w:t>
            </w:r>
          </w:p>
        </w:tc>
        <w:tc>
          <w:tcPr>
            <w:tcW w:w="0" w:type="auto"/>
            <w:vAlign w:val="center"/>
            <w:hideMark/>
          </w:tcPr>
          <w:p w14:paraId="27DA30E7" w14:textId="77777777" w:rsidR="005A6B29" w:rsidRPr="00272D53" w:rsidRDefault="005A6B29" w:rsidP="00861BBB">
            <w:r w:rsidRPr="00272D53">
              <w:t>Multicenter, randomized, placebo-controlled (n=600)</w:t>
            </w:r>
          </w:p>
        </w:tc>
        <w:tc>
          <w:tcPr>
            <w:tcW w:w="0" w:type="auto"/>
            <w:vAlign w:val="center"/>
            <w:hideMark/>
          </w:tcPr>
          <w:p w14:paraId="7892DE63" w14:textId="77777777" w:rsidR="005A6B29" w:rsidRPr="00272D53" w:rsidRDefault="005A6B29" w:rsidP="00861BBB">
            <w:r w:rsidRPr="00272D53">
              <w:t>Exploratory efficacy, biomarker trends</w:t>
            </w:r>
          </w:p>
        </w:tc>
      </w:tr>
      <w:tr w:rsidR="005A6B29" w:rsidRPr="00272D53" w14:paraId="50C8A094" w14:textId="77777777" w:rsidTr="00624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309EF" w14:textId="77777777" w:rsidR="005A6B29" w:rsidRPr="00272D53" w:rsidRDefault="005A6B29" w:rsidP="00861BBB">
            <w:r w:rsidRPr="00272D53">
              <w:rPr>
                <w:b/>
                <w:bCs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76C108E9" w14:textId="77777777" w:rsidR="005A6B29" w:rsidRPr="00272D53" w:rsidRDefault="005A6B29" w:rsidP="00861BBB">
            <w:r w:rsidRPr="00272D53">
              <w:rPr>
                <w:b/>
                <w:bCs/>
              </w:rPr>
              <w:t>Global, double-blind, placebo-controlled (n=4500)</w:t>
            </w:r>
          </w:p>
        </w:tc>
        <w:tc>
          <w:tcPr>
            <w:tcW w:w="0" w:type="auto"/>
            <w:vAlign w:val="center"/>
            <w:hideMark/>
          </w:tcPr>
          <w:p w14:paraId="667FD2D8" w14:textId="77777777" w:rsidR="005A6B29" w:rsidRPr="00272D53" w:rsidRDefault="005A6B29" w:rsidP="00861BBB">
            <w:r w:rsidRPr="00272D53">
              <w:rPr>
                <w:b/>
                <w:bCs/>
              </w:rPr>
              <w:t>Primary CV endpoints, mortality, safety</w:t>
            </w:r>
          </w:p>
        </w:tc>
      </w:tr>
    </w:tbl>
    <w:p w14:paraId="3BC52E20" w14:textId="6111C155" w:rsidR="005A6B29" w:rsidRPr="00272D53" w:rsidRDefault="005A6B29" w:rsidP="005A6B29"/>
    <w:p w14:paraId="16874BBB" w14:textId="77777777" w:rsidR="005A6B29" w:rsidRPr="00272D53" w:rsidRDefault="005A6B29" w:rsidP="005A6B29">
      <w:pPr>
        <w:rPr>
          <w:b/>
          <w:bCs/>
        </w:rPr>
      </w:pPr>
      <w:r w:rsidRPr="00272D53">
        <w:rPr>
          <w:b/>
          <w:bCs/>
        </w:rPr>
        <w:lastRenderedPageBreak/>
        <w:t>4. Endpoints Overview</w:t>
      </w:r>
    </w:p>
    <w:p w14:paraId="5F71110F" w14:textId="77777777" w:rsidR="005A6B29" w:rsidRPr="00272D53" w:rsidRDefault="005A6B29" w:rsidP="005A6B29">
      <w:r w:rsidRPr="00272D53">
        <w:rPr>
          <w:b/>
          <w:bCs/>
        </w:rPr>
        <w:t>Primary Endpoint:</w:t>
      </w:r>
    </w:p>
    <w:p w14:paraId="0FA85B45" w14:textId="77777777" w:rsidR="005A6B29" w:rsidRPr="00272D53" w:rsidRDefault="005A6B29" w:rsidP="005A6B29">
      <w:pPr>
        <w:numPr>
          <w:ilvl w:val="0"/>
          <w:numId w:val="3"/>
        </w:numPr>
      </w:pPr>
      <w:r w:rsidRPr="00272D53">
        <w:t>Time to first occurrence of CV death or hospitalization for heart failure</w:t>
      </w:r>
    </w:p>
    <w:p w14:paraId="48C23258" w14:textId="77777777" w:rsidR="005A6B29" w:rsidRPr="00272D53" w:rsidRDefault="005A6B29" w:rsidP="005A6B29">
      <w:r w:rsidRPr="00272D53">
        <w:rPr>
          <w:b/>
          <w:bCs/>
        </w:rPr>
        <w:t>Key Secondary Endpoints:</w:t>
      </w:r>
    </w:p>
    <w:p w14:paraId="5D12305C" w14:textId="77777777" w:rsidR="005A6B29" w:rsidRPr="00272D53" w:rsidRDefault="005A6B29" w:rsidP="005A6B29">
      <w:pPr>
        <w:numPr>
          <w:ilvl w:val="0"/>
          <w:numId w:val="4"/>
        </w:numPr>
      </w:pPr>
      <w:r w:rsidRPr="00272D53">
        <w:t>Change in KCCQ clinical summary score at Week 12</w:t>
      </w:r>
    </w:p>
    <w:p w14:paraId="1DD623D3" w14:textId="77777777" w:rsidR="005A6B29" w:rsidRPr="00272D53" w:rsidRDefault="005A6B29" w:rsidP="005A6B29">
      <w:pPr>
        <w:numPr>
          <w:ilvl w:val="0"/>
          <w:numId w:val="4"/>
        </w:numPr>
      </w:pPr>
      <w:r w:rsidRPr="00272D53">
        <w:t>Change in NT-</w:t>
      </w:r>
      <w:proofErr w:type="spellStart"/>
      <w:r w:rsidRPr="00272D53">
        <w:t>proBNP</w:t>
      </w:r>
      <w:proofErr w:type="spellEnd"/>
      <w:r w:rsidRPr="00272D53">
        <w:t xml:space="preserve"> levels</w:t>
      </w:r>
    </w:p>
    <w:p w14:paraId="3B29066E" w14:textId="77777777" w:rsidR="005A6B29" w:rsidRPr="00272D53" w:rsidRDefault="005A6B29" w:rsidP="005A6B29">
      <w:pPr>
        <w:numPr>
          <w:ilvl w:val="0"/>
          <w:numId w:val="4"/>
        </w:numPr>
      </w:pPr>
      <w:r w:rsidRPr="00272D53">
        <w:t>All-cause mortality</w:t>
      </w:r>
    </w:p>
    <w:p w14:paraId="2FE88D51" w14:textId="77777777" w:rsidR="005A6B29" w:rsidRPr="00272D53" w:rsidRDefault="005A6B29" w:rsidP="005A6B29">
      <w:pPr>
        <w:numPr>
          <w:ilvl w:val="0"/>
          <w:numId w:val="4"/>
        </w:numPr>
      </w:pPr>
      <w:r w:rsidRPr="00272D53">
        <w:t>Worsening renal function (eGFR decline ≥40%)</w:t>
      </w:r>
    </w:p>
    <w:p w14:paraId="078230B9" w14:textId="575132AB" w:rsidR="005A6B29" w:rsidRPr="00272D53" w:rsidRDefault="005A6B29" w:rsidP="005A6B29"/>
    <w:p w14:paraId="2893E9F2" w14:textId="77777777" w:rsidR="005A6B29" w:rsidRPr="00272D53" w:rsidRDefault="005A6B29" w:rsidP="005A6B29">
      <w:pPr>
        <w:rPr>
          <w:b/>
          <w:bCs/>
        </w:rPr>
      </w:pPr>
      <w:r w:rsidRPr="00272D53">
        <w:rPr>
          <w:b/>
          <w:bCs/>
        </w:rPr>
        <w:t>5. Study Rationale</w:t>
      </w:r>
    </w:p>
    <w:p w14:paraId="4D82C05B" w14:textId="77777777" w:rsidR="005A6B29" w:rsidRPr="00272D53" w:rsidRDefault="005A6B29" w:rsidP="005A6B29">
      <w:r w:rsidRPr="00272D53">
        <w:t xml:space="preserve">Despite guideline-based therapies, patients with </w:t>
      </w:r>
      <w:proofErr w:type="spellStart"/>
      <w:r w:rsidRPr="00272D53">
        <w:t>HFrEF</w:t>
      </w:r>
      <w:proofErr w:type="spellEnd"/>
      <w:r w:rsidRPr="00272D53">
        <w:t xml:space="preserve"> continue to experience high event rates. Recent trials suggest SGLT2 inhibitors may reduce HF-related hospitalization and improve functional status even in non-diabetic populations. Dapagliflozin has a well-characterized safety profile in diabetes and CKD. This program aims to confirm its benefit-risk in </w:t>
      </w:r>
      <w:proofErr w:type="spellStart"/>
      <w:r w:rsidRPr="00272D53">
        <w:t>HFrEF</w:t>
      </w:r>
      <w:proofErr w:type="spellEnd"/>
      <w:r w:rsidRPr="00272D53">
        <w:t xml:space="preserve"> and enable a label extension.</w:t>
      </w:r>
    </w:p>
    <w:p w14:paraId="2C1A3BED" w14:textId="4D808A94" w:rsidR="005A6B29" w:rsidRPr="00272D53" w:rsidRDefault="005A6B29" w:rsidP="005A6B29"/>
    <w:p w14:paraId="0579B6E9" w14:textId="77777777" w:rsidR="005A6B29" w:rsidRPr="00272D53" w:rsidRDefault="005A6B29" w:rsidP="005A6B29">
      <w:pPr>
        <w:rPr>
          <w:b/>
          <w:bCs/>
        </w:rPr>
      </w:pPr>
      <w:r w:rsidRPr="00272D53">
        <w:rPr>
          <w:b/>
          <w:bCs/>
        </w:rPr>
        <w:t>6. Regulatory Milestones (Planned)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1016"/>
      </w:tblGrid>
      <w:tr w:rsidR="005A6B29" w:rsidRPr="00272D53" w14:paraId="79D5A0AC" w14:textId="77777777" w:rsidTr="00861B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ACAE2" w14:textId="77777777" w:rsidR="005A6B29" w:rsidRPr="00272D53" w:rsidRDefault="005A6B29" w:rsidP="00861BBB">
            <w:pPr>
              <w:rPr>
                <w:b/>
                <w:bCs/>
              </w:rPr>
            </w:pPr>
            <w:r w:rsidRPr="00272D53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00F60976" w14:textId="77777777" w:rsidR="005A6B29" w:rsidRPr="00272D53" w:rsidRDefault="005A6B29" w:rsidP="00861BBB">
            <w:pPr>
              <w:rPr>
                <w:b/>
                <w:bCs/>
              </w:rPr>
            </w:pPr>
            <w:r w:rsidRPr="00272D53">
              <w:rPr>
                <w:b/>
                <w:bCs/>
              </w:rPr>
              <w:t>Timeline</w:t>
            </w:r>
          </w:p>
        </w:tc>
      </w:tr>
      <w:tr w:rsidR="005A6B29" w:rsidRPr="00272D53" w14:paraId="0BD3EA3B" w14:textId="77777777" w:rsidTr="00861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1D828" w14:textId="77777777" w:rsidR="005A6B29" w:rsidRPr="00272D53" w:rsidRDefault="005A6B29" w:rsidP="00861BBB">
            <w:r w:rsidRPr="00272D53">
              <w:t>End-of-Phase 2 FDA Meeting</w:t>
            </w:r>
          </w:p>
        </w:tc>
        <w:tc>
          <w:tcPr>
            <w:tcW w:w="0" w:type="auto"/>
            <w:vAlign w:val="center"/>
            <w:hideMark/>
          </w:tcPr>
          <w:p w14:paraId="774E244F" w14:textId="77777777" w:rsidR="005A6B29" w:rsidRPr="00272D53" w:rsidRDefault="005A6B29" w:rsidP="00861BBB">
            <w:r w:rsidRPr="00272D53">
              <w:t>Q3 2023</w:t>
            </w:r>
          </w:p>
        </w:tc>
      </w:tr>
      <w:tr w:rsidR="005A6B29" w:rsidRPr="00272D53" w14:paraId="50184C11" w14:textId="77777777" w:rsidTr="00861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D92E7" w14:textId="77777777" w:rsidR="005A6B29" w:rsidRPr="00272D53" w:rsidRDefault="005A6B29" w:rsidP="00861BBB">
            <w:r w:rsidRPr="00272D53">
              <w:t>Phase 3 First Patient In</w:t>
            </w:r>
          </w:p>
        </w:tc>
        <w:tc>
          <w:tcPr>
            <w:tcW w:w="0" w:type="auto"/>
            <w:vAlign w:val="center"/>
            <w:hideMark/>
          </w:tcPr>
          <w:p w14:paraId="78898DF8" w14:textId="77777777" w:rsidR="005A6B29" w:rsidRPr="00272D53" w:rsidRDefault="005A6B29" w:rsidP="00861BBB">
            <w:r w:rsidRPr="00272D53">
              <w:t>Q1 2024</w:t>
            </w:r>
          </w:p>
        </w:tc>
      </w:tr>
      <w:tr w:rsidR="005A6B29" w:rsidRPr="00272D53" w14:paraId="4BBBD71E" w14:textId="77777777" w:rsidTr="00861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B1472" w14:textId="77777777" w:rsidR="005A6B29" w:rsidRPr="00272D53" w:rsidRDefault="005A6B29" w:rsidP="00861BBB">
            <w:r w:rsidRPr="00272D53">
              <w:t>NDA Submission</w:t>
            </w:r>
          </w:p>
        </w:tc>
        <w:tc>
          <w:tcPr>
            <w:tcW w:w="0" w:type="auto"/>
            <w:vAlign w:val="center"/>
            <w:hideMark/>
          </w:tcPr>
          <w:p w14:paraId="42BC4550" w14:textId="77777777" w:rsidR="005A6B29" w:rsidRPr="00272D53" w:rsidRDefault="005A6B29" w:rsidP="00861BBB">
            <w:r w:rsidRPr="00272D53">
              <w:t>Q2 2026</w:t>
            </w:r>
          </w:p>
        </w:tc>
      </w:tr>
    </w:tbl>
    <w:p w14:paraId="00387790" w14:textId="5D16C496" w:rsidR="005A6B29" w:rsidRPr="00272D53" w:rsidRDefault="005A6B29" w:rsidP="005A6B29"/>
    <w:p w14:paraId="114F84BD" w14:textId="77777777" w:rsidR="005A6B29" w:rsidRPr="00272D53" w:rsidRDefault="005A6B29" w:rsidP="005A6B29">
      <w:pPr>
        <w:rPr>
          <w:b/>
          <w:bCs/>
        </w:rPr>
      </w:pPr>
      <w:r w:rsidRPr="00272D53">
        <w:rPr>
          <w:b/>
          <w:bCs/>
        </w:rPr>
        <w:t>7. Risk Mitigation Summary</w:t>
      </w:r>
    </w:p>
    <w:p w14:paraId="32A40DB2" w14:textId="77777777" w:rsidR="005A6B29" w:rsidRPr="00272D53" w:rsidRDefault="005A6B29" w:rsidP="005A6B29">
      <w:pPr>
        <w:numPr>
          <w:ilvl w:val="0"/>
          <w:numId w:val="5"/>
        </w:numPr>
      </w:pPr>
      <w:r w:rsidRPr="00272D53">
        <w:t>Monitoring for volume depletion, renal function, and genitourinary AEs</w:t>
      </w:r>
    </w:p>
    <w:p w14:paraId="5AAE2F00" w14:textId="77777777" w:rsidR="005A6B29" w:rsidRPr="00272D53" w:rsidRDefault="005A6B29" w:rsidP="005A6B29">
      <w:pPr>
        <w:numPr>
          <w:ilvl w:val="0"/>
          <w:numId w:val="5"/>
        </w:numPr>
      </w:pPr>
      <w:r w:rsidRPr="00272D53">
        <w:t>Independent Data Monitoring Committee (IDMC)</w:t>
      </w:r>
    </w:p>
    <w:p w14:paraId="674DEE09" w14:textId="77777777" w:rsidR="005A6B29" w:rsidRPr="00272D53" w:rsidRDefault="005A6B29" w:rsidP="005A6B29">
      <w:pPr>
        <w:numPr>
          <w:ilvl w:val="0"/>
          <w:numId w:val="5"/>
        </w:numPr>
      </w:pPr>
      <w:r w:rsidRPr="00272D53">
        <w:t>Interim analysis plan included with early stopping rules for futility or overwhelming efficacy</w:t>
      </w:r>
    </w:p>
    <w:p w14:paraId="33B1C3B6" w14:textId="19C95D8E" w:rsidR="005A6B29" w:rsidRPr="00272D53" w:rsidRDefault="005A6B29" w:rsidP="005A6B29"/>
    <w:p w14:paraId="45ADDAEF" w14:textId="77777777" w:rsidR="005A6B29" w:rsidRPr="00272D53" w:rsidRDefault="005A6B29" w:rsidP="005A6B29">
      <w:pPr>
        <w:rPr>
          <w:b/>
          <w:bCs/>
        </w:rPr>
      </w:pPr>
      <w:r w:rsidRPr="00272D53">
        <w:rPr>
          <w:b/>
          <w:bCs/>
        </w:rPr>
        <w:t>8. Source Documents Referenced</w:t>
      </w:r>
    </w:p>
    <w:p w14:paraId="39B4D70B" w14:textId="77777777" w:rsidR="005A6B29" w:rsidRPr="00272D53" w:rsidRDefault="005A6B29" w:rsidP="005A6B29">
      <w:pPr>
        <w:numPr>
          <w:ilvl w:val="0"/>
          <w:numId w:val="6"/>
        </w:numPr>
      </w:pPr>
      <w:r w:rsidRPr="00272D53">
        <w:t>Investigator Brochure v5.0</w:t>
      </w:r>
    </w:p>
    <w:p w14:paraId="69AAA120" w14:textId="77777777" w:rsidR="005A6B29" w:rsidRPr="00272D53" w:rsidRDefault="005A6B29" w:rsidP="005A6B29">
      <w:pPr>
        <w:numPr>
          <w:ilvl w:val="0"/>
          <w:numId w:val="6"/>
        </w:numPr>
      </w:pPr>
      <w:r w:rsidRPr="00272D53">
        <w:t>Phase 2b clinical study report</w:t>
      </w:r>
    </w:p>
    <w:p w14:paraId="51F44A8D" w14:textId="77777777" w:rsidR="005A6B29" w:rsidRPr="00272D53" w:rsidRDefault="005A6B29" w:rsidP="005A6B29">
      <w:pPr>
        <w:numPr>
          <w:ilvl w:val="0"/>
          <w:numId w:val="6"/>
        </w:numPr>
      </w:pPr>
      <w:r w:rsidRPr="00272D53">
        <w:t>Regulatory feedback from pre-IND meeting (FDA, EMA)</w:t>
      </w:r>
    </w:p>
    <w:p w14:paraId="23DCDBB7" w14:textId="77777777" w:rsidR="005A6B29" w:rsidRPr="00272D53" w:rsidRDefault="005A6B29" w:rsidP="005A6B29">
      <w:pPr>
        <w:numPr>
          <w:ilvl w:val="0"/>
          <w:numId w:val="6"/>
        </w:numPr>
      </w:pPr>
      <w:r w:rsidRPr="00272D53">
        <w:t>Market landscape and unmet need assessment (internal deck)</w:t>
      </w:r>
    </w:p>
    <w:p w14:paraId="6AE5C2CF" w14:textId="3C155778" w:rsidR="005A6B29" w:rsidRPr="00272D53" w:rsidRDefault="005A6B29" w:rsidP="005A6B29"/>
    <w:p w14:paraId="607C37AD" w14:textId="77777777" w:rsidR="00BB4E75" w:rsidRDefault="00BB4E75"/>
    <w:sectPr w:rsidR="00BB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52C9"/>
    <w:multiLevelType w:val="multilevel"/>
    <w:tmpl w:val="3FFA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E60BD"/>
    <w:multiLevelType w:val="multilevel"/>
    <w:tmpl w:val="E880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E6F07"/>
    <w:multiLevelType w:val="multilevel"/>
    <w:tmpl w:val="796C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41BDB"/>
    <w:multiLevelType w:val="multilevel"/>
    <w:tmpl w:val="90A6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D3874"/>
    <w:multiLevelType w:val="multilevel"/>
    <w:tmpl w:val="1368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FB552C"/>
    <w:multiLevelType w:val="multilevel"/>
    <w:tmpl w:val="5CFC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068079">
    <w:abstractNumId w:val="5"/>
  </w:num>
  <w:num w:numId="2" w16cid:durableId="62680534">
    <w:abstractNumId w:val="0"/>
  </w:num>
  <w:num w:numId="3" w16cid:durableId="671227367">
    <w:abstractNumId w:val="2"/>
  </w:num>
  <w:num w:numId="4" w16cid:durableId="555896944">
    <w:abstractNumId w:val="3"/>
  </w:num>
  <w:num w:numId="5" w16cid:durableId="862934604">
    <w:abstractNumId w:val="1"/>
  </w:num>
  <w:num w:numId="6" w16cid:durableId="1178350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29"/>
    <w:rsid w:val="000D7198"/>
    <w:rsid w:val="00120F63"/>
    <w:rsid w:val="00371957"/>
    <w:rsid w:val="00560F83"/>
    <w:rsid w:val="005A6B29"/>
    <w:rsid w:val="00624825"/>
    <w:rsid w:val="00884440"/>
    <w:rsid w:val="00B63299"/>
    <w:rsid w:val="00B7777C"/>
    <w:rsid w:val="00BB4E75"/>
    <w:rsid w:val="00D27FD0"/>
    <w:rsid w:val="00E2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8DD7"/>
  <w15:chartTrackingRefBased/>
  <w15:docId w15:val="{B9B7390E-E6B8-4D9A-93D0-D5D40AD2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B29"/>
  </w:style>
  <w:style w:type="paragraph" w:styleId="Heading1">
    <w:name w:val="heading 1"/>
    <w:basedOn w:val="Normal"/>
    <w:next w:val="Normal"/>
    <w:link w:val="Heading1Char"/>
    <w:uiPriority w:val="9"/>
    <w:qFormat/>
    <w:rsid w:val="005A6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AE632792F00D49BDA4C70E8CF3C324" ma:contentTypeVersion="10" ma:contentTypeDescription="Create a new document." ma:contentTypeScope="" ma:versionID="cc1815869325ca691cc806e9cd6a8294">
  <xsd:schema xmlns:xsd="http://www.w3.org/2001/XMLSchema" xmlns:xs="http://www.w3.org/2001/XMLSchema" xmlns:p="http://schemas.microsoft.com/office/2006/metadata/properties" xmlns:ns3="4aaa2fc8-9ca6-47d7-9e06-b4d7ee659a2d" targetNamespace="http://schemas.microsoft.com/office/2006/metadata/properties" ma:root="true" ma:fieldsID="869fd22047b07ca7ea1fd1b9ff100777" ns3:_="">
    <xsd:import namespace="4aaa2fc8-9ca6-47d7-9e06-b4d7ee659a2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a2fc8-9ca6-47d7-9e06-b4d7ee659a2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aa2fc8-9ca6-47d7-9e06-b4d7ee659a2d" xsi:nil="true"/>
  </documentManagement>
</p:properties>
</file>

<file path=customXml/itemProps1.xml><?xml version="1.0" encoding="utf-8"?>
<ds:datastoreItem xmlns:ds="http://schemas.openxmlformats.org/officeDocument/2006/customXml" ds:itemID="{BE78878D-FCF9-44B6-B6AE-E21C530E7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a2fc8-9ca6-47d7-9e06-b4d7ee659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295BD2-A67E-48BA-B271-1B19622BE6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A76C63-3A40-427A-8BEA-3DB8230B5D93}">
  <ds:schemaRefs>
    <ds:schemaRef ds:uri="http://schemas.microsoft.com/office/2006/metadata/properties"/>
    <ds:schemaRef ds:uri="http://schemas.microsoft.com/office/infopath/2007/PartnerControls"/>
    <ds:schemaRef ds:uri="4aaa2fc8-9ca6-47d7-9e06-b4d7ee659a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Amsham</dc:creator>
  <cp:keywords/>
  <dc:description/>
  <cp:lastModifiedBy>Vineeth Amsham</cp:lastModifiedBy>
  <cp:revision>2</cp:revision>
  <dcterms:created xsi:type="dcterms:W3CDTF">2025-06-04T02:14:00Z</dcterms:created>
  <dcterms:modified xsi:type="dcterms:W3CDTF">2025-06-04T03:41:00Z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0x010100F8AE632792F00D49BDA4C70E8CF3C324</vt:lpwstr>
  </property>
</Properties>
</file>