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DE7" w14:textId="668E9000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Mock Document #5: Clinical Operations Manual (COM) / Site Management Guide</w:t>
      </w:r>
    </w:p>
    <w:p w14:paraId="5659EBDF" w14:textId="5C644077" w:rsidR="008E3AD2" w:rsidRPr="00272D53" w:rsidRDefault="008E3AD2" w:rsidP="008E3AD2">
      <w:r w:rsidRPr="00272D53">
        <w:rPr>
          <w:b/>
          <w:bCs/>
        </w:rPr>
        <w:t>Title:</w:t>
      </w:r>
      <w:r w:rsidRPr="00272D53">
        <w:t xml:space="preserve"> </w:t>
      </w:r>
      <w:r w:rsidRPr="00272D53">
        <w:rPr>
          <w:i/>
          <w:iCs/>
        </w:rPr>
        <w:t>Clinical Operations Manual – Study HF-203 (Dapagliflozin in HFrEF)</w:t>
      </w:r>
      <w:r w:rsidRPr="00272D53">
        <w:br/>
      </w:r>
      <w:r w:rsidRPr="00272D53">
        <w:rPr>
          <w:b/>
          <w:bCs/>
        </w:rPr>
        <w:t>Version:</w:t>
      </w:r>
      <w:r w:rsidRPr="00272D53">
        <w:t xml:space="preserve"> 1.2</w:t>
      </w:r>
      <w:r w:rsidRPr="00272D53">
        <w:br/>
      </w:r>
      <w:r w:rsidRPr="00272D53">
        <w:rPr>
          <w:b/>
          <w:bCs/>
        </w:rPr>
        <w:t>Prepared by:</w:t>
      </w:r>
      <w:r w:rsidRPr="00272D53">
        <w:t xml:space="preserve"> Clinical Trial Management Team</w:t>
      </w:r>
      <w:r w:rsidRPr="00272D53">
        <w:br/>
      </w:r>
      <w:r w:rsidRPr="00272D53">
        <w:rPr>
          <w:b/>
          <w:bCs/>
        </w:rPr>
        <w:t>Date:</w:t>
      </w:r>
      <w:r w:rsidRPr="00272D53">
        <w:t xml:space="preserve"> [Fictional] January 2024</w:t>
      </w:r>
      <w:r w:rsidRPr="00272D53">
        <w:br/>
      </w:r>
      <w:r w:rsidRPr="00272D53">
        <w:rPr>
          <w:b/>
          <w:bCs/>
        </w:rPr>
        <w:t>Audience:</w:t>
      </w:r>
      <w:r w:rsidRPr="00272D53">
        <w:t xml:space="preserve"> Clinical Site Staff, CRAs, Trial Managers</w:t>
      </w:r>
    </w:p>
    <w:p w14:paraId="52BAA832" w14:textId="77777777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1. Study Overview</w:t>
      </w:r>
    </w:p>
    <w:p w14:paraId="12F122B3" w14:textId="41180624" w:rsidR="008E3AD2" w:rsidRPr="00272D53" w:rsidRDefault="008E3AD2" w:rsidP="008E3AD2">
      <w:r w:rsidRPr="00272D53">
        <w:t xml:space="preserve">This manual provides detailed operational guidance for executing Study HF-203, including visit schedules, drug handling, safety reporting, and withdrawal management. It supplements the full protocol and </w:t>
      </w:r>
      <w:proofErr w:type="gramStart"/>
      <w:r w:rsidRPr="00272D53">
        <w:t>is required</w:t>
      </w:r>
      <w:proofErr w:type="gramEnd"/>
      <w:r w:rsidRPr="00272D53">
        <w:t xml:space="preserve"> reading for all site investigators and monitors.</w:t>
      </w:r>
    </w:p>
    <w:p w14:paraId="47CCEA9E" w14:textId="77777777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2. Participant Enrollment and Screening</w:t>
      </w:r>
    </w:p>
    <w:p w14:paraId="1B519514" w14:textId="77777777" w:rsidR="008E3AD2" w:rsidRPr="00272D53" w:rsidRDefault="008E3AD2" w:rsidP="008E3AD2">
      <w:pPr>
        <w:numPr>
          <w:ilvl w:val="0"/>
          <w:numId w:val="1"/>
        </w:numPr>
      </w:pPr>
      <w:r w:rsidRPr="00272D53">
        <w:rPr>
          <w:b/>
          <w:bCs/>
        </w:rPr>
        <w:t>Informed Consent:</w:t>
      </w:r>
      <w:r w:rsidRPr="00272D53">
        <w:t xml:space="preserve"> Must be obtained before any protocol-related procedure</w:t>
      </w:r>
    </w:p>
    <w:p w14:paraId="23D0E667" w14:textId="77777777" w:rsidR="008E3AD2" w:rsidRPr="00272D53" w:rsidRDefault="008E3AD2" w:rsidP="008E3AD2">
      <w:pPr>
        <w:numPr>
          <w:ilvl w:val="0"/>
          <w:numId w:val="1"/>
        </w:numPr>
      </w:pPr>
      <w:r w:rsidRPr="00272D53">
        <w:rPr>
          <w:b/>
          <w:bCs/>
        </w:rPr>
        <w:t>Eligibility Review:</w:t>
      </w:r>
      <w:r w:rsidRPr="00272D53">
        <w:t xml:space="preserve"> Investigator must complete </w:t>
      </w:r>
      <w:proofErr w:type="gramStart"/>
      <w:r w:rsidRPr="00272D53">
        <w:t>checklist</w:t>
      </w:r>
      <w:proofErr w:type="gramEnd"/>
      <w:r w:rsidRPr="00272D53">
        <w:t xml:space="preserve"> based on CSP-defined inclusion/exclusion</w:t>
      </w:r>
    </w:p>
    <w:p w14:paraId="2023B17F" w14:textId="77777777" w:rsidR="008E3AD2" w:rsidRPr="00272D53" w:rsidRDefault="008E3AD2" w:rsidP="008E3AD2">
      <w:pPr>
        <w:numPr>
          <w:ilvl w:val="0"/>
          <w:numId w:val="1"/>
        </w:numPr>
      </w:pPr>
      <w:r w:rsidRPr="00272D53">
        <w:rPr>
          <w:b/>
          <w:bCs/>
        </w:rPr>
        <w:t>Randomization:</w:t>
      </w:r>
      <w:r w:rsidRPr="00272D53">
        <w:t xml:space="preserve"> Per IWRS after eligibility confirmed</w:t>
      </w:r>
    </w:p>
    <w:p w14:paraId="5181D0CD" w14:textId="7FBC6C92" w:rsidR="008E3AD2" w:rsidRPr="00272D53" w:rsidRDefault="008E3AD2" w:rsidP="008E3AD2">
      <w:pPr>
        <w:numPr>
          <w:ilvl w:val="0"/>
          <w:numId w:val="1"/>
        </w:numPr>
      </w:pPr>
      <w:r w:rsidRPr="00272D53">
        <w:rPr>
          <w:b/>
          <w:bCs/>
        </w:rPr>
        <w:t>Screen Failure Documentation:</w:t>
      </w:r>
      <w:r w:rsidRPr="00272D53">
        <w:t xml:space="preserve"> Reason must be recorded in the EDC system</w:t>
      </w:r>
    </w:p>
    <w:p w14:paraId="7C3419B1" w14:textId="77777777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3. Study Drug Handling</w:t>
      </w:r>
    </w:p>
    <w:p w14:paraId="75CA979B" w14:textId="77777777" w:rsidR="008E3AD2" w:rsidRPr="00272D53" w:rsidRDefault="008E3AD2" w:rsidP="008E3AD2">
      <w:pPr>
        <w:numPr>
          <w:ilvl w:val="0"/>
          <w:numId w:val="2"/>
        </w:numPr>
      </w:pPr>
      <w:r w:rsidRPr="00272D53">
        <w:rPr>
          <w:b/>
          <w:bCs/>
        </w:rPr>
        <w:t>Accountability Logs:</w:t>
      </w:r>
      <w:r w:rsidRPr="00272D53">
        <w:t xml:space="preserve"> Required for all IP shipments and returns</w:t>
      </w:r>
    </w:p>
    <w:p w14:paraId="7826FC55" w14:textId="77777777" w:rsidR="008E3AD2" w:rsidRPr="00272D53" w:rsidRDefault="008E3AD2" w:rsidP="008E3AD2">
      <w:pPr>
        <w:numPr>
          <w:ilvl w:val="0"/>
          <w:numId w:val="2"/>
        </w:numPr>
      </w:pPr>
      <w:r w:rsidRPr="00272D53">
        <w:rPr>
          <w:b/>
          <w:bCs/>
        </w:rPr>
        <w:t>Storage Conditions:</w:t>
      </w:r>
      <w:r w:rsidRPr="00272D53">
        <w:t xml:space="preserve"> 15–30°C, away from direct sunlight; controlled access</w:t>
      </w:r>
    </w:p>
    <w:p w14:paraId="0AAB3FCB" w14:textId="77777777" w:rsidR="008E3AD2" w:rsidRPr="00272D53" w:rsidRDefault="008E3AD2" w:rsidP="008E3AD2">
      <w:pPr>
        <w:numPr>
          <w:ilvl w:val="0"/>
          <w:numId w:val="2"/>
        </w:numPr>
      </w:pPr>
      <w:r w:rsidRPr="00272D53">
        <w:rPr>
          <w:b/>
          <w:bCs/>
        </w:rPr>
        <w:t>Blinding:</w:t>
      </w:r>
      <w:r w:rsidRPr="00272D53">
        <w:t xml:space="preserve"> Product and placebo identical in packaging and labeling</w:t>
      </w:r>
    </w:p>
    <w:p w14:paraId="30D804CB" w14:textId="74BC71E3" w:rsidR="008E3AD2" w:rsidRPr="00272D53" w:rsidRDefault="008E3AD2" w:rsidP="008E3AD2">
      <w:pPr>
        <w:numPr>
          <w:ilvl w:val="0"/>
          <w:numId w:val="2"/>
        </w:numPr>
      </w:pPr>
      <w:r w:rsidRPr="00272D53">
        <w:rPr>
          <w:b/>
          <w:bCs/>
        </w:rPr>
        <w:t>Return &amp; Destruction:</w:t>
      </w:r>
      <w:r w:rsidRPr="00272D53">
        <w:t xml:space="preserve"> Unused product returned to sponsor or destroyed </w:t>
      </w:r>
      <w:proofErr w:type="gramStart"/>
      <w:r w:rsidRPr="00272D53">
        <w:t>per</w:t>
      </w:r>
      <w:proofErr w:type="gramEnd"/>
      <w:r w:rsidRPr="00272D53">
        <w:t xml:space="preserve"> SOP</w:t>
      </w:r>
    </w:p>
    <w:p w14:paraId="6A3CA1C1" w14:textId="77777777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4. Adverse Event Monitoring</w:t>
      </w:r>
    </w:p>
    <w:p w14:paraId="33166A4A" w14:textId="77777777" w:rsidR="008E3AD2" w:rsidRPr="00272D53" w:rsidRDefault="008E3AD2" w:rsidP="008E3AD2">
      <w:pPr>
        <w:numPr>
          <w:ilvl w:val="0"/>
          <w:numId w:val="3"/>
        </w:numPr>
      </w:pPr>
      <w:r w:rsidRPr="00272D53">
        <w:rPr>
          <w:b/>
          <w:bCs/>
        </w:rPr>
        <w:t>Assessment Frequency:</w:t>
      </w:r>
      <w:r w:rsidRPr="00272D53">
        <w:t xml:space="preserve"> At every visit and during unscheduled contacts</w:t>
      </w:r>
    </w:p>
    <w:p w14:paraId="7DF8786A" w14:textId="77777777" w:rsidR="008E3AD2" w:rsidRPr="00272D53" w:rsidRDefault="008E3AD2" w:rsidP="008E3AD2">
      <w:pPr>
        <w:numPr>
          <w:ilvl w:val="0"/>
          <w:numId w:val="3"/>
        </w:numPr>
      </w:pPr>
      <w:r w:rsidRPr="00272D53">
        <w:rPr>
          <w:b/>
          <w:bCs/>
        </w:rPr>
        <w:t>Documentation:</w:t>
      </w:r>
      <w:r w:rsidRPr="00272D53">
        <w:t xml:space="preserve"> AE/SAE entries must be made in EDC within 24 hours</w:t>
      </w:r>
    </w:p>
    <w:p w14:paraId="40306B0D" w14:textId="77777777" w:rsidR="008E3AD2" w:rsidRPr="00272D53" w:rsidRDefault="008E3AD2" w:rsidP="008E3AD2">
      <w:pPr>
        <w:numPr>
          <w:ilvl w:val="0"/>
          <w:numId w:val="3"/>
        </w:numPr>
      </w:pPr>
      <w:r w:rsidRPr="00272D53">
        <w:rPr>
          <w:b/>
          <w:bCs/>
        </w:rPr>
        <w:t>Causality Assessment:</w:t>
      </w:r>
      <w:r w:rsidRPr="00272D53">
        <w:t xml:space="preserve"> Performed by PI</w:t>
      </w:r>
    </w:p>
    <w:p w14:paraId="1AD0905E" w14:textId="4DAC646B" w:rsidR="008E3AD2" w:rsidRPr="00272D53" w:rsidRDefault="008E3AD2" w:rsidP="008E3AD2">
      <w:pPr>
        <w:numPr>
          <w:ilvl w:val="0"/>
          <w:numId w:val="3"/>
        </w:numPr>
      </w:pPr>
      <w:r w:rsidRPr="00272D53">
        <w:rPr>
          <w:b/>
          <w:bCs/>
        </w:rPr>
        <w:t>Reporting Hierarchy:</w:t>
      </w:r>
      <w:r w:rsidRPr="00272D53">
        <w:t xml:space="preserve"> Site → CRA → Sponsor Pharmacovigilance → Regulatory</w:t>
      </w:r>
    </w:p>
    <w:p w14:paraId="4E3F2A8F" w14:textId="77777777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5. Withdrawal and Discontinuation</w:t>
      </w:r>
    </w:p>
    <w:p w14:paraId="68508391" w14:textId="77777777" w:rsidR="008E3AD2" w:rsidRPr="00272D53" w:rsidRDefault="008E3AD2" w:rsidP="008E3AD2">
      <w:pPr>
        <w:numPr>
          <w:ilvl w:val="0"/>
          <w:numId w:val="4"/>
        </w:numPr>
      </w:pPr>
      <w:r w:rsidRPr="00272D53">
        <w:rPr>
          <w:b/>
          <w:bCs/>
        </w:rPr>
        <w:t>Voluntary Withdrawal:</w:t>
      </w:r>
      <w:r w:rsidRPr="00272D53">
        <w:t xml:space="preserve"> Participant can exit at any time, reason to be recorded</w:t>
      </w:r>
    </w:p>
    <w:p w14:paraId="73D446C9" w14:textId="77777777" w:rsidR="008E3AD2" w:rsidRPr="00272D53" w:rsidRDefault="008E3AD2" w:rsidP="008E3AD2">
      <w:pPr>
        <w:numPr>
          <w:ilvl w:val="0"/>
          <w:numId w:val="4"/>
        </w:numPr>
      </w:pPr>
      <w:r w:rsidRPr="00272D53">
        <w:rPr>
          <w:b/>
          <w:bCs/>
        </w:rPr>
        <w:lastRenderedPageBreak/>
        <w:t>Investigator-Initiated:</w:t>
      </w:r>
      <w:r w:rsidRPr="00272D53">
        <w:t xml:space="preserve"> Due to AE, protocol non-compliance, or safety concerns</w:t>
      </w:r>
    </w:p>
    <w:p w14:paraId="31AC898D" w14:textId="77777777" w:rsidR="008E3AD2" w:rsidRPr="00272D53" w:rsidRDefault="008E3AD2" w:rsidP="008E3AD2">
      <w:pPr>
        <w:numPr>
          <w:ilvl w:val="0"/>
          <w:numId w:val="4"/>
        </w:numPr>
      </w:pPr>
      <w:r w:rsidRPr="00272D53">
        <w:rPr>
          <w:b/>
          <w:bCs/>
        </w:rPr>
        <w:t>EOS Visit Completion:</w:t>
      </w:r>
      <w:r w:rsidRPr="00272D53">
        <w:t xml:space="preserve"> Encourage final assessments per CSP</w:t>
      </w:r>
    </w:p>
    <w:p w14:paraId="19A4FEBB" w14:textId="345F569D" w:rsidR="008E3AD2" w:rsidRPr="00272D53" w:rsidRDefault="008E3AD2" w:rsidP="008E3AD2">
      <w:pPr>
        <w:numPr>
          <w:ilvl w:val="0"/>
          <w:numId w:val="4"/>
        </w:numPr>
      </w:pPr>
      <w:r w:rsidRPr="00272D53">
        <w:rPr>
          <w:b/>
          <w:bCs/>
        </w:rPr>
        <w:t>Discontinuation of Study Drug Only:</w:t>
      </w:r>
      <w:r w:rsidRPr="00272D53">
        <w:t xml:space="preserve"> Follow Section 7.2 of CSP (e.g., QTcF &gt;500 ms, eGFR &lt;15)</w:t>
      </w:r>
    </w:p>
    <w:p w14:paraId="69CCFF8F" w14:textId="77777777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6. Visit Management and Source Documentation</w:t>
      </w:r>
    </w:p>
    <w:p w14:paraId="7874F08E" w14:textId="77777777" w:rsidR="008E3AD2" w:rsidRPr="00272D53" w:rsidRDefault="008E3AD2" w:rsidP="008E3AD2">
      <w:pPr>
        <w:numPr>
          <w:ilvl w:val="0"/>
          <w:numId w:val="5"/>
        </w:numPr>
      </w:pPr>
      <w:r w:rsidRPr="00272D53">
        <w:rPr>
          <w:b/>
          <w:bCs/>
        </w:rPr>
        <w:t>Visit Windows:</w:t>
      </w:r>
      <w:r w:rsidRPr="00272D53">
        <w:t xml:space="preserve"> ±2 days acceptable unless otherwise noted</w:t>
      </w:r>
    </w:p>
    <w:p w14:paraId="393D6F19" w14:textId="77777777" w:rsidR="008E3AD2" w:rsidRPr="00272D53" w:rsidRDefault="008E3AD2" w:rsidP="008E3AD2">
      <w:pPr>
        <w:numPr>
          <w:ilvl w:val="0"/>
          <w:numId w:val="5"/>
        </w:numPr>
      </w:pPr>
      <w:r w:rsidRPr="00272D53">
        <w:rPr>
          <w:b/>
          <w:bCs/>
        </w:rPr>
        <w:t>Remote Monitoring:</w:t>
      </w:r>
      <w:r w:rsidRPr="00272D53">
        <w:t xml:space="preserve"> Permitted under COVID-19 contingency if IRB approved</w:t>
      </w:r>
    </w:p>
    <w:p w14:paraId="04DBE123" w14:textId="77777777" w:rsidR="008E3AD2" w:rsidRPr="00272D53" w:rsidRDefault="008E3AD2" w:rsidP="008E3AD2">
      <w:pPr>
        <w:numPr>
          <w:ilvl w:val="0"/>
          <w:numId w:val="5"/>
        </w:numPr>
      </w:pPr>
      <w:r w:rsidRPr="00272D53">
        <w:rPr>
          <w:b/>
          <w:bCs/>
        </w:rPr>
        <w:t>CRF Completion:</w:t>
      </w:r>
      <w:r w:rsidRPr="00272D53">
        <w:t xml:space="preserve"> Within 3 days of visit</w:t>
      </w:r>
    </w:p>
    <w:p w14:paraId="1D2674EB" w14:textId="39EE1ECE" w:rsidR="008E3AD2" w:rsidRPr="00272D53" w:rsidRDefault="008E3AD2" w:rsidP="008E3AD2">
      <w:pPr>
        <w:numPr>
          <w:ilvl w:val="0"/>
          <w:numId w:val="5"/>
        </w:numPr>
      </w:pPr>
      <w:r w:rsidRPr="00272D53">
        <w:rPr>
          <w:b/>
          <w:bCs/>
        </w:rPr>
        <w:t>Source Data Verification (SDV):</w:t>
      </w:r>
      <w:r w:rsidRPr="00272D53">
        <w:t xml:space="preserve"> 100% SDV required for primary endpoint visits</w:t>
      </w:r>
    </w:p>
    <w:p w14:paraId="67601A03" w14:textId="77777777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7. Site Responsibilities</w:t>
      </w:r>
    </w:p>
    <w:p w14:paraId="6CD2D03C" w14:textId="77777777" w:rsidR="008E3AD2" w:rsidRPr="00272D53" w:rsidRDefault="008E3AD2" w:rsidP="008E3AD2">
      <w:pPr>
        <w:numPr>
          <w:ilvl w:val="0"/>
          <w:numId w:val="6"/>
        </w:numPr>
      </w:pPr>
      <w:r w:rsidRPr="00272D53">
        <w:t>Maintain delegation logs</w:t>
      </w:r>
    </w:p>
    <w:p w14:paraId="6E8B8442" w14:textId="77777777" w:rsidR="008E3AD2" w:rsidRPr="00272D53" w:rsidRDefault="008E3AD2" w:rsidP="008E3AD2">
      <w:pPr>
        <w:numPr>
          <w:ilvl w:val="0"/>
          <w:numId w:val="6"/>
        </w:numPr>
      </w:pPr>
      <w:r w:rsidRPr="00272D53">
        <w:t>Complete site initiation training</w:t>
      </w:r>
    </w:p>
    <w:p w14:paraId="795DB88E" w14:textId="77777777" w:rsidR="008E3AD2" w:rsidRPr="00272D53" w:rsidRDefault="008E3AD2" w:rsidP="008E3AD2">
      <w:pPr>
        <w:numPr>
          <w:ilvl w:val="0"/>
          <w:numId w:val="6"/>
        </w:numPr>
      </w:pPr>
      <w:proofErr w:type="gramStart"/>
      <w:r w:rsidRPr="00272D53">
        <w:t>Store</w:t>
      </w:r>
      <w:proofErr w:type="gramEnd"/>
      <w:r w:rsidRPr="00272D53">
        <w:t xml:space="preserve"> signed ICFs and study records for ≥15 years</w:t>
      </w:r>
    </w:p>
    <w:p w14:paraId="515F9113" w14:textId="40436833" w:rsidR="008E3AD2" w:rsidRPr="00272D53" w:rsidRDefault="008E3AD2" w:rsidP="008E3AD2">
      <w:pPr>
        <w:numPr>
          <w:ilvl w:val="0"/>
          <w:numId w:val="6"/>
        </w:numPr>
      </w:pPr>
      <w:r w:rsidRPr="00272D53">
        <w:t>Comply with GCP and local regulatory authority requirements</w:t>
      </w:r>
    </w:p>
    <w:p w14:paraId="5A4D78B1" w14:textId="77777777" w:rsidR="008E3AD2" w:rsidRPr="00272D53" w:rsidRDefault="008E3AD2" w:rsidP="008E3AD2">
      <w:pPr>
        <w:rPr>
          <w:b/>
          <w:bCs/>
        </w:rPr>
      </w:pPr>
      <w:r w:rsidRPr="00272D53">
        <w:rPr>
          <w:b/>
          <w:bCs/>
        </w:rPr>
        <w:t>Supports CSP Prompts Like:</w:t>
      </w:r>
    </w:p>
    <w:p w14:paraId="691C02A1" w14:textId="77777777" w:rsidR="008E3AD2" w:rsidRPr="00272D53" w:rsidRDefault="008E3AD2" w:rsidP="008E3AD2">
      <w:pPr>
        <w:numPr>
          <w:ilvl w:val="0"/>
          <w:numId w:val="7"/>
        </w:numPr>
      </w:pPr>
      <w:r w:rsidRPr="00272D53">
        <w:t>#HC_AI_Withdrawal_And_Discontinuation#</w:t>
      </w:r>
    </w:p>
    <w:p w14:paraId="729DBCA4" w14:textId="77777777" w:rsidR="008E3AD2" w:rsidRPr="00272D53" w:rsidRDefault="008E3AD2" w:rsidP="008E3AD2">
      <w:pPr>
        <w:numPr>
          <w:ilvl w:val="0"/>
          <w:numId w:val="7"/>
        </w:numPr>
      </w:pPr>
      <w:r w:rsidRPr="00272D53">
        <w:t>#HC_AI_AE_Monitoring#</w:t>
      </w:r>
    </w:p>
    <w:p w14:paraId="285ADDD6" w14:textId="77777777" w:rsidR="008E3AD2" w:rsidRPr="00272D53" w:rsidRDefault="008E3AD2" w:rsidP="008E3AD2">
      <w:pPr>
        <w:numPr>
          <w:ilvl w:val="0"/>
          <w:numId w:val="7"/>
        </w:numPr>
      </w:pPr>
      <w:r w:rsidRPr="00272D53">
        <w:t>#HC_AI_Study_Drug_Accountability#</w:t>
      </w:r>
    </w:p>
    <w:p w14:paraId="40FD10C4" w14:textId="77777777" w:rsidR="008E3AD2" w:rsidRPr="00272D53" w:rsidRDefault="008E3AD2" w:rsidP="008E3AD2">
      <w:pPr>
        <w:numPr>
          <w:ilvl w:val="0"/>
          <w:numId w:val="7"/>
        </w:numPr>
      </w:pPr>
      <w:r w:rsidRPr="00272D53">
        <w:t>#HC_AI_Treatment_Assignment#</w:t>
      </w:r>
    </w:p>
    <w:p w14:paraId="54654D9F" w14:textId="77777777" w:rsidR="00BB4E75" w:rsidRDefault="00BB4E75"/>
    <w:sectPr w:rsidR="00BB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799E"/>
    <w:multiLevelType w:val="multilevel"/>
    <w:tmpl w:val="D39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C407C"/>
    <w:multiLevelType w:val="multilevel"/>
    <w:tmpl w:val="248A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3175"/>
    <w:multiLevelType w:val="multilevel"/>
    <w:tmpl w:val="260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D4911"/>
    <w:multiLevelType w:val="multilevel"/>
    <w:tmpl w:val="A3A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95831"/>
    <w:multiLevelType w:val="multilevel"/>
    <w:tmpl w:val="53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A1E3F"/>
    <w:multiLevelType w:val="multilevel"/>
    <w:tmpl w:val="3F1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12034"/>
    <w:multiLevelType w:val="multilevel"/>
    <w:tmpl w:val="44F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6033">
    <w:abstractNumId w:val="1"/>
  </w:num>
  <w:num w:numId="2" w16cid:durableId="124352058">
    <w:abstractNumId w:val="0"/>
  </w:num>
  <w:num w:numId="3" w16cid:durableId="1369793427">
    <w:abstractNumId w:val="6"/>
  </w:num>
  <w:num w:numId="4" w16cid:durableId="590814789">
    <w:abstractNumId w:val="3"/>
  </w:num>
  <w:num w:numId="5" w16cid:durableId="798497121">
    <w:abstractNumId w:val="5"/>
  </w:num>
  <w:num w:numId="6" w16cid:durableId="75564764">
    <w:abstractNumId w:val="4"/>
  </w:num>
  <w:num w:numId="7" w16cid:durableId="814955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D2"/>
    <w:rsid w:val="000D7198"/>
    <w:rsid w:val="00120F63"/>
    <w:rsid w:val="001C03D7"/>
    <w:rsid w:val="00371957"/>
    <w:rsid w:val="00560F83"/>
    <w:rsid w:val="00884440"/>
    <w:rsid w:val="008E3AD2"/>
    <w:rsid w:val="00B63299"/>
    <w:rsid w:val="00B7777C"/>
    <w:rsid w:val="00BB4E75"/>
    <w:rsid w:val="00D27FD0"/>
    <w:rsid w:val="00E2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3AC3"/>
  <w15:chartTrackingRefBased/>
  <w15:docId w15:val="{84B5B855-8934-40DF-B031-C1AE370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AD2"/>
  </w:style>
  <w:style w:type="paragraph" w:styleId="Heading1">
    <w:name w:val="heading 1"/>
    <w:basedOn w:val="Normal"/>
    <w:next w:val="Normal"/>
    <w:link w:val="Heading1Char"/>
    <w:uiPriority w:val="9"/>
    <w:qFormat/>
    <w:rsid w:val="008E3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E632792F00D49BDA4C70E8CF3C324" ma:contentTypeVersion="10" ma:contentTypeDescription="Create a new document." ma:contentTypeScope="" ma:versionID="cc1815869325ca691cc806e9cd6a8294">
  <xsd:schema xmlns:xsd="http://www.w3.org/2001/XMLSchema" xmlns:xs="http://www.w3.org/2001/XMLSchema" xmlns:p="http://schemas.microsoft.com/office/2006/metadata/properties" xmlns:ns3="4aaa2fc8-9ca6-47d7-9e06-b4d7ee659a2d" targetNamespace="http://schemas.microsoft.com/office/2006/metadata/properties" ma:root="true" ma:fieldsID="869fd22047b07ca7ea1fd1b9ff100777" ns3:_="">
    <xsd:import namespace="4aaa2fc8-9ca6-47d7-9e06-b4d7ee659a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a2fc8-9ca6-47d7-9e06-b4d7ee659a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a2fc8-9ca6-47d7-9e06-b4d7ee659a2d" xsi:nil="true"/>
  </documentManagement>
</p:properties>
</file>

<file path=customXml/itemProps1.xml><?xml version="1.0" encoding="utf-8"?>
<ds:datastoreItem xmlns:ds="http://schemas.openxmlformats.org/officeDocument/2006/customXml" ds:itemID="{76E32848-BF3B-4C8A-9C82-B68733ACF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a2fc8-9ca6-47d7-9e06-b4d7ee659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457CF6-BB7E-40B8-9E3B-70F640BCC2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23BDB-CCB2-471D-A980-1C31A4F25369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4aaa2fc8-9ca6-47d7-9e06-b4d7ee659a2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Amsham</dc:creator>
  <cp:keywords/>
  <dc:description/>
  <cp:lastModifiedBy>Vineeth Amsham</cp:lastModifiedBy>
  <cp:revision>2</cp:revision>
  <dcterms:created xsi:type="dcterms:W3CDTF">2025-06-04T02:19:00Z</dcterms:created>
  <dcterms:modified xsi:type="dcterms:W3CDTF">2025-06-04T03:49:00Z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0x010100F8AE632792F00D49BDA4C70E8CF3C324</vt:lpwstr>
  </property>
</Properties>
</file>