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9B905" w14:textId="4C5E0062" w:rsidR="001C2469" w:rsidRPr="00272D53" w:rsidRDefault="001C2469" w:rsidP="001C2469">
      <w:pPr>
        <w:rPr>
          <w:b/>
          <w:bCs/>
        </w:rPr>
      </w:pPr>
      <w:r w:rsidRPr="00272D53">
        <w:rPr>
          <w:b/>
          <w:bCs/>
        </w:rPr>
        <w:t>Mock Document #2: Investigator Brochure (IB)</w:t>
      </w:r>
    </w:p>
    <w:p w14:paraId="63746C09" w14:textId="63FA573F" w:rsidR="001C2469" w:rsidRPr="00272D53" w:rsidRDefault="001C2469" w:rsidP="001C2469">
      <w:r w:rsidRPr="00272D53">
        <w:rPr>
          <w:b/>
          <w:bCs/>
        </w:rPr>
        <w:t>Title:</w:t>
      </w:r>
      <w:r w:rsidRPr="00272D53">
        <w:t xml:space="preserve"> </w:t>
      </w:r>
      <w:r w:rsidRPr="00272D53">
        <w:rPr>
          <w:i/>
          <w:iCs/>
        </w:rPr>
        <w:t>Investigator’s Brochure for Dapagliflozin – Cardiovascular Program</w:t>
      </w:r>
      <w:r w:rsidRPr="00272D53">
        <w:br/>
      </w:r>
      <w:r w:rsidRPr="00272D53">
        <w:rPr>
          <w:b/>
          <w:bCs/>
        </w:rPr>
        <w:t>Version:</w:t>
      </w:r>
      <w:r w:rsidRPr="00272D53">
        <w:t xml:space="preserve"> 6.0</w:t>
      </w:r>
      <w:r w:rsidRPr="00272D53">
        <w:br/>
      </w:r>
      <w:r w:rsidRPr="00272D53">
        <w:rPr>
          <w:b/>
          <w:bCs/>
        </w:rPr>
        <w:t>Prepared by:</w:t>
      </w:r>
      <w:r w:rsidRPr="00272D53">
        <w:t xml:space="preserve"> Global Clinical Development – Medical Affairs</w:t>
      </w:r>
      <w:r w:rsidRPr="00272D53">
        <w:br/>
      </w:r>
      <w:r w:rsidRPr="00272D53">
        <w:rPr>
          <w:b/>
          <w:bCs/>
        </w:rPr>
        <w:t>Date:</w:t>
      </w:r>
      <w:r w:rsidRPr="00272D53">
        <w:t xml:space="preserve"> [Fictional] March 2024</w:t>
      </w:r>
    </w:p>
    <w:p w14:paraId="04618D76" w14:textId="77777777" w:rsidR="001C2469" w:rsidRPr="00272D53" w:rsidRDefault="001C2469" w:rsidP="001C2469">
      <w:pPr>
        <w:rPr>
          <w:b/>
          <w:bCs/>
        </w:rPr>
      </w:pPr>
      <w:r w:rsidRPr="00272D53">
        <w:rPr>
          <w:b/>
          <w:bCs/>
        </w:rPr>
        <w:t>1. Introduction</w:t>
      </w:r>
    </w:p>
    <w:p w14:paraId="201873E0" w14:textId="04BCD210" w:rsidR="001C2469" w:rsidRPr="00272D53" w:rsidRDefault="001C2469" w:rsidP="001C2469">
      <w:r w:rsidRPr="00272D53">
        <w:t>Dapagliflozin is a selective sodium-glucose co-transporter 2 (SGLT2) inhibitor approved for the treatment of type 2 diabetes mellitus. This brochure summarizes the nonclinical and clinical data supporting its use in patients with heart failure with reduced ejection fraction (</w:t>
      </w:r>
      <w:proofErr w:type="spellStart"/>
      <w:r w:rsidRPr="00272D53">
        <w:t>HFrEF</w:t>
      </w:r>
      <w:proofErr w:type="spellEnd"/>
      <w:r w:rsidRPr="00272D53">
        <w:t>), including rationale, pharmacology, safety, and prior trial findings.</w:t>
      </w:r>
    </w:p>
    <w:p w14:paraId="652225B3" w14:textId="77777777" w:rsidR="001C2469" w:rsidRPr="00272D53" w:rsidRDefault="001C2469" w:rsidP="001C2469">
      <w:pPr>
        <w:rPr>
          <w:b/>
          <w:bCs/>
        </w:rPr>
      </w:pPr>
      <w:r w:rsidRPr="00272D53">
        <w:rPr>
          <w:b/>
          <w:bCs/>
        </w:rPr>
        <w:t>2. Physical, Chemical, and Pharmaceutical Properties</w:t>
      </w:r>
    </w:p>
    <w:p w14:paraId="6A0D2F3F" w14:textId="77777777" w:rsidR="001C2469" w:rsidRPr="00272D53" w:rsidRDefault="001C2469" w:rsidP="001C2469">
      <w:pPr>
        <w:numPr>
          <w:ilvl w:val="0"/>
          <w:numId w:val="1"/>
        </w:numPr>
      </w:pPr>
      <w:r w:rsidRPr="00272D53">
        <w:rPr>
          <w:b/>
          <w:bCs/>
        </w:rPr>
        <w:t>Chemical Name:</w:t>
      </w:r>
      <w:r w:rsidRPr="00272D53">
        <w:t xml:space="preserve"> Dapagliflozin propanediol monohydrate</w:t>
      </w:r>
    </w:p>
    <w:p w14:paraId="16DA8152" w14:textId="77777777" w:rsidR="001C2469" w:rsidRPr="00272D53" w:rsidRDefault="001C2469" w:rsidP="001C2469">
      <w:pPr>
        <w:numPr>
          <w:ilvl w:val="0"/>
          <w:numId w:val="1"/>
        </w:numPr>
      </w:pPr>
      <w:r w:rsidRPr="00272D53">
        <w:rPr>
          <w:b/>
          <w:bCs/>
        </w:rPr>
        <w:t>Molecular Formula:</w:t>
      </w:r>
      <w:r w:rsidRPr="00272D53">
        <w:t xml:space="preserve"> C21H25ClO6</w:t>
      </w:r>
    </w:p>
    <w:p w14:paraId="579FDCD0" w14:textId="77777777" w:rsidR="001C2469" w:rsidRPr="00272D53" w:rsidRDefault="001C2469" w:rsidP="001C2469">
      <w:pPr>
        <w:numPr>
          <w:ilvl w:val="0"/>
          <w:numId w:val="1"/>
        </w:numPr>
      </w:pPr>
      <w:r w:rsidRPr="00272D53">
        <w:rPr>
          <w:b/>
          <w:bCs/>
        </w:rPr>
        <w:t>Appearance:</w:t>
      </w:r>
      <w:r w:rsidRPr="00272D53">
        <w:t xml:space="preserve"> White to off-white oral tablet</w:t>
      </w:r>
    </w:p>
    <w:p w14:paraId="2AE6EFFB" w14:textId="77777777" w:rsidR="001C2469" w:rsidRPr="00272D53" w:rsidRDefault="001C2469" w:rsidP="001C2469">
      <w:pPr>
        <w:numPr>
          <w:ilvl w:val="0"/>
          <w:numId w:val="1"/>
        </w:numPr>
      </w:pPr>
      <w:r w:rsidRPr="00272D53">
        <w:rPr>
          <w:b/>
          <w:bCs/>
        </w:rPr>
        <w:t>Strength:</w:t>
      </w:r>
      <w:r w:rsidRPr="00272D53">
        <w:t xml:space="preserve"> 10 mg</w:t>
      </w:r>
    </w:p>
    <w:p w14:paraId="750045D2" w14:textId="5AA6A225" w:rsidR="001C2469" w:rsidRPr="00272D53" w:rsidRDefault="001C2469" w:rsidP="001C2469">
      <w:pPr>
        <w:numPr>
          <w:ilvl w:val="0"/>
          <w:numId w:val="1"/>
        </w:numPr>
      </w:pPr>
      <w:r w:rsidRPr="00272D53">
        <w:rPr>
          <w:b/>
          <w:bCs/>
        </w:rPr>
        <w:t>Dosage Form:</w:t>
      </w:r>
      <w:r w:rsidRPr="00272D53">
        <w:t xml:space="preserve"> Immediate-release film-coated tablets</w:t>
      </w:r>
    </w:p>
    <w:p w14:paraId="268376E9" w14:textId="77777777" w:rsidR="001C2469" w:rsidRPr="00272D53" w:rsidRDefault="001C2469" w:rsidP="001C2469">
      <w:pPr>
        <w:rPr>
          <w:b/>
          <w:bCs/>
        </w:rPr>
      </w:pPr>
      <w:r w:rsidRPr="00272D53">
        <w:rPr>
          <w:b/>
          <w:bCs/>
        </w:rPr>
        <w:t>3. Mechanism of Action</w:t>
      </w:r>
    </w:p>
    <w:p w14:paraId="666BD1CA" w14:textId="06EA4919" w:rsidR="001C2469" w:rsidRPr="00272D53" w:rsidRDefault="001C2469" w:rsidP="001C2469">
      <w:r w:rsidRPr="00272D53">
        <w:t>Dapagliflozin inhibits SGLT2 in the proximal renal tubules, reducing glucose reabsorption and increasing urinary glucose excretion. In heart failure, its benefit is attributed to hemodynamic modulation, natriuresis, and potential effects on cardiac remodeling and oxidative stress.</w:t>
      </w:r>
    </w:p>
    <w:p w14:paraId="515C12AA" w14:textId="77777777" w:rsidR="001C2469" w:rsidRPr="00272D53" w:rsidRDefault="001C2469" w:rsidP="001C2469">
      <w:pPr>
        <w:rPr>
          <w:b/>
          <w:bCs/>
        </w:rPr>
      </w:pPr>
      <w:r w:rsidRPr="00272D53">
        <w:rPr>
          <w:b/>
          <w:bCs/>
        </w:rPr>
        <w:t>4. Nonclinical Studies</w:t>
      </w:r>
    </w:p>
    <w:p w14:paraId="5444ED42" w14:textId="77777777" w:rsidR="001C2469" w:rsidRPr="00272D53" w:rsidRDefault="001C2469" w:rsidP="001C2469">
      <w:pPr>
        <w:numPr>
          <w:ilvl w:val="0"/>
          <w:numId w:val="2"/>
        </w:numPr>
      </w:pPr>
      <w:r w:rsidRPr="00272D53">
        <w:rPr>
          <w:b/>
          <w:bCs/>
        </w:rPr>
        <w:t>Pharmacology:</w:t>
      </w:r>
      <w:r w:rsidRPr="00272D53">
        <w:t xml:space="preserve"> Demonstrated dose-dependent reduction in blood glucose and preserved renal function in rodent models</w:t>
      </w:r>
    </w:p>
    <w:p w14:paraId="734ECD39" w14:textId="77777777" w:rsidR="001C2469" w:rsidRPr="00272D53" w:rsidRDefault="001C2469" w:rsidP="001C2469">
      <w:pPr>
        <w:numPr>
          <w:ilvl w:val="0"/>
          <w:numId w:val="2"/>
        </w:numPr>
      </w:pPr>
      <w:r w:rsidRPr="00272D53">
        <w:rPr>
          <w:b/>
          <w:bCs/>
        </w:rPr>
        <w:t>Toxicology:</w:t>
      </w:r>
      <w:r w:rsidRPr="00272D53">
        <w:t xml:space="preserve"> No carcinogenicity or mutagenicity noted in long-term rodent studies</w:t>
      </w:r>
    </w:p>
    <w:p w14:paraId="4B0D921E" w14:textId="19472226" w:rsidR="001C2469" w:rsidRPr="00272D53" w:rsidRDefault="001C2469" w:rsidP="001C2469">
      <w:pPr>
        <w:numPr>
          <w:ilvl w:val="0"/>
          <w:numId w:val="2"/>
        </w:numPr>
      </w:pPr>
      <w:r w:rsidRPr="00272D53">
        <w:rPr>
          <w:b/>
          <w:bCs/>
        </w:rPr>
        <w:t>Reproductive Toxicity:</w:t>
      </w:r>
      <w:r w:rsidRPr="00272D53">
        <w:t xml:space="preserve"> Not teratogenic at therapeutic exposures</w:t>
      </w:r>
    </w:p>
    <w:p w14:paraId="62AB5B78" w14:textId="77777777" w:rsidR="001C2469" w:rsidRPr="00272D53" w:rsidRDefault="001C2469" w:rsidP="001C2469">
      <w:pPr>
        <w:rPr>
          <w:b/>
          <w:bCs/>
        </w:rPr>
      </w:pPr>
      <w:r w:rsidRPr="00272D53">
        <w:rPr>
          <w:b/>
          <w:bCs/>
        </w:rPr>
        <w:t>5. Summary of Clinical Experience</w:t>
      </w:r>
    </w:p>
    <w:p w14:paraId="62E0EAE0" w14:textId="77777777" w:rsidR="001C2469" w:rsidRPr="00272D53" w:rsidRDefault="001C2469" w:rsidP="001C2469">
      <w:pPr>
        <w:numPr>
          <w:ilvl w:val="0"/>
          <w:numId w:val="3"/>
        </w:numPr>
      </w:pPr>
      <w:r w:rsidRPr="00272D53">
        <w:rPr>
          <w:b/>
          <w:bCs/>
        </w:rPr>
        <w:t>Diabetes Program:</w:t>
      </w:r>
      <w:r w:rsidRPr="00272D53">
        <w:t xml:space="preserve"> Over 10,000 patients studied in global T2DM trials (DEPICT, DECLARE-TIMI 58)</w:t>
      </w:r>
    </w:p>
    <w:p w14:paraId="699F7CDF" w14:textId="77777777" w:rsidR="001C2469" w:rsidRPr="00272D53" w:rsidRDefault="001C2469" w:rsidP="001C2469">
      <w:pPr>
        <w:numPr>
          <w:ilvl w:val="0"/>
          <w:numId w:val="3"/>
        </w:numPr>
      </w:pPr>
      <w:r w:rsidRPr="00272D53">
        <w:rPr>
          <w:b/>
          <w:bCs/>
        </w:rPr>
        <w:lastRenderedPageBreak/>
        <w:t>Cardiorenal Trials:</w:t>
      </w:r>
      <w:r w:rsidRPr="00272D53">
        <w:t xml:space="preserve"> Benefits observed in CKD and </w:t>
      </w:r>
      <w:proofErr w:type="spellStart"/>
      <w:r w:rsidRPr="00272D53">
        <w:t>HFrEF</w:t>
      </w:r>
      <w:proofErr w:type="spellEnd"/>
      <w:r w:rsidRPr="00272D53">
        <w:t xml:space="preserve"> subgroups, including reduced HF hospitalization rates</w:t>
      </w:r>
    </w:p>
    <w:p w14:paraId="0E285B36" w14:textId="69B79237" w:rsidR="001C2469" w:rsidRPr="00272D53" w:rsidRDefault="001C2469" w:rsidP="001C2469">
      <w:pPr>
        <w:numPr>
          <w:ilvl w:val="0"/>
          <w:numId w:val="3"/>
        </w:numPr>
      </w:pPr>
      <w:r w:rsidRPr="00272D53">
        <w:rPr>
          <w:b/>
          <w:bCs/>
        </w:rPr>
        <w:t>Safety Database:</w:t>
      </w:r>
      <w:r w:rsidRPr="00272D53">
        <w:t xml:space="preserve"> Over 18,000 patients exposed </w:t>
      </w:r>
      <w:proofErr w:type="gramStart"/>
      <w:r w:rsidRPr="00272D53">
        <w:t>in</w:t>
      </w:r>
      <w:proofErr w:type="gramEnd"/>
      <w:r w:rsidRPr="00272D53">
        <w:t xml:space="preserve"> clinical trials to date</w:t>
      </w:r>
    </w:p>
    <w:p w14:paraId="3D3FD00E" w14:textId="77777777" w:rsidR="001C2469" w:rsidRPr="00272D53" w:rsidRDefault="001C2469" w:rsidP="001C2469">
      <w:pPr>
        <w:rPr>
          <w:b/>
          <w:bCs/>
        </w:rPr>
      </w:pPr>
      <w:r w:rsidRPr="00272D53">
        <w:rPr>
          <w:b/>
          <w:bCs/>
        </w:rPr>
        <w:t>6. Safety and Tolerability</w:t>
      </w:r>
    </w:p>
    <w:p w14:paraId="541D6DB8" w14:textId="77777777" w:rsidR="001C2469" w:rsidRPr="00272D53" w:rsidRDefault="001C2469" w:rsidP="001C2469">
      <w:r w:rsidRPr="00272D53">
        <w:rPr>
          <w:b/>
          <w:bCs/>
        </w:rPr>
        <w:t>Known Risks:</w:t>
      </w:r>
    </w:p>
    <w:p w14:paraId="0807145F" w14:textId="77777777" w:rsidR="001C2469" w:rsidRPr="00272D53" w:rsidRDefault="001C2469" w:rsidP="001C2469">
      <w:pPr>
        <w:numPr>
          <w:ilvl w:val="0"/>
          <w:numId w:val="4"/>
        </w:numPr>
      </w:pPr>
      <w:r w:rsidRPr="00272D53">
        <w:t>Genital infections, urinary tract infections</w:t>
      </w:r>
    </w:p>
    <w:p w14:paraId="12A542E7" w14:textId="77777777" w:rsidR="001C2469" w:rsidRPr="00272D53" w:rsidRDefault="001C2469" w:rsidP="001C2469">
      <w:pPr>
        <w:numPr>
          <w:ilvl w:val="0"/>
          <w:numId w:val="4"/>
        </w:numPr>
      </w:pPr>
      <w:r w:rsidRPr="00272D53">
        <w:t>Volume depletion (especially in elderly)</w:t>
      </w:r>
    </w:p>
    <w:p w14:paraId="690448D8" w14:textId="77777777" w:rsidR="001C2469" w:rsidRPr="00272D53" w:rsidRDefault="001C2469" w:rsidP="001C2469">
      <w:pPr>
        <w:numPr>
          <w:ilvl w:val="0"/>
          <w:numId w:val="4"/>
        </w:numPr>
      </w:pPr>
      <w:r w:rsidRPr="00272D53">
        <w:t>Rare: ketoacidosis (primarily in diabetics), acute kidney injury</w:t>
      </w:r>
      <w:r w:rsidRPr="00272D53">
        <w:br/>
      </w:r>
      <w:r w:rsidRPr="00272D53">
        <w:rPr>
          <w:b/>
          <w:bCs/>
        </w:rPr>
        <w:t>Monitoring Guidance:</w:t>
      </w:r>
    </w:p>
    <w:p w14:paraId="646B77C2" w14:textId="77777777" w:rsidR="001C2469" w:rsidRPr="00272D53" w:rsidRDefault="001C2469" w:rsidP="001C2469">
      <w:pPr>
        <w:numPr>
          <w:ilvl w:val="0"/>
          <w:numId w:val="4"/>
        </w:numPr>
      </w:pPr>
      <w:r w:rsidRPr="00272D53">
        <w:t>Renal function (eGFR), blood pressure, signs of volume depletion</w:t>
      </w:r>
    </w:p>
    <w:p w14:paraId="2E45F5AE" w14:textId="28EC1C49" w:rsidR="001C2469" w:rsidRPr="00272D53" w:rsidRDefault="001C2469" w:rsidP="001C2469">
      <w:pPr>
        <w:numPr>
          <w:ilvl w:val="0"/>
          <w:numId w:val="4"/>
        </w:numPr>
      </w:pPr>
      <w:r w:rsidRPr="00272D53">
        <w:t>Discontinue in cases of suspected DKA or pregnancy</w:t>
      </w:r>
    </w:p>
    <w:p w14:paraId="4CEEE49C" w14:textId="77777777" w:rsidR="001C2469" w:rsidRPr="00272D53" w:rsidRDefault="001C2469" w:rsidP="001C2469">
      <w:pPr>
        <w:rPr>
          <w:b/>
          <w:bCs/>
        </w:rPr>
      </w:pPr>
      <w:r w:rsidRPr="00272D53">
        <w:rPr>
          <w:b/>
          <w:bCs/>
        </w:rPr>
        <w:t>7. Summary of Ongoing and Planned Trials</w:t>
      </w:r>
    </w:p>
    <w:p w14:paraId="03C50AB2" w14:textId="77777777" w:rsidR="001C2469" w:rsidRPr="00272D53" w:rsidRDefault="001C2469" w:rsidP="001C2469">
      <w:pPr>
        <w:numPr>
          <w:ilvl w:val="0"/>
          <w:numId w:val="5"/>
        </w:numPr>
      </w:pPr>
      <w:r w:rsidRPr="00272D53">
        <w:rPr>
          <w:b/>
          <w:bCs/>
        </w:rPr>
        <w:t>Study HF-203 (NCT03036124):</w:t>
      </w:r>
      <w:r w:rsidRPr="00272D53">
        <w:t xml:space="preserve"> Evaluating dapagliflozin in </w:t>
      </w:r>
      <w:proofErr w:type="spellStart"/>
      <w:r w:rsidRPr="00272D53">
        <w:t>HFrEF</w:t>
      </w:r>
      <w:proofErr w:type="spellEnd"/>
      <w:r w:rsidRPr="00272D53">
        <w:t xml:space="preserve"> population (Phase 3)</w:t>
      </w:r>
    </w:p>
    <w:p w14:paraId="3937EFDC" w14:textId="77777777" w:rsidR="001C2469" w:rsidRPr="00272D53" w:rsidRDefault="001C2469" w:rsidP="001C2469">
      <w:pPr>
        <w:numPr>
          <w:ilvl w:val="0"/>
          <w:numId w:val="5"/>
        </w:numPr>
      </w:pPr>
      <w:r w:rsidRPr="00272D53">
        <w:rPr>
          <w:b/>
          <w:bCs/>
        </w:rPr>
        <w:t>Study CKD-101:</w:t>
      </w:r>
      <w:r w:rsidRPr="00272D53">
        <w:t xml:space="preserve"> Examining renal outcomes in non-diabetic chronic kidney disease</w:t>
      </w:r>
    </w:p>
    <w:p w14:paraId="4E21E1D1" w14:textId="71163FD2" w:rsidR="001C2469" w:rsidRPr="00272D53" w:rsidRDefault="001C2469" w:rsidP="001C2469">
      <w:pPr>
        <w:numPr>
          <w:ilvl w:val="0"/>
          <w:numId w:val="5"/>
        </w:numPr>
      </w:pPr>
      <w:r w:rsidRPr="00272D53">
        <w:rPr>
          <w:b/>
          <w:bCs/>
        </w:rPr>
        <w:t>Label Expansion:</w:t>
      </w:r>
      <w:r w:rsidRPr="00272D53">
        <w:t xml:space="preserve"> Seeking HF indication irrespective of glycemic status</w:t>
      </w:r>
    </w:p>
    <w:p w14:paraId="04E0F4D5" w14:textId="77777777" w:rsidR="001C2469" w:rsidRPr="00272D53" w:rsidRDefault="001C2469" w:rsidP="001C2469">
      <w:pPr>
        <w:rPr>
          <w:b/>
          <w:bCs/>
        </w:rPr>
      </w:pPr>
      <w:r w:rsidRPr="00272D53">
        <w:rPr>
          <w:b/>
          <w:bCs/>
        </w:rPr>
        <w:t>8. Benefit-Risk Assessment</w:t>
      </w:r>
    </w:p>
    <w:p w14:paraId="0EC89B2A" w14:textId="077939E3" w:rsidR="001C2469" w:rsidRPr="00272D53" w:rsidRDefault="001C2469" w:rsidP="001C2469">
      <w:r w:rsidRPr="00272D53">
        <w:t xml:space="preserve">Dapagliflozin’s emerging cardioprotective profile makes it an attractive candidate for addressing residual risk in </w:t>
      </w:r>
      <w:proofErr w:type="spellStart"/>
      <w:r w:rsidRPr="00272D53">
        <w:t>HFrEF</w:t>
      </w:r>
      <w:proofErr w:type="spellEnd"/>
      <w:r w:rsidRPr="00272D53">
        <w:t>. While urinary tract infections and hypotension remain risks, these are considered manageable within a clinical study environment.</w:t>
      </w:r>
    </w:p>
    <w:p w14:paraId="40F55813" w14:textId="77777777" w:rsidR="001C2469" w:rsidRPr="00272D53" w:rsidRDefault="001C2469" w:rsidP="001C2469">
      <w:pPr>
        <w:rPr>
          <w:b/>
          <w:bCs/>
        </w:rPr>
      </w:pPr>
      <w:r w:rsidRPr="00272D53">
        <w:rPr>
          <w:b/>
          <w:bCs/>
        </w:rPr>
        <w:t>9. References</w:t>
      </w:r>
    </w:p>
    <w:p w14:paraId="1F40A520" w14:textId="77777777" w:rsidR="001C2469" w:rsidRPr="00272D53" w:rsidRDefault="001C2469" w:rsidP="001C2469">
      <w:pPr>
        <w:numPr>
          <w:ilvl w:val="0"/>
          <w:numId w:val="6"/>
        </w:numPr>
      </w:pPr>
      <w:r w:rsidRPr="00272D53">
        <w:t>DECLARE-TIMI 58 Primary Results (NEJM, 2019)</w:t>
      </w:r>
    </w:p>
    <w:p w14:paraId="0E0B7666" w14:textId="77777777" w:rsidR="001C2469" w:rsidRPr="00272D53" w:rsidRDefault="001C2469" w:rsidP="001C2469">
      <w:pPr>
        <w:numPr>
          <w:ilvl w:val="0"/>
          <w:numId w:val="6"/>
        </w:numPr>
      </w:pPr>
      <w:r w:rsidRPr="00272D53">
        <w:t>DAPA-HF Study Publication (NEJM, 2020)</w:t>
      </w:r>
    </w:p>
    <w:p w14:paraId="68C9DC40" w14:textId="33806F66" w:rsidR="001C2469" w:rsidRDefault="001C2469" w:rsidP="001C2469">
      <w:pPr>
        <w:numPr>
          <w:ilvl w:val="0"/>
          <w:numId w:val="6"/>
        </w:numPr>
      </w:pPr>
      <w:r w:rsidRPr="00272D53">
        <w:t>FDA Summary Review for NDA 202293</w:t>
      </w:r>
    </w:p>
    <w:p w14:paraId="317D638D" w14:textId="77777777" w:rsidR="00A310D8" w:rsidRDefault="00A310D8" w:rsidP="00A310D8"/>
    <w:p w14:paraId="4836AF65" w14:textId="77777777" w:rsidR="00A310D8" w:rsidRDefault="00A310D8" w:rsidP="00A310D8"/>
    <w:p w14:paraId="3F8B3DEE" w14:textId="77777777" w:rsidR="00A310D8" w:rsidRDefault="00A310D8" w:rsidP="00A310D8"/>
    <w:p w14:paraId="63F3E5E6" w14:textId="77777777" w:rsidR="00A310D8" w:rsidRPr="00272D53" w:rsidRDefault="00A310D8" w:rsidP="00A310D8"/>
    <w:p w14:paraId="2313821B" w14:textId="77777777" w:rsidR="001C2469" w:rsidRPr="00272D53" w:rsidRDefault="001C2469" w:rsidP="001C2469">
      <w:r w:rsidRPr="00272D53">
        <w:pict w14:anchorId="389D0147">
          <v:rect id="_x0000_i1061" style="width:0;height:1.5pt" o:hralign="center" o:hrstd="t" o:hr="t" fillcolor="#a0a0a0" stroked="f"/>
        </w:pict>
      </w:r>
    </w:p>
    <w:p w14:paraId="3E730D24" w14:textId="77777777" w:rsidR="001C2469" w:rsidRPr="00272D53" w:rsidRDefault="001C2469" w:rsidP="001C2469">
      <w:r w:rsidRPr="00272D53">
        <w:t xml:space="preserve">This mock IB can now serve as the </w:t>
      </w:r>
      <w:r w:rsidRPr="00272D53">
        <w:rPr>
          <w:b/>
          <w:bCs/>
        </w:rPr>
        <w:t>primary source document</w:t>
      </w:r>
      <w:r w:rsidRPr="00272D53">
        <w:t xml:space="preserve"> for prompts like:</w:t>
      </w:r>
    </w:p>
    <w:p w14:paraId="5ECBF4EB" w14:textId="77777777" w:rsidR="001C2469" w:rsidRPr="00272D53" w:rsidRDefault="001C2469" w:rsidP="001C2469">
      <w:pPr>
        <w:numPr>
          <w:ilvl w:val="0"/>
          <w:numId w:val="7"/>
        </w:numPr>
      </w:pPr>
      <w:r w:rsidRPr="00272D53">
        <w:t>#HC_AI_Study_Drug_Overview#</w:t>
      </w:r>
    </w:p>
    <w:p w14:paraId="517FC937" w14:textId="77777777" w:rsidR="001C2469" w:rsidRPr="00272D53" w:rsidRDefault="001C2469" w:rsidP="001C2469">
      <w:pPr>
        <w:numPr>
          <w:ilvl w:val="0"/>
          <w:numId w:val="7"/>
        </w:numPr>
      </w:pPr>
      <w:r w:rsidRPr="00272D53">
        <w:t>#HC_AI_Benefit_Risk_Assessment#</w:t>
      </w:r>
    </w:p>
    <w:p w14:paraId="2E5727C3" w14:textId="77777777" w:rsidR="001C2469" w:rsidRPr="00272D53" w:rsidRDefault="001C2469" w:rsidP="001C2469">
      <w:pPr>
        <w:numPr>
          <w:ilvl w:val="0"/>
          <w:numId w:val="7"/>
        </w:numPr>
      </w:pPr>
      <w:r w:rsidRPr="00272D53">
        <w:t>#HC_AI_Laboratory_And_Safety_Assessments#</w:t>
      </w:r>
    </w:p>
    <w:p w14:paraId="609D2314" w14:textId="77777777" w:rsidR="001C2469" w:rsidRPr="00272D53" w:rsidRDefault="001C2469" w:rsidP="001C2469">
      <w:pPr>
        <w:numPr>
          <w:ilvl w:val="0"/>
          <w:numId w:val="7"/>
        </w:numPr>
      </w:pPr>
      <w:r w:rsidRPr="00272D53">
        <w:t>#HC_AI_Adverse_Event_Monitoring#</w:t>
      </w:r>
    </w:p>
    <w:p w14:paraId="07579BCC" w14:textId="77777777" w:rsidR="001C2469" w:rsidRPr="00272D53" w:rsidRDefault="001C2469" w:rsidP="001C2469">
      <w:r w:rsidRPr="00272D53">
        <w:pict w14:anchorId="7A46C426">
          <v:rect id="_x0000_i1036" style="width:0;height:1.5pt" o:hralign="center" o:hrstd="t" o:hr="t" fillcolor="#a0a0a0" stroked="f"/>
        </w:pict>
      </w:r>
    </w:p>
    <w:p w14:paraId="04C1A33F" w14:textId="77777777" w:rsidR="00BB4E75" w:rsidRDefault="00BB4E75"/>
    <w:sectPr w:rsidR="00BB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D4DA5"/>
    <w:multiLevelType w:val="multilevel"/>
    <w:tmpl w:val="EC3C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718AB"/>
    <w:multiLevelType w:val="multilevel"/>
    <w:tmpl w:val="3F9C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32A46"/>
    <w:multiLevelType w:val="multilevel"/>
    <w:tmpl w:val="DEDA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35AC2"/>
    <w:multiLevelType w:val="multilevel"/>
    <w:tmpl w:val="2BDA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C6E50"/>
    <w:multiLevelType w:val="multilevel"/>
    <w:tmpl w:val="66F0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93F37"/>
    <w:multiLevelType w:val="multilevel"/>
    <w:tmpl w:val="B924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F0DF0"/>
    <w:multiLevelType w:val="multilevel"/>
    <w:tmpl w:val="BEF8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158997">
    <w:abstractNumId w:val="0"/>
  </w:num>
  <w:num w:numId="2" w16cid:durableId="1780949859">
    <w:abstractNumId w:val="6"/>
  </w:num>
  <w:num w:numId="3" w16cid:durableId="1763602612">
    <w:abstractNumId w:val="3"/>
  </w:num>
  <w:num w:numId="4" w16cid:durableId="1276711511">
    <w:abstractNumId w:val="5"/>
  </w:num>
  <w:num w:numId="5" w16cid:durableId="1182621356">
    <w:abstractNumId w:val="4"/>
  </w:num>
  <w:num w:numId="6" w16cid:durableId="2085108056">
    <w:abstractNumId w:val="1"/>
  </w:num>
  <w:num w:numId="7" w16cid:durableId="17049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69"/>
    <w:rsid w:val="000D7198"/>
    <w:rsid w:val="00120F63"/>
    <w:rsid w:val="001C2469"/>
    <w:rsid w:val="00371957"/>
    <w:rsid w:val="00560F83"/>
    <w:rsid w:val="00884440"/>
    <w:rsid w:val="00A310D8"/>
    <w:rsid w:val="00B63299"/>
    <w:rsid w:val="00B7777C"/>
    <w:rsid w:val="00BB4E75"/>
    <w:rsid w:val="00D27FD0"/>
    <w:rsid w:val="00E2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8651"/>
  <w15:chartTrackingRefBased/>
  <w15:docId w15:val="{72B24111-705B-47C7-84C3-4848481C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469"/>
  </w:style>
  <w:style w:type="paragraph" w:styleId="Heading1">
    <w:name w:val="heading 1"/>
    <w:basedOn w:val="Normal"/>
    <w:next w:val="Normal"/>
    <w:link w:val="Heading1Char"/>
    <w:uiPriority w:val="9"/>
    <w:qFormat/>
    <w:rsid w:val="001C2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4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4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4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469"/>
    <w:rPr>
      <w:rFonts w:eastAsiaTheme="majorEastAsia" w:cstheme="majorBidi"/>
      <w:color w:val="272727" w:themeColor="text1" w:themeTint="D8"/>
    </w:rPr>
  </w:style>
  <w:style w:type="paragraph" w:styleId="Title">
    <w:name w:val="Title"/>
    <w:basedOn w:val="Normal"/>
    <w:next w:val="Normal"/>
    <w:link w:val="TitleChar"/>
    <w:uiPriority w:val="10"/>
    <w:qFormat/>
    <w:rsid w:val="001C2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469"/>
    <w:pPr>
      <w:spacing w:before="160"/>
      <w:jc w:val="center"/>
    </w:pPr>
    <w:rPr>
      <w:i/>
      <w:iCs/>
      <w:color w:val="404040" w:themeColor="text1" w:themeTint="BF"/>
    </w:rPr>
  </w:style>
  <w:style w:type="character" w:customStyle="1" w:styleId="QuoteChar">
    <w:name w:val="Quote Char"/>
    <w:basedOn w:val="DefaultParagraphFont"/>
    <w:link w:val="Quote"/>
    <w:uiPriority w:val="29"/>
    <w:rsid w:val="001C2469"/>
    <w:rPr>
      <w:i/>
      <w:iCs/>
      <w:color w:val="404040" w:themeColor="text1" w:themeTint="BF"/>
    </w:rPr>
  </w:style>
  <w:style w:type="paragraph" w:styleId="ListParagraph">
    <w:name w:val="List Paragraph"/>
    <w:basedOn w:val="Normal"/>
    <w:uiPriority w:val="34"/>
    <w:qFormat/>
    <w:rsid w:val="001C2469"/>
    <w:pPr>
      <w:ind w:left="720"/>
      <w:contextualSpacing/>
    </w:pPr>
  </w:style>
  <w:style w:type="character" w:styleId="IntenseEmphasis">
    <w:name w:val="Intense Emphasis"/>
    <w:basedOn w:val="DefaultParagraphFont"/>
    <w:uiPriority w:val="21"/>
    <w:qFormat/>
    <w:rsid w:val="001C2469"/>
    <w:rPr>
      <w:i/>
      <w:iCs/>
      <w:color w:val="0F4761" w:themeColor="accent1" w:themeShade="BF"/>
    </w:rPr>
  </w:style>
  <w:style w:type="paragraph" w:styleId="IntenseQuote">
    <w:name w:val="Intense Quote"/>
    <w:basedOn w:val="Normal"/>
    <w:next w:val="Normal"/>
    <w:link w:val="IntenseQuoteChar"/>
    <w:uiPriority w:val="30"/>
    <w:qFormat/>
    <w:rsid w:val="001C2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469"/>
    <w:rPr>
      <w:i/>
      <w:iCs/>
      <w:color w:val="0F4761" w:themeColor="accent1" w:themeShade="BF"/>
    </w:rPr>
  </w:style>
  <w:style w:type="character" w:styleId="IntenseReference">
    <w:name w:val="Intense Reference"/>
    <w:basedOn w:val="DefaultParagraphFont"/>
    <w:uiPriority w:val="32"/>
    <w:qFormat/>
    <w:rsid w:val="001C24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AE632792F00D49BDA4C70E8CF3C324" ma:contentTypeVersion="10" ma:contentTypeDescription="Create a new document." ma:contentTypeScope="" ma:versionID="cc1815869325ca691cc806e9cd6a8294">
  <xsd:schema xmlns:xsd="http://www.w3.org/2001/XMLSchema" xmlns:xs="http://www.w3.org/2001/XMLSchema" xmlns:p="http://schemas.microsoft.com/office/2006/metadata/properties" xmlns:ns3="4aaa2fc8-9ca6-47d7-9e06-b4d7ee659a2d" targetNamespace="http://schemas.microsoft.com/office/2006/metadata/properties" ma:root="true" ma:fieldsID="869fd22047b07ca7ea1fd1b9ff100777" ns3:_="">
    <xsd:import namespace="4aaa2fc8-9ca6-47d7-9e06-b4d7ee659a2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a2fc8-9ca6-47d7-9e06-b4d7ee659a2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aaa2fc8-9ca6-47d7-9e06-b4d7ee659a2d" xsi:nil="true"/>
  </documentManagement>
</p:properties>
</file>

<file path=customXml/itemProps1.xml><?xml version="1.0" encoding="utf-8"?>
<ds:datastoreItem xmlns:ds="http://schemas.openxmlformats.org/officeDocument/2006/customXml" ds:itemID="{4FBE5E26-63A4-451B-997C-832E398D7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aa2fc8-9ca6-47d7-9e06-b4d7ee659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651BDE-17A5-4E9C-97C1-F38C786FBB27}">
  <ds:schemaRefs>
    <ds:schemaRef ds:uri="http://schemas.microsoft.com/sharepoint/v3/contenttype/forms"/>
  </ds:schemaRefs>
</ds:datastoreItem>
</file>

<file path=customXml/itemProps3.xml><?xml version="1.0" encoding="utf-8"?>
<ds:datastoreItem xmlns:ds="http://schemas.openxmlformats.org/officeDocument/2006/customXml" ds:itemID="{CAB7CC66-8515-4F8E-B2E7-626DCA841655}">
  <ds:schemaRefs>
    <ds:schemaRef ds:uri="http://schemas.microsoft.com/office/2006/metadata/properties"/>
    <ds:schemaRef ds:uri="http://schemas.microsoft.com/office/infopath/2007/PartnerControls"/>
    <ds:schemaRef ds:uri="4aaa2fc8-9ca6-47d7-9e06-b4d7ee659a2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Amsham</dc:creator>
  <cp:keywords/>
  <dc:description/>
  <cp:lastModifiedBy>Vineeth Amsham</cp:lastModifiedBy>
  <cp:revision>2</cp:revision>
  <dcterms:created xsi:type="dcterms:W3CDTF">2025-06-04T02:16:00Z</dcterms:created>
  <dcterms:modified xsi:type="dcterms:W3CDTF">2025-06-04T03:44:00Z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0x010100F8AE632792F00D49BDA4C70E8CF3C324</vt:lpwstr>
  </property>
</Properties>
</file>