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Rewards Application Knowledge Transfer Guide</w:t>
      </w:r>
    </w:p>
    <w:p>
      <w:pPr>
        <w:spacing w:after="160"/>
      </w:pPr>
      <w:r>
        <w:rPr>
          <w:rFonts w:ascii="Arial" w:hAnsi="Arial"/>
          <w:b/>
          <w:color w:val="17324D"/>
          <w:sz w:val="18"/>
        </w:rPr>
        <w:t xml:space="preserve">Purpose  </w:t>
      </w:r>
      <w:r>
        <w:rPr>
          <w:rFonts w:ascii="Arial" w:hAnsi="Arial"/>
          <w:color w:val="667085"/>
          <w:sz w:val="18"/>
        </w:rPr>
        <w:t xml:space="preserve">Compact operating procedure   </w:t>
      </w:r>
      <w:r>
        <w:rPr>
          <w:rFonts w:ascii="Arial" w:hAnsi="Arial"/>
          <w:b/>
          <w:color w:val="17324D"/>
          <w:sz w:val="18"/>
        </w:rPr>
        <w:t xml:space="preserve">Audience  </w:t>
      </w:r>
      <w:r>
        <w:rPr>
          <w:rFonts w:ascii="Arial" w:hAnsi="Arial"/>
          <w:color w:val="667085"/>
          <w:sz w:val="18"/>
        </w:rPr>
        <w:t xml:space="preserve">Application owner and handover users   </w:t>
      </w:r>
      <w:r>
        <w:rPr>
          <w:rFonts w:ascii="Arial" w:hAnsi="Arial"/>
          <w:b/>
          <w:color w:val="17324D"/>
          <w:sz w:val="18"/>
        </w:rPr>
        <w:t xml:space="preserve">Updated  </w:t>
      </w:r>
      <w:r>
        <w:rPr>
          <w:rFonts w:ascii="Arial" w:hAnsi="Arial"/>
          <w:color w:val="667085"/>
          <w:sz w:val="18"/>
        </w:rPr>
        <w:t>12 September 2026</w:t>
      </w:r>
    </w:p>
    <w:p>
      <w:pPr>
        <w:spacing w:after="120" w:line="259" w:lineRule="auto"/>
      </w:pPr>
      <w:r>
        <w:rPr>
          <w:rFonts w:ascii="Arial" w:hAnsi="Arial"/>
          <w:color w:val="000000"/>
          <w:sz w:val="21"/>
        </w:rPr>
        <w:t>This guide explains the normal operating flow for every application widget. Open a module from the Dashboard or the side navigation, enter or update a record, and save. The application recalculates linked totals and stores the updated data in Firebase.</w:t>
      </w:r>
    </w:p>
    <w:p>
      <w:pPr>
        <w:spacing w:before="60" w:after="100"/>
      </w:pPr>
      <w:r>
        <w:rPr>
          <w:rFonts w:ascii="Arial" w:hAnsi="Arial"/>
          <w:b/>
          <w:color w:val="17324D"/>
          <w:sz w:val="20"/>
        </w:rPr>
        <w:t xml:space="preserve">Guide map  </w:t>
      </w:r>
      <w:r>
        <w:rPr>
          <w:rFonts w:ascii="Arial" w:hAnsi="Arial"/>
          <w:sz w:val="19"/>
        </w:rPr>
        <w:t>Access and navigation  |  Dashboard and AI Search  |  Card Portfolio  |  Reward Points  |  Partner Program Rewards  |  Swipes  |  Interest and Income  |  Lounge Benefits  |  International Travel  |  History and Data Controls</w:t>
      </w:r>
    </w:p>
    <w:p>
      <w:pPr>
        <w:pStyle w:val="Heading1"/>
        <w:keepNext w:val="1"/>
      </w:pPr>
      <w:r>
        <w:t>1  Access and Navigation</w:t>
      </w:r>
    </w:p>
    <w:p>
      <w:pPr>
        <w:keepNext w:val="1"/>
        <w:spacing w:after="100" w:line="250" w:lineRule="auto"/>
      </w:pPr>
      <w:r>
        <w:rPr>
          <w:rFonts w:ascii="Arial" w:hAnsi="Arial"/>
          <w:color w:val="667085"/>
          <w:sz w:val="19"/>
        </w:rPr>
        <w:t>Use the same navigation pattern on desktop and mobile.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33"/>
        <w:gridCol w:w="7891"/>
      </w:tblGrid>
      <w:tr>
        <w:trPr>
          <w:cantSplit w:val="true"/>
          <w:tblHeader w:val="true"/>
        </w:trPr>
        <w:tc>
          <w:tcPr>
            <w:tcW w:type="dxa" w:w="2333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789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Procedure and expected result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Unlock the application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Enter the four digit PIN on the lock screen.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Select Unlock Portfolio or press Enter.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The Dashboard opens. An incorrect PIN leaves the application locked.</w:t>
            </w:r>
          </w:p>
        </w:tc>
      </w:tr>
      <w:tr>
        <w:trPr>
          <w:cantSplit w:val="true"/>
        </w:trPr>
        <w:tc>
          <w:tcPr>
            <w:tcW w:type="dxa" w:w="2333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Open a widget</w:t>
            </w:r>
          </w:p>
        </w:tc>
        <w:tc>
          <w:tcPr>
            <w:tcW w:type="dxa" w:w="7891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a widget card on the Dashboard or choose its name in the side menu.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On mobile, use the bottom navigation and scroll it horizontally when required.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The selected widget opens with its current totals and records.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Return or sign out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Dashboard to return to the home page.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Select Logout to end the unlocked session.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Logout returns to the PIN screen.</w:t>
            </w:r>
          </w:p>
        </w:tc>
      </w:tr>
    </w:tbl>
    <w:p>
      <w:pPr>
        <w:spacing w:after="40"/>
      </w:pPr>
    </w:p>
    <w:p>
      <w:pPr>
        <w:pStyle w:val="Heading1"/>
        <w:keepNext w:val="1"/>
      </w:pPr>
      <w:r>
        <w:t>2  Dashboard and AI Search</w:t>
      </w:r>
    </w:p>
    <w:p>
      <w:pPr>
        <w:keepNext w:val="1"/>
        <w:spacing w:after="100" w:line="250" w:lineRule="auto"/>
      </w:pPr>
      <w:r>
        <w:rPr>
          <w:rFonts w:ascii="Arial" w:hAnsi="Arial"/>
          <w:color w:val="667085"/>
          <w:sz w:val="19"/>
        </w:rPr>
        <w:t>The Dashboard is the starting point for balances, shortcuts, recent fees, and assisted searches.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33"/>
        <w:gridCol w:w="7891"/>
      </w:tblGrid>
      <w:tr>
        <w:trPr>
          <w:cantSplit w:val="true"/>
          <w:tblHeader w:val="true"/>
        </w:trPr>
        <w:tc>
          <w:tcPr>
            <w:tcW w:type="dxa" w:w="2333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789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Procedure and expected result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Read the overview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Review the portfolio snapshot and widget totals.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Use Top Balances to see the largest card point balances and Upcoming to review future fee records.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Dashboard values are summaries of the underlying widgets.</w:t>
            </w:r>
          </w:p>
        </w:tc>
      </w:tr>
      <w:tr>
        <w:trPr>
          <w:cantSplit w:val="true"/>
        </w:trPr>
        <w:tc>
          <w:tcPr>
            <w:tcW w:type="dxa" w:w="2333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Open a summary</w:t>
            </w:r>
          </w:p>
        </w:tc>
        <w:tc>
          <w:tcPr>
            <w:tcW w:type="dxa" w:w="7891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the Available Points or Net Portfolio Value area to open the matching Card Portfolio detail.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Select the arrow on any widget card to open that module.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The detailed widget retains the same source data as the Dashboard.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Run an AI search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Enter a plain language request in Ask Your Portfolio or select a sample chip.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Select Run and review the result popup.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Searches can show balances, fees, spends, and records without changing data.</w:t>
            </w:r>
          </w:p>
        </w:tc>
      </w:tr>
      <w:tr>
        <w:trPr>
          <w:cantSplit w:val="true"/>
        </w:trPr>
        <w:tc>
          <w:tcPr>
            <w:tcW w:type="dxa" w:w="2333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Run an AI update</w:t>
            </w:r>
          </w:p>
        </w:tc>
        <w:tc>
          <w:tcPr>
            <w:tcW w:type="dxa" w:w="7891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Describe an add or update action, including the card, amount or points, and other required details.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Review the confirmation prompt before saving the proposed change.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Supported actions update Card Portfolio, Swipes, Reward Points, or Lounge records only after confirmation.</w:t>
            </w:r>
          </w:p>
        </w:tc>
      </w:tr>
    </w:tbl>
    <w:p>
      <w:pPr>
        <w:spacing w:after="40"/>
      </w:pPr>
    </w:p>
    <w:p>
      <w:pPr>
        <w:pStyle w:val="Heading1"/>
        <w:keepNext w:val="1"/>
      </w:pPr>
      <w:r>
        <w:t>3  Card Portfolio</w:t>
      </w:r>
    </w:p>
    <w:p>
      <w:pPr>
        <w:keepNext w:val="1"/>
        <w:spacing w:after="100" w:line="250" w:lineRule="auto"/>
      </w:pPr>
      <w:r>
        <w:rPr>
          <w:rFonts w:ascii="Arial" w:hAnsi="Arial"/>
          <w:color w:val="667085"/>
          <w:sz w:val="19"/>
        </w:rPr>
        <w:t>This widget is the master record for cards, fees, benefits, point balances, and card profitability.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33"/>
        <w:gridCol w:w="7891"/>
      </w:tblGrid>
      <w:tr>
        <w:trPr>
          <w:cantSplit w:val="true"/>
          <w:tblHeader w:val="true"/>
        </w:trPr>
        <w:tc>
          <w:tcPr>
            <w:tcW w:type="dxa" w:w="2333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789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Procedure and expected result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Add a card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New card.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Enter Card name and Issuer bank. For Axis Bank, also select the Axis card program.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Enter joining fee, taxes, membership month, previous fee records, and future annual fee records as applicable.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4. </w:t>
            </w:r>
            <w:r>
              <w:rPr>
                <w:rFonts w:ascii="Arial" w:hAnsi="Arial"/>
                <w:sz w:val="18"/>
              </w:rPr>
              <w:t>Select Save card.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The card appears in the portfolio and all portfolio summaries are recalculated.</w:t>
            </w:r>
          </w:p>
        </w:tc>
      </w:tr>
      <w:tr>
        <w:trPr>
          <w:cantSplit w:val="true"/>
        </w:trPr>
        <w:tc>
          <w:tcPr>
            <w:tcW w:type="dxa" w:w="2333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Mark a card LTF</w:t>
            </w:r>
          </w:p>
        </w:tc>
        <w:tc>
          <w:tcPr>
            <w:tcW w:type="dxa" w:w="7891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Open the card editor and select LTF Life Time Free.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Save the card.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The card displays LTF instead of No fee recorded.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Add card benefits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the plus icon in Welcome Benefits Cashback Milestone Vouchers.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Choose the benefit type, enter a label, select the value type, and enter the value. Welcome Benefit Points also require the points quantity.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Repeat for each benefit and save the card.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Benefit totals, point balances, Net P L, and recovery metrics update automatically.</w:t>
            </w:r>
          </w:p>
        </w:tc>
      </w:tr>
      <w:tr>
        <w:trPr>
          <w:cantSplit w:val="true"/>
        </w:trPr>
        <w:tc>
          <w:tcPr>
            <w:tcW w:type="dxa" w:w="2333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Find and sort cards</w:t>
            </w:r>
          </w:p>
        </w:tc>
        <w:tc>
          <w:tcPr>
            <w:tcW w:type="dxa" w:w="7891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Use Search for a card or issuer and Status for Profit, Loss, or Break even.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Use the sort list for Biggest profit, Biggest loss, Highest fee, Highest benefits, Most points, or Name.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Select Load more when additional cards are hidden.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Biggest profit is the default sort order.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Use card row actions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the eye icon to mute or unmute a card visually.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Select the pencil to edit, copy to duplicate, or bin to delete.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A muted card stays grey after edits and remains included in calculations.</w:t>
            </w:r>
          </w:p>
        </w:tc>
      </w:tr>
      <w:tr>
        <w:trPr>
          <w:cantSplit w:val="true"/>
        </w:trPr>
        <w:tc>
          <w:tcPr>
            <w:tcW w:type="dxa" w:w="2333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Inspect point balances</w:t>
            </w:r>
          </w:p>
        </w:tc>
        <w:tc>
          <w:tcPr>
            <w:tcW w:type="dxa" w:w="7891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the Unredeemed portfolio total to open Points Breakdown.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Expand Axis Edge Rewards or Edge Miles groups to see contributing cards.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Manual points added directly in Partner Program Rewards are excluded from this popup and from card balances.</w:t>
            </w:r>
          </w:p>
        </w:tc>
      </w:tr>
    </w:tbl>
    <w:p>
      <w:pPr>
        <w:spacing w:after="40"/>
      </w:pPr>
    </w:p>
    <w:p>
      <w:pPr>
        <w:pStyle w:val="Heading1"/>
        <w:keepNext w:val="1"/>
      </w:pPr>
      <w:r>
        <w:t>4  Reward Points</w:t>
      </w:r>
    </w:p>
    <w:p>
      <w:pPr>
        <w:keepNext w:val="1"/>
        <w:spacing w:after="100" w:line="250" w:lineRule="auto"/>
      </w:pPr>
      <w:r>
        <w:rPr>
          <w:rFonts w:ascii="Arial" w:hAnsi="Arial"/>
          <w:color w:val="667085"/>
          <w:sz w:val="19"/>
        </w:rPr>
        <w:t>Use Reward Points for card point entries and ordinary reward redemptions. Hotel and airline transfer records are stored here in the background but displayed in Partner Program Rewards.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33"/>
        <w:gridCol w:w="7891"/>
      </w:tblGrid>
      <w:tr>
        <w:trPr>
          <w:cantSplit w:val="true"/>
          <w:tblHeader w:val="true"/>
        </w:trPr>
        <w:tc>
          <w:tcPr>
            <w:tcW w:type="dxa" w:w="2333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789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Procedure and expected result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Add earned card points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Add redemption and choose the card in Card Voucher Platform.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Enter the points and select Unredeemed Points.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Complete any useful description fields and select Add RP Spend.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The new earned balance is added to that card and appears in Card Portfolio.</w:t>
            </w:r>
          </w:p>
        </w:tc>
      </w:tr>
      <w:tr>
        <w:trPr>
          <w:cantSplit w:val="true"/>
        </w:trPr>
        <w:tc>
          <w:tcPr>
            <w:tcW w:type="dxa" w:w="2333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Add a regular redemption</w:t>
            </w:r>
          </w:p>
        </w:tc>
        <w:tc>
          <w:tcPr>
            <w:tcW w:type="dxa" w:w="7891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the card and enter the points used.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When the point allocation panel appears, review Welcome Benefits available and Earned Points available.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Choose whether to include Welcome Benefit points, then enter the exact welcome and earned quantities.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4. </w:t>
            </w:r>
            <w:r>
              <w:rPr>
                <w:rFonts w:ascii="Arial" w:hAnsi="Arial"/>
                <w:sz w:val="18"/>
              </w:rPr>
              <w:t>Enter value, charges, payment amounts, merchant, product, and any points received, then save.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Only the entered allocation is debited. Ordinary non partner redemptions remain visible in Reward Points.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Transfer card points to a partner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Choose Hotel Airline Partners in Card Voucher Platform.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Open Partner details. Select an existing PPR partner or leave Select active and type a new partner name.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Enter the transfer ratio, select the originating card, and allocate Welcome Benefit and Earned Points as required.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4. </w:t>
            </w:r>
            <w:r>
              <w:rPr>
                <w:rFonts w:ascii="Arial" w:hAnsi="Arial"/>
                <w:sz w:val="18"/>
              </w:rPr>
              <w:t>Continue, complete the transaction fields, and save.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The card points are debited and the partner points appear only in Partner Program Rewards. Decimal ratio results are rounded to a whole point.</w:t>
            </w:r>
          </w:p>
        </w:tc>
      </w:tr>
      <w:tr>
        <w:trPr>
          <w:cantSplit w:val="true"/>
        </w:trPr>
        <w:tc>
          <w:tcPr>
            <w:tcW w:type="dxa" w:w="2333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Search and maintain records</w:t>
            </w:r>
          </w:p>
        </w:tc>
        <w:tc>
          <w:tcPr>
            <w:tcW w:type="dxa" w:w="7891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Use Search RP spends and Filter RP spends without opening the entry form.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Use the row pencil to edit or bin to delete a visible regular record.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When prompted after save, select OK to add another payment row for the same product or Cancel to finish.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An edit cannot use more points than the card has. Lowering a redemption restores the difference to the card balance.</w:t>
            </w:r>
          </w:p>
        </w:tc>
      </w:tr>
    </w:tbl>
    <w:p>
      <w:pPr>
        <w:spacing w:after="40"/>
      </w:pPr>
    </w:p>
    <w:p>
      <w:pPr>
        <w:pStyle w:val="Heading1"/>
        <w:keepNext w:val="1"/>
      </w:pPr>
      <w:r>
        <w:t>5  Partner Program Rewards</w:t>
      </w:r>
    </w:p>
    <w:p>
      <w:pPr>
        <w:keepNext w:val="1"/>
        <w:spacing w:after="100" w:line="250" w:lineRule="auto"/>
      </w:pPr>
      <w:r>
        <w:rPr>
          <w:rFonts w:ascii="Arial" w:hAnsi="Arial"/>
          <w:color w:val="667085"/>
          <w:sz w:val="19"/>
        </w:rPr>
        <w:t>PPR consolidates card transfers, manual partner points, and partner to partner transfers into Redeemed and Unredeemed sections.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33"/>
        <w:gridCol w:w="7891"/>
      </w:tblGrid>
      <w:tr>
        <w:trPr>
          <w:cantSplit w:val="true"/>
          <w:tblHeader w:val="true"/>
        </w:trPr>
        <w:tc>
          <w:tcPr>
            <w:tcW w:type="dxa" w:w="2333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789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Procedure and expected result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Inspect and maintain a partner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a partner row under Redeemed or Unredeemed.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Review each card contribution, manual entry, transfer trace, points, and monetary value.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Use Edit or Delete for manual entries and partner transfers, or Edit source transfer and Delete for card to partner transfers.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4. </w:t>
            </w:r>
            <w:r>
              <w:rPr>
                <w:rFonts w:ascii="Arial" w:hAnsi="Arial"/>
                <w:sz w:val="18"/>
              </w:rPr>
              <w:t>Confirm any restoration message.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Deleting Card to Partner A restores the original card points. Deleting Partner A to Partner B restores Partner A and reverses B value allocations. Confirmed downstream dependencies are removed with their source.</w:t>
            </w:r>
          </w:p>
        </w:tc>
      </w:tr>
      <w:tr>
        <w:trPr>
          <w:cantSplit w:val="true"/>
        </w:trPr>
        <w:tc>
          <w:tcPr>
            <w:tcW w:type="dxa" w:w="2333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Add manual partner points</w:t>
            </w:r>
          </w:p>
        </w:tc>
        <w:tc>
          <w:tcPr>
            <w:tcW w:type="dxa" w:w="7891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Add partner points or the plus icon beside an unredeemed partner.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Choose the partner and enter points. Monetary value, date, and notes are optional.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Select Add points.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Manual points add to the selected partner only. They do not appear in Card Portfolio or Reward Points.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Redeem partner points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the rupee icon beside an unredeemed partner.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Enter Points to Redeem and a positive Redeemed Value.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Review the allocation preview and select Save and Distribute.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The entered points move to Redeemed. The monetary value is split across only the consumed card or manual contributions.</w:t>
            </w:r>
          </w:p>
        </w:tc>
      </w:tr>
      <w:tr>
        <w:trPr>
          <w:cantSplit w:val="true"/>
        </w:trPr>
        <w:tc>
          <w:tcPr>
            <w:tcW w:type="dxa" w:w="2333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Edit or reverse a redemption</w:t>
            </w:r>
          </w:p>
        </w:tc>
        <w:tc>
          <w:tcPr>
            <w:tcW w:type="dxa" w:w="7891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Use the rupee icon in Redeemed and select the redemption batch to change.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Change its points or value and save. Set either value to zero to restore that batch to Unredeemed.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Use the delete icon and Delete and Restore to remove the batch completely.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Only PPR created redemption batches are changed. RP Spend redemptions remain unaffected.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Transfer partner A to B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the transfer arrows beside Partner A.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Select an existing destination partner or enter a new one.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Enter the ratio as Partner A to Partner B, the Partner A points, any bonus points, and an optional monetary value.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4. </w:t>
            </w:r>
            <w:r>
              <w:rPr>
                <w:rFonts w:ascii="Arial" w:hAnsi="Arial"/>
                <w:sz w:val="18"/>
              </w:rPr>
              <w:t>Review the preview and save.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Source points must be a multiple of the first ratio number. Partner B receives converted points plus bonus. Zero value keeps B unredeemed; a positive value marks it redeemed.</w:t>
            </w:r>
          </w:p>
        </w:tc>
      </w:tr>
    </w:tbl>
    <w:p>
      <w:pPr>
        <w:spacing w:after="40"/>
      </w:pPr>
    </w:p>
    <w:p>
      <w:pPr>
        <w:pStyle w:val="Heading1"/>
        <w:keepNext w:val="1"/>
      </w:pPr>
      <w:r>
        <w:t>6  Swipes</w:t>
      </w:r>
    </w:p>
    <w:p>
      <w:pPr>
        <w:keepNext w:val="1"/>
        <w:spacing w:after="100" w:line="250" w:lineRule="auto"/>
      </w:pPr>
      <w:r>
        <w:rPr>
          <w:rFonts w:ascii="Arial" w:hAnsi="Arial"/>
          <w:color w:val="667085"/>
          <w:sz w:val="19"/>
        </w:rPr>
        <w:t>Swipes tracks business and personal card usage by financial year.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33"/>
        <w:gridCol w:w="7891"/>
      </w:tblGrid>
      <w:tr>
        <w:trPr>
          <w:cantSplit w:val="true"/>
          <w:tblHeader w:val="true"/>
        </w:trPr>
        <w:tc>
          <w:tcPr>
            <w:tcW w:type="dxa" w:w="2333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789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Procedure and expected result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Add a swipe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Category, Card, Full Swipe or EMI, and Financial year.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Enter Amount and Spent for.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Select Add.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Business and personal totals and the percentage bar update immediately.</w:t>
            </w:r>
          </w:p>
        </w:tc>
      </w:tr>
      <w:tr>
        <w:trPr>
          <w:cantSplit w:val="true"/>
        </w:trPr>
        <w:tc>
          <w:tcPr>
            <w:tcW w:type="dxa" w:w="2333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Filter records</w:t>
            </w:r>
          </w:p>
        </w:tc>
        <w:tc>
          <w:tcPr>
            <w:tcW w:type="dxa" w:w="7891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Use View FY, Category, Card, Swipe type, or Search swipes.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Review the filtered total at the right of the controls.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Filters change the displayed rows and filtered total without altering saved data.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Edit or delete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Use the pencil on a row to load it into the form, make changes, and save.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Use the bin to delete a row after confirmation.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The spend totals are recalculated after every change.</w:t>
            </w:r>
          </w:p>
        </w:tc>
      </w:tr>
    </w:tbl>
    <w:p>
      <w:pPr>
        <w:spacing w:after="40"/>
      </w:pPr>
    </w:p>
    <w:p>
      <w:pPr>
        <w:pStyle w:val="Heading1"/>
        <w:keepNext w:val="1"/>
      </w:pPr>
      <w:r>
        <w:t>7  Interest and Additional Income</w:t>
      </w:r>
    </w:p>
    <w:p>
      <w:pPr>
        <w:keepNext w:val="1"/>
        <w:spacing w:after="100" w:line="250" w:lineRule="auto"/>
      </w:pPr>
      <w:r>
        <w:rPr>
          <w:rFonts w:ascii="Arial" w:hAnsi="Arial"/>
          <w:color w:val="667085"/>
          <w:sz w:val="19"/>
        </w:rPr>
        <w:t>This lifetime ledger keeps calendar year interest, miscellaneous income, and deductions in one balance.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33"/>
        <w:gridCol w:w="7891"/>
      </w:tblGrid>
      <w:tr>
        <w:trPr>
          <w:cantSplit w:val="true"/>
          <w:tblHeader w:val="true"/>
        </w:trPr>
        <w:tc>
          <w:tcPr>
            <w:tcW w:type="dxa" w:w="2333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789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Procedure and expected result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Add interest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Choose Interest as Entry type.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Select a bank or Add new bank. New bank names must be unique.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Choose Monthly or Quarterly, enter Calendar year, select Q1 to Q4, and enter the amount.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4. </w:t>
            </w:r>
            <w:r>
              <w:rPr>
                <w:rFonts w:ascii="Arial" w:hAnsi="Arial"/>
                <w:sz w:val="18"/>
              </w:rPr>
              <w:t>Add an optional description or notes and select Add Entry.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Multiple monthly entries can be assigned to the same quarter and are consolidated in that quarter and year total.</w:t>
            </w:r>
          </w:p>
        </w:tc>
      </w:tr>
      <w:tr>
        <w:trPr>
          <w:cantSplit w:val="true"/>
        </w:trPr>
        <w:tc>
          <w:tcPr>
            <w:tcW w:type="dxa" w:w="2333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Add miscellaneous income</w:t>
            </w:r>
          </w:p>
        </w:tc>
        <w:tc>
          <w:tcPr>
            <w:tcW w:type="dxa" w:w="7891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Choose Miscellaneous income.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Enter the income source, amount, description, and notes.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Select Add Entry.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Miscellaneous income is lifetime income and is not assigned to a month or quarter.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Add a spend or deduction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Choose Spend or deduction.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Select Overall amount or a bank reference, then enter the amount and purpose.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Select Add Entry.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Every deduction reduces only the overall Available Balance. Bank contribution totals remain the gross interest earned by each bank.</w:t>
            </w:r>
          </w:p>
        </w:tc>
      </w:tr>
      <w:tr>
        <w:trPr>
          <w:cantSplit w:val="true"/>
        </w:trPr>
        <w:tc>
          <w:tcPr>
            <w:tcW w:type="dxa" w:w="2333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Review and maintain</w:t>
            </w:r>
          </w:p>
        </w:tc>
        <w:tc>
          <w:tcPr>
            <w:tcW w:type="dxa" w:w="7891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Expand a calendar year to view Q1 through Q4 records and yearly totals.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Review Interest Contribution by Bank, Miscellaneous Income, and Spends.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Use the pencil to edit or bin to delete; totals recalculate automatically.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Available Balance equals total interest plus miscellaneous income minus total spends. Preloaded historical entries through Q3 2026 remain editable.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 w:val="1"/>
      </w:pPr>
      <w:r>
        <w:t>8  Airport Lounge and Other Benefits</w:t>
      </w:r>
    </w:p>
    <w:p>
      <w:pPr>
        <w:spacing w:after="100" w:line="250" w:lineRule="auto"/>
      </w:pPr>
      <w:r>
        <w:rPr>
          <w:rFonts w:ascii="Arial" w:hAnsi="Arial"/>
          <w:color w:val="667085"/>
          <w:sz w:val="19"/>
        </w:rPr>
        <w:t>This widget records lounge, golf, restaurant, spa, meet and greet, and airport transfer benefits.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33"/>
        <w:gridCol w:w="7891"/>
      </w:tblGrid>
      <w:tr>
        <w:trPr>
          <w:cantSplit w:val="true"/>
        </w:trPr>
        <w:tc>
          <w:tcPr>
            <w:tcW w:type="dxa" w:w="2333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789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Procedure and expected result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Add a visit or benefit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Add Visit.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Choose Card, Benefit Type, and Access Method.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Enter members, value per person, date, airport or golf course, and save.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The total benefit value equals members multiplied by value per person. Domestic and international counts update.</w:t>
            </w:r>
          </w:p>
        </w:tc>
      </w:tr>
      <w:tr>
        <w:trPr>
          <w:cantSplit w:val="true"/>
        </w:trPr>
        <w:tc>
          <w:tcPr>
            <w:tcW w:type="dxa" w:w="2333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Add or edit notes</w:t>
            </w:r>
          </w:p>
        </w:tc>
        <w:tc>
          <w:tcPr>
            <w:tcW w:type="dxa" w:w="7891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the notes icon on a benefit row.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Enter or revise the notes and select Save Notes.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Notes appear in the Notes column and wrap within the same record.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Filter and maintain visits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Use Filter Card and Filter Type to narrow the table and chart.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Use the pencil to edit or bin to delete a visit.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The summary and chart recalculate from the visible saved visit records.</w:t>
            </w:r>
          </w:p>
        </w:tc>
      </w:tr>
      <w:tr>
        <w:trPr>
          <w:cantSplit w:val="true"/>
        </w:trPr>
        <w:tc>
          <w:tcPr>
            <w:tcW w:type="dxa" w:w="2333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Maintain card lounge limits</w:t>
            </w:r>
          </w:p>
        </w:tc>
        <w:tc>
          <w:tcPr>
            <w:tcW w:type="dxa" w:w="7891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Add Card Lounge Limit, choose a card, and enter Credit Card and Priority Pass or DreamFolks limits.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Select View All Card Limits to review all cards.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Select a card name or limit value in the popup to edit the combined limit.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Limit entries are clickable text. Usage columns are derived automatically from recorded visits.</w:t>
            </w:r>
          </w:p>
        </w:tc>
      </w:tr>
    </w:tbl>
    <w:p>
      <w:pPr>
        <w:spacing w:after="40"/>
      </w:pPr>
    </w:p>
    <w:p>
      <w:pPr>
        <w:pStyle w:val="Heading1"/>
        <w:keepNext w:val="1"/>
      </w:pPr>
      <w:r>
        <w:t>9  International Travel Expenses</w:t>
      </w:r>
    </w:p>
    <w:p>
      <w:pPr>
        <w:keepNext w:val="1"/>
        <w:spacing w:after="100" w:line="250" w:lineRule="auto"/>
      </w:pPr>
      <w:r>
        <w:rPr>
          <w:rFonts w:ascii="Arial" w:hAnsi="Arial"/>
          <w:color w:val="667085"/>
          <w:sz w:val="19"/>
        </w:rPr>
        <w:t>Travel records are grouped by destination and retain both foreign currency and INR values.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33"/>
        <w:gridCol w:w="7891"/>
      </w:tblGrid>
      <w:tr>
        <w:trPr>
          <w:cantSplit w:val="true"/>
          <w:tblHeader w:val="true"/>
        </w:trPr>
        <w:tc>
          <w:tcPr>
            <w:tcW w:type="dxa" w:w="2333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789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Procedure and expected result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Add a trip expense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Add new Trip Expense.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Enter destination, category, merchant, currency, local amount, INR amount, payment method, expense type, and travel phase.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Optionally add date, payment source, markup or FX fee, and notes, then save.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A destination card is created or updated. Refund or Adjustment entries also request the refund method.</w:t>
            </w:r>
          </w:p>
        </w:tc>
      </w:tr>
      <w:tr>
        <w:trPr>
          <w:cantSplit w:val="true"/>
        </w:trPr>
        <w:tc>
          <w:tcPr>
            <w:tcW w:type="dxa" w:w="2333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Open trip details</w:t>
            </w:r>
          </w:p>
        </w:tc>
        <w:tc>
          <w:tcPr>
            <w:tcW w:type="dxa" w:w="7891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a destination card.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Use the filters for type, category, and payment method.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Select Add expense to append another record to the same destination.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The trip view shows itemised expenses and destination totals.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Add trip notes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the notes icon in the trip detail header.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Enter shared destination notes and save.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The notes stay with the trip rather than an individual expense.</w:t>
            </w:r>
          </w:p>
        </w:tc>
      </w:tr>
      <w:tr>
        <w:trPr>
          <w:cantSplit w:val="true"/>
        </w:trPr>
        <w:tc>
          <w:tcPr>
            <w:tcW w:type="dxa" w:w="2333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Record currency conversion</w:t>
            </w:r>
          </w:p>
        </w:tc>
        <w:tc>
          <w:tcPr>
            <w:tcW w:type="dxa" w:w="7891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Enter converted currency.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Enter date, currency, foreign amount, converted INR amount, and optional notes.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Save the conversion.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The conversion appears in the trip currency summary and can be edited or deleted.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Maintain expense rows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Use the row actions to edit or delete an expense.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On desktop, drag and drop rows when a custom display order is required.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Trip totals and summaries recalculate after each change.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 w:val="1"/>
      </w:pPr>
      <w:r>
        <w:t>10  History Backup and Data Controls</w:t>
      </w:r>
    </w:p>
    <w:p>
      <w:pPr>
        <w:keepNext w:val="1"/>
        <w:spacing w:after="100" w:line="250" w:lineRule="auto"/>
      </w:pPr>
      <w:r>
        <w:rPr>
          <w:rFonts w:ascii="Arial" w:hAnsi="Arial"/>
          <w:color w:val="667085"/>
          <w:sz w:val="19"/>
        </w:rPr>
        <w:t>Use these controls to audit changes and protect the complete portfolio dataset.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33"/>
        <w:gridCol w:w="7891"/>
      </w:tblGrid>
      <w:tr>
        <w:trPr>
          <w:cantSplit w:val="true"/>
          <w:tblHeader w:val="true"/>
        </w:trPr>
        <w:tc>
          <w:tcPr>
            <w:tcW w:type="dxa" w:w="2333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7891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Procedure and expected result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View widget history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Open a widget and select the history icon in the top bar.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Review the newest 20 updates for that widget.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Point additions show the old value and new value where available.</w:t>
            </w:r>
          </w:p>
        </w:tc>
      </w:tr>
      <w:tr>
        <w:trPr>
          <w:cantSplit w:val="true"/>
        </w:trPr>
        <w:tc>
          <w:tcPr>
            <w:tcW w:type="dxa" w:w="2333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Export a backup</w:t>
            </w:r>
          </w:p>
        </w:tc>
        <w:tc>
          <w:tcPr>
            <w:tcW w:type="dxa" w:w="7891"/>
            <w:shd w:fill="F5F8F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Select Export in the top bar.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Store the downloaded dated JSON file securely.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The export includes cards, swipes, reward records, PPR data, lounge data, travel data, income data, and activity history.</w:t>
            </w:r>
          </w:p>
        </w:tc>
      </w:tr>
      <w:tr>
        <w:trPr>
          <w:cantSplit w:val="true"/>
        </w:trPr>
        <w:tc>
          <w:tcPr>
            <w:tcW w:type="dxa" w:w="23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Import a backup</w:t>
            </w:r>
          </w:p>
        </w:tc>
        <w:tc>
          <w:tcPr>
            <w:tcW w:type="dxa" w:w="789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1. </w:t>
            </w:r>
            <w:r>
              <w:rPr>
                <w:rFonts w:ascii="Arial" w:hAnsi="Arial"/>
                <w:sz w:val="18"/>
              </w:rPr>
              <w:t>Export the current state first if it may be needed later.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2. </w:t>
            </w:r>
            <w:r>
              <w:rPr>
                <w:rFonts w:ascii="Arial" w:hAnsi="Arial"/>
                <w:sz w:val="18"/>
              </w:rPr>
              <w:t>Select Import and choose a valid application JSON export.</w:t>
            </w:r>
          </w:p>
          <w:p>
            <w:pPr>
              <w:spacing w:after="20" w:line="245" w:lineRule="auto"/>
            </w:pPr>
            <w:r>
              <w:rPr>
                <w:rFonts w:ascii="Arial" w:hAnsi="Arial"/>
                <w:b/>
                <w:sz w:val="18"/>
              </w:rPr>
              <w:t xml:space="preserve">3. </w:t>
            </w:r>
            <w:r>
              <w:rPr>
                <w:rFonts w:ascii="Arial" w:hAnsi="Arial"/>
                <w:sz w:val="18"/>
              </w:rPr>
              <w:t>Wait for the Portfolio imported confirmation.</w:t>
            </w:r>
          </w:p>
          <w:p>
            <w:pPr>
              <w:spacing w:before="40" w:after="0" w:line="245" w:lineRule="auto"/>
            </w:pPr>
            <w:r>
              <w:rPr>
                <w:rFonts w:ascii="Arial" w:hAnsi="Arial"/>
                <w:b/>
                <w:color w:val="0F766E"/>
                <w:sz w:val="18"/>
              </w:rPr>
              <w:t xml:space="preserve">Result  </w:t>
            </w:r>
            <w:r>
              <w:rPr>
                <w:rFonts w:ascii="Arial" w:hAnsi="Arial"/>
                <w:sz w:val="18"/>
              </w:rPr>
              <w:t>Import replaces the active application dataset with the selected file and recalculates all widgets.</w:t>
            </w:r>
          </w:p>
        </w:tc>
      </w:tr>
    </w:tbl>
    <w:p>
      <w:pPr>
        <w:spacing w:after="40"/>
      </w:pPr>
    </w:p>
    <w:p>
      <w:pPr>
        <w:pStyle w:val="Heading1"/>
        <w:keepNext w:val="1"/>
      </w:pPr>
      <w:r>
        <w:t>11  Calculation and Reversal Rules</w:t>
      </w:r>
    </w:p>
    <w:p>
      <w:pPr>
        <w:spacing w:after="120" w:line="259" w:lineRule="auto"/>
      </w:pPr>
      <w:r>
        <w:rPr>
          <w:rFonts w:ascii="Arial" w:hAnsi="Arial"/>
          <w:color w:val="000000"/>
          <w:sz w:val="21"/>
        </w:rPr>
        <w:t>Use these rules when validating balances after a redemption, edit, or deletion.</w:t>
      </w:r>
    </w:p>
    <w:p>
      <w:pPr>
        <w:pStyle w:val="ListBullet"/>
        <w:spacing w:after="40" w:line="247" w:lineRule="auto"/>
        <w:ind w:left="317" w:hanging="173"/>
      </w:pPr>
      <w:r>
        <w:rPr>
          <w:rFonts w:ascii="Arial" w:hAnsi="Arial"/>
          <w:sz w:val="20"/>
        </w:rPr>
        <w:t>Card Net P L equals recorded monetary benefits plus redeemed welcome point value minus joining fees, taxes, previous fees, and future annual fees.</w:t>
      </w:r>
    </w:p>
    <w:p>
      <w:pPr>
        <w:pStyle w:val="ListBullet"/>
        <w:spacing w:after="40" w:line="247" w:lineRule="auto"/>
        <w:ind w:left="317" w:hanging="173"/>
      </w:pPr>
      <w:r>
        <w:rPr>
          <w:rFonts w:ascii="Arial" w:hAnsi="Arial"/>
          <w:sz w:val="20"/>
        </w:rPr>
        <w:t>Reward point redemptions debit only the entered Welcome Benefit and Earned Point quantities. Earned points include manually entered card points.</w:t>
      </w:r>
    </w:p>
    <w:p>
      <w:pPr>
        <w:pStyle w:val="ListBullet"/>
        <w:spacing w:after="40" w:line="247" w:lineRule="auto"/>
        <w:ind w:left="317" w:hanging="173"/>
      </w:pPr>
      <w:r>
        <w:rPr>
          <w:rFonts w:ascii="Arial" w:hAnsi="Arial"/>
          <w:sz w:val="20"/>
        </w:rPr>
        <w:t>A PPR redemption consumes the oldest card contribution first, then the next card contribution, and manual partner points last.</w:t>
      </w:r>
    </w:p>
    <w:p>
      <w:pPr>
        <w:pStyle w:val="ListBullet"/>
        <w:spacing w:after="40" w:line="247" w:lineRule="auto"/>
        <w:ind w:left="317" w:hanging="173"/>
      </w:pPr>
      <w:r>
        <w:rPr>
          <w:rFonts w:ascii="Arial" w:hAnsi="Arial"/>
          <w:sz w:val="20"/>
        </w:rPr>
        <w:t>PPR monetary value is allocated only across the points consumed by that redemption. Card sourced value flows back to the originating card; manual value remains in PPR details.</w:t>
      </w:r>
    </w:p>
    <w:p>
      <w:pPr>
        <w:pStyle w:val="ListBullet"/>
        <w:spacing w:after="40" w:line="247" w:lineRule="auto"/>
        <w:ind w:left="317" w:hanging="173"/>
      </w:pPr>
      <w:r>
        <w:rPr>
          <w:rFonts w:ascii="Arial" w:hAnsi="Arial"/>
          <w:sz w:val="20"/>
        </w:rPr>
        <w:t>Editing a PPR redemption to zero points or zero monetary value restores that batch to Unredeemed. Deleting it restores both points and allocated value.</w:t>
      </w:r>
    </w:p>
    <w:p>
      <w:pPr>
        <w:pStyle w:val="ListBullet"/>
        <w:spacing w:after="40" w:line="247" w:lineRule="auto"/>
        <w:ind w:left="317" w:hanging="173"/>
      </w:pPr>
      <w:r>
        <w:rPr>
          <w:rFonts w:ascii="Arial" w:hAnsi="Arial"/>
          <w:sz w:val="20"/>
        </w:rPr>
        <w:t>Deleting a partner to partner transfer restores the source partner, not the original card, because the earlier card to partner transfer still exists.</w:t>
      </w:r>
    </w:p>
    <w:p>
      <w:pPr>
        <w:pStyle w:val="ListBullet"/>
        <w:spacing w:after="40" w:line="247" w:lineRule="auto"/>
        <w:ind w:left="317" w:hanging="173"/>
      </w:pPr>
      <w:r>
        <w:rPr>
          <w:rFonts w:ascii="Arial" w:hAnsi="Arial"/>
          <w:sz w:val="20"/>
        </w:rPr>
        <w:t>Partner transfer ratios use whole number source points. Partner B points equal source points divided by the first ratio number, multiplied by the second number, plus any bonus.</w:t>
      </w:r>
    </w:p>
    <w:p>
      <w:pPr>
        <w:pStyle w:val="ListBullet"/>
        <w:spacing w:after="40" w:line="247" w:lineRule="auto"/>
        <w:ind w:left="317" w:hanging="173"/>
      </w:pPr>
      <w:r>
        <w:rPr>
          <w:rFonts w:ascii="Arial" w:hAnsi="Arial"/>
          <w:sz w:val="20"/>
        </w:rPr>
        <w:t>Manual PPR points never increase a card balance or Reward Points total. Interest ledger spends reduce only the overall available income balance.</w:t>
      </w:r>
    </w:p>
    <w:p>
      <w:pPr>
        <w:spacing w:before="160" w:after="0"/>
      </w:pPr>
      <w:r>
        <w:rPr>
          <w:rFonts w:ascii="Arial" w:hAnsi="Arial"/>
          <w:b/>
          <w:color w:val="17324D"/>
          <w:sz w:val="20"/>
        </w:rPr>
        <w:t xml:space="preserve">Recommended operating practice  </w:t>
      </w:r>
      <w:r>
        <w:rPr>
          <w:rFonts w:ascii="Arial" w:hAnsi="Arial"/>
          <w:sz w:val="20"/>
        </w:rPr>
        <w:t>Export a backup before bulk edits or imports, and verify the relevant widget total after every reversal or multi step partner transfer.</w:t>
      </w:r>
    </w:p>
    <w:sectPr w:rsidR="00FC693F" w:rsidRPr="0006063C" w:rsidSect="00034616">
      <w:footerReference w:type="default" r:id="rId9"/>
      <w:pgSz w:w="12240" w:h="15840"/>
      <w:pgMar w:top="835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667085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Rewards Application Knowledge Transfer Guide</dc:title>
  <dc:subject>Compact operating procedures for the Personal Finance rewards application</dc:subject>
  <dc:creator>Application Owner</dc:creator>
  <cp:keywords>knowledge transfer, credit cards, rewards, partner points, interest, lounge, travel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