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86211" w14:textId="77777777" w:rsidR="00797F44" w:rsidRPr="00DC1980" w:rsidRDefault="00797F44" w:rsidP="002A1075">
      <w:pPr>
        <w:spacing w:line="480" w:lineRule="auto"/>
        <w:jc w:val="both"/>
        <w:rPr>
          <w:rFonts w:ascii="Times New Roman" w:eastAsia="Times New Roman" w:hAnsi="Times New Roman" w:cs="Times New Roman"/>
          <w:b/>
          <w:bCs/>
          <w:color w:val="242424"/>
          <w:sz w:val="28"/>
          <w:szCs w:val="28"/>
        </w:rPr>
      </w:pPr>
      <w:r w:rsidRPr="00DC1980">
        <w:rPr>
          <w:rFonts w:ascii="Times New Roman" w:eastAsia="Times New Roman" w:hAnsi="Times New Roman" w:cs="Times New Roman"/>
          <w:b/>
          <w:bCs/>
          <w:color w:val="242424"/>
          <w:sz w:val="28"/>
          <w:szCs w:val="28"/>
        </w:rPr>
        <w:t>Clinical Characteristics and Outcomes of Patients Undergoing Transcatheter Tricuspid Valve Replacement Stratified by TRISCEND II Trial Eligibility</w:t>
      </w:r>
    </w:p>
    <w:p w14:paraId="10760FF9" w14:textId="77777777" w:rsidR="00797F44" w:rsidRPr="00DC1980" w:rsidRDefault="00797F44" w:rsidP="00797F44">
      <w:pPr>
        <w:jc w:val="both"/>
        <w:rPr>
          <w:rFonts w:ascii="Times New Roman" w:eastAsia="Times New Roman" w:hAnsi="Times New Roman" w:cs="Times New Roman"/>
          <w:color w:val="242424"/>
        </w:rPr>
      </w:pPr>
    </w:p>
    <w:p w14:paraId="62EE4D3F" w14:textId="49CCAD41" w:rsidR="00FD651B" w:rsidRPr="00DC1980" w:rsidRDefault="00FD651B" w:rsidP="00FD651B">
      <w:pPr>
        <w:jc w:val="both"/>
        <w:rPr>
          <w:rFonts w:ascii="Times New Roman" w:eastAsia="Times New Roman" w:hAnsi="Times New Roman" w:cs="Times New Roman"/>
          <w:color w:val="242424"/>
        </w:rPr>
      </w:pPr>
      <w:r w:rsidRPr="00DC1980">
        <w:rPr>
          <w:rFonts w:ascii="Times New Roman" w:eastAsia="Times New Roman" w:hAnsi="Times New Roman" w:cs="Times New Roman"/>
          <w:color w:val="242424"/>
        </w:rPr>
        <w:t>Sahar Razmjou, PhD</w:t>
      </w:r>
      <w:r w:rsidR="004F0A80" w:rsidRPr="00DC1980">
        <w:rPr>
          <w:rFonts w:ascii="Times New Roman" w:eastAsia="Times New Roman" w:hAnsi="Times New Roman" w:cs="Times New Roman"/>
          <w:color w:val="242424"/>
        </w:rPr>
        <w:t xml:space="preserve">, </w:t>
      </w:r>
      <w:r w:rsidRPr="00DC1980">
        <w:rPr>
          <w:rFonts w:ascii="Times New Roman" w:eastAsia="Times New Roman" w:hAnsi="Times New Roman" w:cs="Times New Roman"/>
          <w:color w:val="242424"/>
        </w:rPr>
        <w:t>Sureja Sundaralingam, MD</w:t>
      </w:r>
      <w:r w:rsidR="004F0A80" w:rsidRPr="00DC1980">
        <w:rPr>
          <w:rFonts w:ascii="Times New Roman" w:eastAsia="Times New Roman" w:hAnsi="Times New Roman" w:cs="Times New Roman"/>
          <w:color w:val="242424"/>
        </w:rPr>
        <w:t xml:space="preserve">, </w:t>
      </w:r>
      <w:r w:rsidR="00F34B30" w:rsidRPr="00DC1980">
        <w:rPr>
          <w:rFonts w:ascii="Times New Roman" w:eastAsia="Times New Roman" w:hAnsi="Times New Roman" w:cs="Times New Roman"/>
          <w:color w:val="242424"/>
        </w:rPr>
        <w:t>Nathaniel</w:t>
      </w:r>
      <w:r w:rsidR="00F34B30" w:rsidRPr="00DC1980">
        <w:rPr>
          <w:rFonts w:ascii="Segoe UI" w:hAnsi="Segoe UI" w:cs="Segoe UI"/>
          <w:color w:val="262626"/>
          <w:sz w:val="36"/>
          <w:szCs w:val="36"/>
        </w:rPr>
        <w:t xml:space="preserve"> </w:t>
      </w:r>
      <w:r w:rsidR="00F34B30" w:rsidRPr="00DC1980">
        <w:rPr>
          <w:rFonts w:ascii="Times New Roman" w:eastAsia="Times New Roman" w:hAnsi="Times New Roman" w:cs="Times New Roman"/>
          <w:color w:val="242424"/>
        </w:rPr>
        <w:t>Bowerman, BS</w:t>
      </w:r>
      <w:r w:rsidR="004F0A80" w:rsidRPr="00DC1980">
        <w:rPr>
          <w:rFonts w:ascii="Times New Roman" w:eastAsia="Times New Roman" w:hAnsi="Times New Roman" w:cs="Times New Roman"/>
          <w:color w:val="242424"/>
        </w:rPr>
        <w:t xml:space="preserve">, </w:t>
      </w:r>
      <w:r w:rsidR="00F34B30" w:rsidRPr="00DC1980">
        <w:rPr>
          <w:rFonts w:ascii="Times New Roman" w:eastAsia="Times New Roman" w:hAnsi="Times New Roman" w:cs="Times New Roman"/>
          <w:color w:val="242424"/>
        </w:rPr>
        <w:t>Georgi Fram, MD</w:t>
      </w:r>
      <w:r w:rsidR="004F0A80" w:rsidRPr="00DC1980">
        <w:rPr>
          <w:rFonts w:ascii="Times New Roman" w:eastAsia="Times New Roman" w:hAnsi="Times New Roman" w:cs="Times New Roman"/>
          <w:color w:val="242424"/>
        </w:rPr>
        <w:t xml:space="preserve">, </w:t>
      </w:r>
      <w:r w:rsidR="00F34B30" w:rsidRPr="00DC1980">
        <w:rPr>
          <w:rFonts w:ascii="Times New Roman" w:eastAsia="Times New Roman" w:hAnsi="Times New Roman" w:cs="Times New Roman"/>
          <w:color w:val="242424"/>
        </w:rPr>
        <w:t>John Dawdy, MD</w:t>
      </w:r>
      <w:r w:rsidR="004F0A80" w:rsidRPr="00DC1980">
        <w:rPr>
          <w:rFonts w:ascii="Times New Roman" w:eastAsia="Times New Roman" w:hAnsi="Times New Roman" w:cs="Times New Roman"/>
          <w:color w:val="242424"/>
        </w:rPr>
        <w:t xml:space="preserve">, </w:t>
      </w:r>
      <w:r w:rsidRPr="00DC1980">
        <w:rPr>
          <w:rFonts w:ascii="Times New Roman" w:eastAsia="Times New Roman" w:hAnsi="Times New Roman" w:cs="Times New Roman"/>
          <w:color w:val="242424"/>
        </w:rPr>
        <w:t>Tiberio Frisoli, MD</w:t>
      </w:r>
      <w:r w:rsidR="004F0A80" w:rsidRPr="00DC1980">
        <w:rPr>
          <w:rFonts w:ascii="Times New Roman" w:eastAsia="Times New Roman" w:hAnsi="Times New Roman" w:cs="Times New Roman"/>
          <w:color w:val="242424"/>
        </w:rPr>
        <w:t xml:space="preserve">, </w:t>
      </w:r>
      <w:r w:rsidRPr="00DC1980">
        <w:rPr>
          <w:rFonts w:ascii="Times New Roman" w:eastAsia="Times New Roman" w:hAnsi="Times New Roman" w:cs="Times New Roman"/>
          <w:color w:val="242424"/>
        </w:rPr>
        <w:t>James Lee, MD</w:t>
      </w:r>
      <w:r w:rsidR="004F0A80" w:rsidRPr="00DC1980">
        <w:rPr>
          <w:rFonts w:ascii="Times New Roman" w:eastAsia="Times New Roman" w:hAnsi="Times New Roman" w:cs="Times New Roman"/>
          <w:color w:val="242424"/>
        </w:rPr>
        <w:t xml:space="preserve">, </w:t>
      </w:r>
      <w:r w:rsidR="00577A74" w:rsidRPr="00DC1980">
        <w:rPr>
          <w:rFonts w:ascii="Times New Roman" w:eastAsia="Times New Roman" w:hAnsi="Times New Roman" w:cs="Times New Roman"/>
          <w:color w:val="242424"/>
        </w:rPr>
        <w:t>Pedro Arturo Villablanca, MD, MSc</w:t>
      </w:r>
      <w:r w:rsidR="004A1C66" w:rsidRPr="00DC1980">
        <w:rPr>
          <w:rFonts w:ascii="Times New Roman" w:eastAsia="Times New Roman" w:hAnsi="Times New Roman" w:cs="Times New Roman"/>
          <w:color w:val="242424"/>
        </w:rPr>
        <w:t>, B</w:t>
      </w:r>
      <w:r w:rsidRPr="00DC1980">
        <w:rPr>
          <w:rFonts w:ascii="Times New Roman" w:eastAsia="Times New Roman" w:hAnsi="Times New Roman" w:cs="Times New Roman"/>
          <w:color w:val="242424"/>
        </w:rPr>
        <w:t xml:space="preserve">rian O’Neill, MD, </w:t>
      </w:r>
      <w:r w:rsidR="00F34B30" w:rsidRPr="00DC1980">
        <w:rPr>
          <w:rFonts w:ascii="Times New Roman" w:eastAsia="Times New Roman" w:hAnsi="Times New Roman" w:cs="Times New Roman"/>
          <w:color w:val="242424"/>
        </w:rPr>
        <w:t>Pedro Engel Gonzale</w:t>
      </w:r>
      <w:r w:rsidR="00385122" w:rsidRPr="00DC1980">
        <w:rPr>
          <w:rFonts w:ascii="Times New Roman" w:eastAsia="Times New Roman" w:hAnsi="Times New Roman" w:cs="Times New Roman"/>
          <w:color w:val="242424"/>
        </w:rPr>
        <w:t>z</w:t>
      </w:r>
      <w:r w:rsidR="00F34B30" w:rsidRPr="00DC1980">
        <w:rPr>
          <w:rFonts w:ascii="Times New Roman" w:eastAsia="Times New Roman" w:hAnsi="Times New Roman" w:cs="Times New Roman"/>
          <w:color w:val="242424"/>
        </w:rPr>
        <w:t>, MD</w:t>
      </w:r>
      <w:r w:rsidR="00C65BE9" w:rsidRPr="00DC1980">
        <w:rPr>
          <w:rFonts w:ascii="Times New Roman" w:eastAsia="Times New Roman" w:hAnsi="Times New Roman" w:cs="Times New Roman"/>
          <w:color w:val="242424"/>
        </w:rPr>
        <w:t xml:space="preserve">. </w:t>
      </w:r>
    </w:p>
    <w:p w14:paraId="6B1647B2" w14:textId="77777777" w:rsidR="00FD651B" w:rsidRPr="00DC1980" w:rsidRDefault="00FD651B" w:rsidP="00FD651B">
      <w:pPr>
        <w:jc w:val="both"/>
        <w:rPr>
          <w:rFonts w:ascii="Times New Roman" w:eastAsia="Times New Roman" w:hAnsi="Times New Roman" w:cs="Times New Roman"/>
          <w:color w:val="242424"/>
        </w:rPr>
      </w:pPr>
    </w:p>
    <w:p w14:paraId="50C96163" w14:textId="5530B759" w:rsidR="00FD651B" w:rsidRPr="00DC1980" w:rsidRDefault="00FD651B" w:rsidP="00FD651B">
      <w:pPr>
        <w:spacing w:after="0"/>
        <w:jc w:val="both"/>
        <w:rPr>
          <w:rFonts w:ascii="Times New Roman" w:eastAsia="Times New Roman" w:hAnsi="Times New Roman" w:cs="Times New Roman"/>
          <w:color w:val="242424"/>
        </w:rPr>
      </w:pPr>
      <w:r w:rsidRPr="00DC1980">
        <w:rPr>
          <w:rFonts w:ascii="Times New Roman" w:eastAsia="Times New Roman" w:hAnsi="Times New Roman" w:cs="Times New Roman"/>
          <w:color w:val="242424"/>
        </w:rPr>
        <w:t>Center for Structural Heart Disease, Henry Ford Hospital, Detroit, MI, USA</w:t>
      </w:r>
    </w:p>
    <w:p w14:paraId="0BA358DB" w14:textId="679B4F10" w:rsidR="00FD651B" w:rsidRPr="00DC1980" w:rsidRDefault="00FD651B" w:rsidP="00FD651B">
      <w:pPr>
        <w:spacing w:after="0"/>
        <w:jc w:val="both"/>
        <w:rPr>
          <w:rFonts w:ascii="Times New Roman" w:eastAsia="Times New Roman" w:hAnsi="Times New Roman" w:cs="Times New Roman"/>
          <w:color w:val="242424"/>
          <w:vertAlign w:val="superscript"/>
        </w:rPr>
      </w:pPr>
    </w:p>
    <w:p w14:paraId="6718ED45" w14:textId="77777777" w:rsidR="00C65BE9" w:rsidRPr="00DC1980" w:rsidRDefault="00C65BE9" w:rsidP="00FD651B">
      <w:pPr>
        <w:spacing w:after="0"/>
        <w:jc w:val="both"/>
        <w:rPr>
          <w:rFonts w:ascii="Times New Roman" w:eastAsia="Times New Roman" w:hAnsi="Times New Roman" w:cs="Times New Roman"/>
          <w:color w:val="242424"/>
        </w:rPr>
      </w:pPr>
    </w:p>
    <w:p w14:paraId="5C699E4D" w14:textId="477BC70A" w:rsidR="00FC65F9" w:rsidRPr="00DC1980" w:rsidRDefault="00FC65F9" w:rsidP="00BE58F7">
      <w:pPr>
        <w:spacing w:after="0"/>
        <w:rPr>
          <w:rFonts w:ascii="Times New Roman" w:eastAsia="Times New Roman" w:hAnsi="Times New Roman" w:cs="Times New Roman"/>
          <w:color w:val="242424"/>
        </w:rPr>
      </w:pPr>
      <w:r w:rsidRPr="00DC1980">
        <w:rPr>
          <w:rFonts w:ascii="Times New Roman" w:eastAsia="Times New Roman" w:hAnsi="Times New Roman" w:cs="Times New Roman"/>
          <w:color w:val="242424"/>
        </w:rPr>
        <w:t xml:space="preserve">Short title: </w:t>
      </w:r>
      <w:r w:rsidR="00760B30" w:rsidRPr="00DC1980">
        <w:rPr>
          <w:rFonts w:ascii="Times New Roman" w:eastAsia="Times New Roman" w:hAnsi="Times New Roman" w:cs="Times New Roman"/>
          <w:color w:val="242424"/>
        </w:rPr>
        <w:t>TTVR by TRISCEND II Eligibility</w:t>
      </w:r>
    </w:p>
    <w:p w14:paraId="44762535" w14:textId="77777777" w:rsidR="00760B30" w:rsidRPr="00DC1980" w:rsidRDefault="00760B30" w:rsidP="00BE58F7">
      <w:pPr>
        <w:spacing w:after="0"/>
        <w:rPr>
          <w:rFonts w:ascii="Times New Roman" w:eastAsia="Times New Roman" w:hAnsi="Times New Roman" w:cs="Times New Roman"/>
          <w:color w:val="242424"/>
        </w:rPr>
      </w:pPr>
    </w:p>
    <w:p w14:paraId="40CFE72B" w14:textId="77777777" w:rsidR="00BE58F7" w:rsidRPr="00DC1980" w:rsidRDefault="00BE58F7" w:rsidP="00BE58F7">
      <w:pPr>
        <w:rPr>
          <w:rFonts w:ascii="Times New Roman" w:eastAsia="Times New Roman" w:hAnsi="Times New Roman" w:cs="Times New Roman"/>
          <w:color w:val="242424"/>
        </w:rPr>
      </w:pPr>
    </w:p>
    <w:p w14:paraId="6AF270AB" w14:textId="77777777" w:rsidR="00D810A3" w:rsidRPr="00DC1980" w:rsidRDefault="00D810A3" w:rsidP="00BE58F7">
      <w:pPr>
        <w:rPr>
          <w:rFonts w:ascii="Times New Roman" w:eastAsia="Times New Roman" w:hAnsi="Times New Roman" w:cs="Times New Roman"/>
          <w:color w:val="242424"/>
        </w:rPr>
      </w:pPr>
    </w:p>
    <w:p w14:paraId="35AF7725" w14:textId="77777777" w:rsidR="00D810A3" w:rsidRPr="00DC1980" w:rsidRDefault="00D810A3" w:rsidP="00BE58F7">
      <w:pPr>
        <w:rPr>
          <w:rFonts w:ascii="Times New Roman" w:eastAsia="Times New Roman" w:hAnsi="Times New Roman" w:cs="Times New Roman"/>
          <w:color w:val="242424"/>
        </w:rPr>
      </w:pPr>
    </w:p>
    <w:p w14:paraId="2704B496" w14:textId="77777777" w:rsidR="00D810A3" w:rsidRPr="00DC1980" w:rsidRDefault="00D810A3" w:rsidP="00BE58F7">
      <w:pPr>
        <w:rPr>
          <w:rFonts w:ascii="Times New Roman" w:eastAsia="Times New Roman" w:hAnsi="Times New Roman" w:cs="Times New Roman"/>
          <w:color w:val="242424"/>
        </w:rPr>
      </w:pPr>
    </w:p>
    <w:p w14:paraId="5DAF7E4E" w14:textId="77777777" w:rsidR="00D810A3" w:rsidRPr="00DC1980" w:rsidRDefault="00D810A3" w:rsidP="00D810A3">
      <w:pPr>
        <w:rPr>
          <w:rFonts w:ascii="Times New Roman" w:eastAsia="Times New Roman" w:hAnsi="Times New Roman" w:cs="Times New Roman"/>
          <w:color w:val="242424"/>
        </w:rPr>
      </w:pPr>
      <w:r w:rsidRPr="00DC1980">
        <w:rPr>
          <w:rFonts w:ascii="Times New Roman" w:eastAsia="Times New Roman" w:hAnsi="Times New Roman" w:cs="Times New Roman"/>
          <w:color w:val="242424"/>
        </w:rPr>
        <w:t>Source of Funding: This study was supported by institutional research funding from the Center for Structural Heart Disease, Henry Ford Hospital, Detroit, MI. No external grants or commercial funding were received.</w:t>
      </w:r>
    </w:p>
    <w:p w14:paraId="1CD4285D" w14:textId="308D62FC" w:rsidR="00D810A3" w:rsidRPr="00DC1980" w:rsidRDefault="00D810A3" w:rsidP="00D810A3">
      <w:pPr>
        <w:rPr>
          <w:rFonts w:ascii="Times New Roman" w:eastAsia="Times New Roman" w:hAnsi="Times New Roman" w:cs="Times New Roman"/>
          <w:color w:val="242424"/>
        </w:rPr>
      </w:pPr>
      <w:r w:rsidRPr="00DC1980">
        <w:rPr>
          <w:rFonts w:ascii="Times New Roman" w:eastAsia="Times New Roman" w:hAnsi="Times New Roman" w:cs="Times New Roman"/>
          <w:color w:val="242424"/>
        </w:rPr>
        <w:t>Disclosures: All authors report no relevant relationships with industry to disclose.</w:t>
      </w:r>
    </w:p>
    <w:p w14:paraId="5BCE04A4" w14:textId="13B2CB9C" w:rsidR="00EF538D" w:rsidRPr="00DC1980" w:rsidRDefault="00EF538D" w:rsidP="00EF538D">
      <w:pPr>
        <w:spacing w:after="0"/>
        <w:rPr>
          <w:rFonts w:ascii="Times New Roman" w:eastAsia="Times New Roman" w:hAnsi="Times New Roman" w:cs="Times New Roman"/>
          <w:color w:val="242424"/>
        </w:rPr>
      </w:pPr>
      <w:r w:rsidRPr="00DC1980">
        <w:rPr>
          <w:rFonts w:ascii="Times New Roman" w:eastAsia="Times New Roman" w:hAnsi="Times New Roman" w:cs="Times New Roman"/>
          <w:color w:val="242424"/>
        </w:rPr>
        <w:t>Key words: TTVR, TRISCEND II Eligibility</w:t>
      </w:r>
      <w:r w:rsidR="00117A24" w:rsidRPr="00DC1980">
        <w:rPr>
          <w:rFonts w:ascii="Times New Roman" w:eastAsia="Times New Roman" w:hAnsi="Times New Roman" w:cs="Times New Roman"/>
          <w:color w:val="242424"/>
        </w:rPr>
        <w:t>,</w:t>
      </w:r>
      <w:r w:rsidR="004722A2" w:rsidRPr="00DC1980">
        <w:rPr>
          <w:rFonts w:ascii="Times New Roman" w:eastAsia="Times New Roman" w:hAnsi="Times New Roman" w:cs="Times New Roman"/>
          <w:color w:val="242424"/>
        </w:rPr>
        <w:t xml:space="preserve"> Clinical Outcomes </w:t>
      </w:r>
      <w:r w:rsidR="00117A24" w:rsidRPr="00DC1980">
        <w:rPr>
          <w:rFonts w:ascii="Times New Roman" w:eastAsia="Times New Roman" w:hAnsi="Times New Roman" w:cs="Times New Roman"/>
          <w:color w:val="242424"/>
        </w:rPr>
        <w:t xml:space="preserve"> </w:t>
      </w:r>
    </w:p>
    <w:p w14:paraId="05E35F02" w14:textId="77777777" w:rsidR="00D810A3" w:rsidRPr="00DC1980" w:rsidRDefault="00D810A3" w:rsidP="00BE58F7">
      <w:pPr>
        <w:rPr>
          <w:rFonts w:ascii="Times New Roman" w:eastAsia="Times New Roman" w:hAnsi="Times New Roman" w:cs="Times New Roman"/>
          <w:color w:val="242424"/>
        </w:rPr>
      </w:pPr>
    </w:p>
    <w:p w14:paraId="29907715" w14:textId="2C2EC975" w:rsidR="00B27347" w:rsidRDefault="00B27347" w:rsidP="00B27347">
      <w:pPr>
        <w:rPr>
          <w:rFonts w:ascii="Times New Roman" w:eastAsia="Times New Roman" w:hAnsi="Times New Roman" w:cs="Times New Roman"/>
          <w:color w:val="242424"/>
        </w:rPr>
      </w:pPr>
      <w:r>
        <w:rPr>
          <w:rFonts w:ascii="Times New Roman" w:eastAsia="Times New Roman" w:hAnsi="Times New Roman" w:cs="Times New Roman"/>
          <w:color w:val="242424"/>
        </w:rPr>
        <w:t xml:space="preserve">Word Count: </w:t>
      </w:r>
      <w:r w:rsidR="00C90635">
        <w:rPr>
          <w:rFonts w:ascii="Times New Roman" w:eastAsia="Times New Roman" w:hAnsi="Times New Roman" w:cs="Times New Roman"/>
          <w:color w:val="242424"/>
        </w:rPr>
        <w:t>3,722</w:t>
      </w:r>
    </w:p>
    <w:p w14:paraId="3D561275" w14:textId="77777777" w:rsidR="00D810A3" w:rsidRPr="00DC1980" w:rsidRDefault="00D810A3" w:rsidP="00BE58F7">
      <w:pPr>
        <w:rPr>
          <w:rFonts w:ascii="Times New Roman" w:eastAsia="Times New Roman" w:hAnsi="Times New Roman" w:cs="Times New Roman"/>
          <w:color w:val="242424"/>
        </w:rPr>
      </w:pPr>
    </w:p>
    <w:p w14:paraId="45EF8D5A" w14:textId="77777777" w:rsidR="00BE58F7" w:rsidRPr="00DC1980" w:rsidRDefault="00BE58F7" w:rsidP="00BE58F7">
      <w:pPr>
        <w:spacing w:after="0" w:line="276" w:lineRule="auto"/>
        <w:rPr>
          <w:rFonts w:ascii="Times New Roman" w:eastAsia="Times New Roman" w:hAnsi="Times New Roman" w:cs="Times New Roman"/>
          <w:color w:val="242424"/>
        </w:rPr>
      </w:pPr>
      <w:r w:rsidRPr="00DC1980">
        <w:rPr>
          <w:rFonts w:ascii="Times New Roman" w:eastAsia="Times New Roman" w:hAnsi="Times New Roman" w:cs="Times New Roman"/>
          <w:color w:val="242424"/>
        </w:rPr>
        <w:t>Address for Correspondence:</w:t>
      </w:r>
    </w:p>
    <w:p w14:paraId="120E9BC0" w14:textId="0C99EBAE" w:rsidR="00BE58F7" w:rsidRPr="00DC1980" w:rsidRDefault="00BE58F7" w:rsidP="00BE58F7">
      <w:pPr>
        <w:spacing w:after="0" w:line="276" w:lineRule="auto"/>
        <w:rPr>
          <w:rFonts w:ascii="Times New Roman" w:eastAsia="Times New Roman" w:hAnsi="Times New Roman" w:cs="Times New Roman"/>
          <w:color w:val="242424"/>
        </w:rPr>
      </w:pPr>
      <w:r w:rsidRPr="00DC1980">
        <w:rPr>
          <w:rFonts w:ascii="Times New Roman" w:eastAsia="Times New Roman" w:hAnsi="Times New Roman" w:cs="Times New Roman"/>
          <w:color w:val="242424"/>
        </w:rPr>
        <w:t>Pedro Engel Gonzale</w:t>
      </w:r>
      <w:r w:rsidR="00C8658E" w:rsidRPr="00DC1980">
        <w:rPr>
          <w:rFonts w:ascii="Times New Roman" w:eastAsia="Times New Roman" w:hAnsi="Times New Roman" w:cs="Times New Roman"/>
          <w:color w:val="242424"/>
        </w:rPr>
        <w:t>z</w:t>
      </w:r>
      <w:r w:rsidRPr="00DC1980">
        <w:rPr>
          <w:rFonts w:ascii="Times New Roman" w:eastAsia="Times New Roman" w:hAnsi="Times New Roman" w:cs="Times New Roman"/>
          <w:color w:val="242424"/>
        </w:rPr>
        <w:t xml:space="preserve">, MD. </w:t>
      </w:r>
    </w:p>
    <w:p w14:paraId="5579D75C" w14:textId="77777777" w:rsidR="00BE58F7" w:rsidRPr="00DC1980" w:rsidRDefault="00BE58F7" w:rsidP="00BE58F7">
      <w:pPr>
        <w:spacing w:after="0" w:line="276" w:lineRule="auto"/>
        <w:rPr>
          <w:rFonts w:ascii="Times New Roman" w:eastAsia="Times New Roman" w:hAnsi="Times New Roman" w:cs="Times New Roman"/>
          <w:color w:val="242424"/>
        </w:rPr>
      </w:pPr>
      <w:r w:rsidRPr="00DC1980">
        <w:rPr>
          <w:rFonts w:ascii="Times New Roman" w:eastAsia="Times New Roman" w:hAnsi="Times New Roman" w:cs="Times New Roman"/>
          <w:color w:val="242424"/>
        </w:rPr>
        <w:t>Center for Structural Heart Disease</w:t>
      </w:r>
    </w:p>
    <w:p w14:paraId="3E47D09E" w14:textId="77777777" w:rsidR="00BE58F7" w:rsidRPr="00DC1980" w:rsidRDefault="00BE58F7" w:rsidP="00BE58F7">
      <w:pPr>
        <w:spacing w:after="0" w:line="276" w:lineRule="auto"/>
        <w:rPr>
          <w:rFonts w:ascii="Times New Roman" w:eastAsia="Times New Roman" w:hAnsi="Times New Roman" w:cs="Times New Roman"/>
          <w:color w:val="242424"/>
        </w:rPr>
      </w:pPr>
      <w:r w:rsidRPr="00DC1980">
        <w:rPr>
          <w:rFonts w:ascii="Times New Roman" w:eastAsia="Times New Roman" w:hAnsi="Times New Roman" w:cs="Times New Roman"/>
          <w:color w:val="242424"/>
        </w:rPr>
        <w:t>Henry Ford Hospital</w:t>
      </w:r>
    </w:p>
    <w:p w14:paraId="641B2253" w14:textId="77777777" w:rsidR="00BE58F7" w:rsidRPr="00DC1980" w:rsidRDefault="00BE58F7" w:rsidP="00BE58F7">
      <w:pPr>
        <w:spacing w:after="0" w:line="276" w:lineRule="auto"/>
        <w:rPr>
          <w:rFonts w:ascii="Times New Roman" w:eastAsia="Times New Roman" w:hAnsi="Times New Roman" w:cs="Times New Roman"/>
          <w:color w:val="242424"/>
        </w:rPr>
      </w:pPr>
      <w:r w:rsidRPr="00DC1980">
        <w:rPr>
          <w:rFonts w:ascii="Times New Roman" w:eastAsia="Times New Roman" w:hAnsi="Times New Roman" w:cs="Times New Roman"/>
          <w:color w:val="242424"/>
        </w:rPr>
        <w:t>2799 West Grand Blvd, Detroit, MI 48202, USA</w:t>
      </w:r>
    </w:p>
    <w:p w14:paraId="0000BDB2" w14:textId="77777777" w:rsidR="00BE58F7" w:rsidRPr="00F549E0" w:rsidRDefault="00BE58F7" w:rsidP="00BE58F7">
      <w:pPr>
        <w:spacing w:after="0" w:line="276" w:lineRule="auto"/>
        <w:rPr>
          <w:rFonts w:ascii="Times New Roman" w:eastAsia="Times New Roman" w:hAnsi="Times New Roman" w:cs="Times New Roman"/>
          <w:color w:val="242424"/>
          <w:lang w:val="fr-FR"/>
        </w:rPr>
      </w:pPr>
      <w:proofErr w:type="gramStart"/>
      <w:r w:rsidRPr="00F549E0">
        <w:rPr>
          <w:rFonts w:ascii="Times New Roman" w:eastAsia="Times New Roman" w:hAnsi="Times New Roman" w:cs="Times New Roman"/>
          <w:color w:val="242424"/>
          <w:lang w:val="fr-FR"/>
        </w:rPr>
        <w:t>Email:</w:t>
      </w:r>
      <w:proofErr w:type="gramEnd"/>
      <w:r w:rsidRPr="00F549E0">
        <w:rPr>
          <w:rFonts w:ascii="Times New Roman" w:eastAsia="Times New Roman" w:hAnsi="Times New Roman" w:cs="Times New Roman"/>
          <w:color w:val="242424"/>
          <w:lang w:val="fr-FR"/>
        </w:rPr>
        <w:t xml:space="preserve"> </w:t>
      </w:r>
      <w:hyperlink r:id="rId7" w:history="1">
        <w:r w:rsidRPr="00F549E0">
          <w:rPr>
            <w:rStyle w:val="Hyperlink"/>
            <w:rFonts w:ascii="Times New Roman" w:eastAsia="Times New Roman" w:hAnsi="Times New Roman" w:cs="Times New Roman"/>
            <w:lang w:val="fr-FR"/>
          </w:rPr>
          <w:t>pengel1@hfhs.org</w:t>
        </w:r>
      </w:hyperlink>
      <w:r w:rsidRPr="00F549E0">
        <w:rPr>
          <w:rFonts w:ascii="Times New Roman" w:eastAsia="Times New Roman" w:hAnsi="Times New Roman" w:cs="Times New Roman"/>
          <w:color w:val="242424"/>
          <w:lang w:val="fr-FR"/>
        </w:rPr>
        <w:t xml:space="preserve"> </w:t>
      </w:r>
    </w:p>
    <w:p w14:paraId="377A0C96" w14:textId="77777777" w:rsidR="00BE58F7" w:rsidRPr="00F549E0" w:rsidRDefault="00BE58F7" w:rsidP="00BE58F7">
      <w:pPr>
        <w:spacing w:after="0" w:line="276" w:lineRule="auto"/>
        <w:rPr>
          <w:rFonts w:ascii="Times New Roman" w:eastAsia="Times New Roman" w:hAnsi="Times New Roman" w:cs="Times New Roman"/>
          <w:color w:val="242424"/>
          <w:lang w:val="fr-FR"/>
        </w:rPr>
      </w:pPr>
      <w:proofErr w:type="gramStart"/>
      <w:r w:rsidRPr="00F549E0">
        <w:rPr>
          <w:rFonts w:ascii="Times New Roman" w:eastAsia="Times New Roman" w:hAnsi="Times New Roman" w:cs="Times New Roman"/>
          <w:color w:val="242424"/>
          <w:lang w:val="fr-FR"/>
        </w:rPr>
        <w:t>Phone:</w:t>
      </w:r>
      <w:proofErr w:type="gramEnd"/>
      <w:r w:rsidRPr="00F549E0">
        <w:rPr>
          <w:rFonts w:ascii="Times New Roman" w:eastAsia="Times New Roman" w:hAnsi="Times New Roman" w:cs="Times New Roman"/>
          <w:color w:val="242424"/>
          <w:lang w:val="fr-FR"/>
        </w:rPr>
        <w:t xml:space="preserve"> 313-671-8202 </w:t>
      </w:r>
    </w:p>
    <w:p w14:paraId="6041B5CD" w14:textId="77777777" w:rsidR="00BE58F7" w:rsidRPr="00DC1980" w:rsidRDefault="00BE58F7" w:rsidP="00BE58F7">
      <w:pPr>
        <w:spacing w:after="0" w:line="276" w:lineRule="auto"/>
        <w:rPr>
          <w:rFonts w:ascii="Times New Roman" w:eastAsia="Times New Roman" w:hAnsi="Times New Roman" w:cs="Times New Roman"/>
          <w:color w:val="242424"/>
        </w:rPr>
      </w:pPr>
      <w:r w:rsidRPr="00DC1980">
        <w:rPr>
          <w:rFonts w:ascii="Times New Roman" w:eastAsia="Times New Roman" w:hAnsi="Times New Roman" w:cs="Times New Roman"/>
          <w:color w:val="242424"/>
        </w:rPr>
        <w:t>Fax: 313-916-4990</w:t>
      </w:r>
    </w:p>
    <w:p w14:paraId="53E862E5" w14:textId="77777777" w:rsidR="00BE58F7" w:rsidRPr="00DC1980" w:rsidRDefault="00BE58F7" w:rsidP="00BE58F7">
      <w:pPr>
        <w:spacing w:after="0" w:line="276" w:lineRule="auto"/>
        <w:rPr>
          <w:rFonts w:ascii="Times New Roman" w:eastAsia="Times New Roman" w:hAnsi="Times New Roman" w:cs="Times New Roman"/>
          <w:color w:val="242424"/>
        </w:rPr>
      </w:pPr>
    </w:p>
    <w:p w14:paraId="45D59188" w14:textId="7348FC8B" w:rsidR="00DC7659" w:rsidRPr="00DC1980" w:rsidRDefault="00DC7659" w:rsidP="00CB254F">
      <w:pPr>
        <w:spacing w:line="480" w:lineRule="auto"/>
        <w:jc w:val="both"/>
        <w:rPr>
          <w:rFonts w:ascii="Times New Roman" w:eastAsia="Times New Roman" w:hAnsi="Times New Roman" w:cs="Times New Roman"/>
          <w:b/>
          <w:bCs/>
          <w:color w:val="242424"/>
          <w:sz w:val="28"/>
          <w:szCs w:val="28"/>
        </w:rPr>
      </w:pPr>
      <w:r w:rsidRPr="00DC1980">
        <w:rPr>
          <w:rFonts w:ascii="Times New Roman" w:eastAsia="Times New Roman" w:hAnsi="Times New Roman" w:cs="Times New Roman"/>
          <w:b/>
          <w:bCs/>
          <w:color w:val="242424"/>
          <w:sz w:val="28"/>
          <w:szCs w:val="28"/>
        </w:rPr>
        <w:t xml:space="preserve">Abstract </w:t>
      </w:r>
    </w:p>
    <w:p w14:paraId="036C3086" w14:textId="77777777" w:rsidR="00A24FDA" w:rsidRPr="00DC1980" w:rsidRDefault="00A24FDA" w:rsidP="00A24FDA">
      <w:pPr>
        <w:spacing w:line="480" w:lineRule="auto"/>
        <w:jc w:val="both"/>
        <w:rPr>
          <w:rFonts w:ascii="Times New Roman" w:eastAsia="Times New Roman" w:hAnsi="Times New Roman" w:cs="Times New Roman"/>
          <w:color w:val="242424"/>
        </w:rPr>
      </w:pPr>
      <w:r w:rsidRPr="00DC1980">
        <w:rPr>
          <w:rFonts w:ascii="Times New Roman" w:eastAsia="Times New Roman" w:hAnsi="Times New Roman" w:cs="Times New Roman"/>
          <w:color w:val="242424"/>
        </w:rPr>
        <w:t>Background: Clinical trials for transcatheter tricuspid valve replacement (TTVR) use strict eligibility criteria that often exclude real-world patients, who may have more advanced disease and different outcomes. We compared characteristics and short-term results between patients who would have been eligible versus non-eligible for the TRISCEND II trial.</w:t>
      </w:r>
    </w:p>
    <w:p w14:paraId="688E2BDD" w14:textId="77777777" w:rsidR="00A24FDA" w:rsidRPr="00DC1980" w:rsidRDefault="00A24FDA" w:rsidP="00A24FDA">
      <w:pPr>
        <w:spacing w:line="480" w:lineRule="auto"/>
        <w:jc w:val="both"/>
        <w:rPr>
          <w:rFonts w:ascii="Times New Roman" w:eastAsia="Times New Roman" w:hAnsi="Times New Roman" w:cs="Times New Roman"/>
          <w:color w:val="242424"/>
        </w:rPr>
      </w:pPr>
      <w:r w:rsidRPr="00DC1980">
        <w:rPr>
          <w:rFonts w:ascii="Times New Roman" w:eastAsia="Times New Roman" w:hAnsi="Times New Roman" w:cs="Times New Roman"/>
          <w:color w:val="242424"/>
        </w:rPr>
        <w:t>Methods: We analyzed a single-center cohort of 112 patients undergoing TTVR for symptomatic tricuspid regurgitation (TR). Patients were stratified according to TRISCEND II inclusion and exclusion criteria. Baseline demographics and 30-day outcomes were compared between eligible (n=47) and non-eligible (n=65) groups.</w:t>
      </w:r>
    </w:p>
    <w:p w14:paraId="3135BD6A" w14:textId="77777777" w:rsidR="00A24FDA" w:rsidRPr="00DC1980" w:rsidRDefault="00A24FDA" w:rsidP="00A24FDA">
      <w:pPr>
        <w:spacing w:line="480" w:lineRule="auto"/>
        <w:jc w:val="both"/>
        <w:rPr>
          <w:rFonts w:ascii="Times New Roman" w:eastAsia="Times New Roman" w:hAnsi="Times New Roman" w:cs="Times New Roman"/>
          <w:color w:val="242424"/>
        </w:rPr>
      </w:pPr>
      <w:r w:rsidRPr="00DC1980">
        <w:rPr>
          <w:rFonts w:ascii="Times New Roman" w:eastAsia="Times New Roman" w:hAnsi="Times New Roman" w:cs="Times New Roman"/>
          <w:color w:val="242424"/>
        </w:rPr>
        <w:t>Results: Eligible patients were older [83.2 years (IQR 77.4–86.7) vs. 76.3 years (IQR 69.6–83.1)], while sex distribution and NYHA class III/IV were similar (female: 68.1% vs. 64.6%; NYHA III/IV: 76.6% vs. 75.4%). TR severity was comparable. Non-eligible patients had lower ejection fraction (56% vs. 60%) and more prior heart failure hospitalization (13.8% vs. 4.3%). At 30 days, both groups showed significant TR reduction, but non-eligible patients remained more symptomatic (NYHA III/IV: 31.0% vs. 11.9%) and had lower KCCQ scores (65.63 vs. 70.83). All-cause mortality (8.2% vs. 2.0%) and major bleeding (17% vs. 12.3%) were numerically higher in the non-eligible group, while stroke, pacemaker implantation, and re-intervention rates were low and similar.</w:t>
      </w:r>
    </w:p>
    <w:p w14:paraId="26CB4847" w14:textId="75B05635" w:rsidR="00CB254F" w:rsidRPr="00DC1980" w:rsidRDefault="00A24FDA" w:rsidP="00A24FDA">
      <w:pPr>
        <w:spacing w:line="480" w:lineRule="auto"/>
        <w:jc w:val="both"/>
        <w:rPr>
          <w:rFonts w:ascii="Times New Roman" w:hAnsi="Times New Roman" w:cs="Times New Roman"/>
          <w:b/>
          <w:bCs/>
          <w:sz w:val="28"/>
          <w:szCs w:val="28"/>
        </w:rPr>
      </w:pPr>
      <w:r w:rsidRPr="00DC1980">
        <w:rPr>
          <w:rFonts w:ascii="Times New Roman" w:eastAsia="Times New Roman" w:hAnsi="Times New Roman" w:cs="Times New Roman"/>
          <w:color w:val="242424"/>
        </w:rPr>
        <w:t>Conclusion: Eligible patients had better cardiac function and were less symptomatic post-TTVR. Non-eligible patients remained more symptomatic despite similar TR reduction, highlighting the need to consider real-world patient complexity when interpreting trial outcomes.</w:t>
      </w:r>
      <w:r w:rsidR="00CB254F" w:rsidRPr="00DC1980">
        <w:rPr>
          <w:rFonts w:ascii="Times New Roman" w:hAnsi="Times New Roman" w:cs="Times New Roman"/>
          <w:b/>
          <w:bCs/>
          <w:sz w:val="28"/>
          <w:szCs w:val="28"/>
        </w:rPr>
        <w:br w:type="page"/>
      </w:r>
    </w:p>
    <w:p w14:paraId="0719ED92" w14:textId="46A443D6" w:rsidR="00793B55" w:rsidRPr="00DC1980" w:rsidRDefault="00793B55" w:rsidP="00CB254F">
      <w:pPr>
        <w:spacing w:line="480" w:lineRule="auto"/>
        <w:rPr>
          <w:rFonts w:ascii="Times New Roman" w:hAnsi="Times New Roman" w:cs="Times New Roman"/>
          <w:b/>
          <w:bCs/>
          <w:sz w:val="28"/>
          <w:szCs w:val="28"/>
        </w:rPr>
      </w:pPr>
      <w:r w:rsidRPr="00DC1980">
        <w:rPr>
          <w:rFonts w:ascii="Times New Roman" w:hAnsi="Times New Roman" w:cs="Times New Roman"/>
          <w:b/>
          <w:bCs/>
          <w:sz w:val="28"/>
          <w:szCs w:val="28"/>
        </w:rPr>
        <w:lastRenderedPageBreak/>
        <w:t xml:space="preserve">Introduction </w:t>
      </w:r>
    </w:p>
    <w:p w14:paraId="50B5ED10" w14:textId="77B92119" w:rsidR="00F06CF6" w:rsidRPr="00DC1980" w:rsidRDefault="00F06CF6" w:rsidP="00CB254F">
      <w:pPr>
        <w:spacing w:line="480" w:lineRule="auto"/>
        <w:jc w:val="both"/>
        <w:rPr>
          <w:rFonts w:ascii="Times New Roman" w:hAnsi="Times New Roman" w:cs="Times New Roman"/>
        </w:rPr>
      </w:pPr>
      <w:r w:rsidRPr="00DC1980">
        <w:rPr>
          <w:rFonts w:ascii="Times New Roman" w:hAnsi="Times New Roman" w:cs="Times New Roman"/>
        </w:rPr>
        <w:t>Tricuspid regurgitation (TR) is a common valvular disorder associated with progressive right heart failure, impaired functional capacity, and poor long-term outcomes.</w:t>
      </w:r>
      <w:r w:rsidR="006B4AEE" w:rsidRPr="00DC1980">
        <w:rPr>
          <w:rFonts w:ascii="Times New Roman" w:hAnsi="Times New Roman" w:cs="Times New Roman"/>
          <w:noProof/>
          <w:vertAlign w:val="superscript"/>
        </w:rPr>
        <w:t xml:space="preserve"> 1,2</w:t>
      </w:r>
      <w:r w:rsidRPr="00DC1980">
        <w:rPr>
          <w:rFonts w:ascii="Times New Roman" w:hAnsi="Times New Roman" w:cs="Times New Roman"/>
        </w:rPr>
        <w:t xml:space="preserve"> Until recently, treatment options for severe TR were limited, </w:t>
      </w:r>
      <w:r w:rsidR="00816BBD" w:rsidRPr="00DC1980">
        <w:rPr>
          <w:rFonts w:ascii="Times New Roman" w:hAnsi="Times New Roman" w:cs="Times New Roman"/>
        </w:rPr>
        <w:t xml:space="preserve">as isolated tricuspid valve surgery carries high operative </w:t>
      </w:r>
      <w:proofErr w:type="gramStart"/>
      <w:r w:rsidR="00816BBD" w:rsidRPr="00DC1980">
        <w:rPr>
          <w:rFonts w:ascii="Times New Roman" w:hAnsi="Times New Roman" w:cs="Times New Roman"/>
        </w:rPr>
        <w:t>risk</w:t>
      </w:r>
      <w:proofErr w:type="gramEnd"/>
      <w:r w:rsidR="00816BBD" w:rsidRPr="00DC1980">
        <w:rPr>
          <w:rFonts w:ascii="Times New Roman" w:hAnsi="Times New Roman" w:cs="Times New Roman"/>
        </w:rPr>
        <w:t xml:space="preserve"> and medical therapy often provides inadequate symptomatic relief</w:t>
      </w:r>
      <w:r w:rsidRPr="00DC1980">
        <w:rPr>
          <w:rFonts w:ascii="Times New Roman" w:hAnsi="Times New Roman" w:cs="Times New Roman"/>
        </w:rPr>
        <w:t>.</w:t>
      </w:r>
      <w:r w:rsidR="006B4AEE" w:rsidRPr="00DC1980">
        <w:rPr>
          <w:rFonts w:ascii="Times New Roman" w:hAnsi="Times New Roman" w:cs="Times New Roman"/>
          <w:noProof/>
          <w:vertAlign w:val="superscript"/>
        </w:rPr>
        <w:t xml:space="preserve"> 3</w:t>
      </w:r>
      <w:r w:rsidRPr="00DC1980">
        <w:rPr>
          <w:rFonts w:ascii="Times New Roman" w:hAnsi="Times New Roman" w:cs="Times New Roman"/>
        </w:rPr>
        <w:t xml:space="preserve"> In this context, transcatheter tricuspid valve replacement (TTVR) has emerged as a promising therapeutic strategy, particularly for patients at high or prohibitive surgical risk.</w:t>
      </w:r>
      <w:r w:rsidR="006B4AEE" w:rsidRPr="00DC1980">
        <w:rPr>
          <w:rFonts w:ascii="Times New Roman" w:hAnsi="Times New Roman" w:cs="Times New Roman"/>
          <w:noProof/>
          <w:vertAlign w:val="superscript"/>
        </w:rPr>
        <w:t xml:space="preserve"> 4-7</w:t>
      </w:r>
      <w:r w:rsidR="00E63926" w:rsidRPr="00DC1980">
        <w:rPr>
          <w:rFonts w:ascii="Times New Roman" w:hAnsi="Times New Roman" w:cs="Times New Roman"/>
        </w:rPr>
        <w:t xml:space="preserve"> </w:t>
      </w:r>
      <w:r w:rsidR="00B7223E" w:rsidRPr="00DC1980">
        <w:rPr>
          <w:rFonts w:ascii="Times New Roman" w:hAnsi="Times New Roman" w:cs="Times New Roman"/>
        </w:rPr>
        <w:t>On February 1, 2024, the Evoque valve system became the first and currently only FDA-approved TTVR device in the United States, based on results from the pivotal TRISCEND II randomized trial.</w:t>
      </w:r>
      <w:r w:rsidR="006B4AEE" w:rsidRPr="00DC1980">
        <w:rPr>
          <w:rFonts w:ascii="Times New Roman" w:hAnsi="Times New Roman" w:cs="Times New Roman"/>
          <w:noProof/>
          <w:vertAlign w:val="superscript"/>
        </w:rPr>
        <w:t xml:space="preserve"> 8</w:t>
      </w:r>
      <w:r w:rsidRPr="00DC1980">
        <w:rPr>
          <w:rFonts w:ascii="Times New Roman" w:hAnsi="Times New Roman" w:cs="Times New Roman"/>
        </w:rPr>
        <w:t xml:space="preserve"> </w:t>
      </w:r>
      <w:r w:rsidR="0058571A" w:rsidRPr="00DC1980">
        <w:rPr>
          <w:rFonts w:ascii="Times New Roman" w:hAnsi="Times New Roman" w:cs="Times New Roman"/>
        </w:rPr>
        <w:t>This study demonstrated significant improvements in symptoms and quality of life with TTVR, although it also reported notable rates of adverse events, particularly major bleeding and new permanent pacemaker implantation.</w:t>
      </w:r>
      <w:r w:rsidR="006B4AEE" w:rsidRPr="00DC1980">
        <w:rPr>
          <w:rFonts w:ascii="Times New Roman" w:hAnsi="Times New Roman" w:cs="Times New Roman"/>
          <w:noProof/>
          <w:vertAlign w:val="superscript"/>
        </w:rPr>
        <w:t xml:space="preserve"> 5</w:t>
      </w:r>
    </w:p>
    <w:p w14:paraId="3882E62E" w14:textId="328A2A52" w:rsidR="00F06CF6" w:rsidRPr="00DC1980" w:rsidRDefault="00F06CF6" w:rsidP="00CB254F">
      <w:pPr>
        <w:spacing w:line="480" w:lineRule="auto"/>
        <w:jc w:val="both"/>
        <w:rPr>
          <w:rFonts w:ascii="Times New Roman" w:hAnsi="Times New Roman" w:cs="Times New Roman"/>
        </w:rPr>
      </w:pPr>
      <w:r w:rsidRPr="00DC1980">
        <w:rPr>
          <w:rFonts w:ascii="Times New Roman" w:hAnsi="Times New Roman" w:cs="Times New Roman"/>
        </w:rPr>
        <w:t>As with many randomized controlled trials, TRISCEND II applied strict inclusion and exclusion criteria, selecting a well-defined population that may not fully reflect the heterogeneity and complexity of patients treated in real-world clinical practice. The extent to which these trial results generalize to broader patient populations remains unclear</w:t>
      </w:r>
      <w:r w:rsidR="00DF4F16" w:rsidRPr="00DC1980">
        <w:rPr>
          <w:rFonts w:ascii="Times New Roman" w:hAnsi="Times New Roman" w:cs="Times New Roman"/>
        </w:rPr>
        <w:t xml:space="preserve">, </w:t>
      </w:r>
      <w:r w:rsidRPr="00DC1980">
        <w:rPr>
          <w:rFonts w:ascii="Times New Roman" w:hAnsi="Times New Roman" w:cs="Times New Roman"/>
        </w:rPr>
        <w:t>particularly among patients who would not have met trial eligibility criteria but still underwent TTVR based on clinical judgment.</w:t>
      </w:r>
      <w:r w:rsidR="00DF4F16" w:rsidRPr="00DC1980">
        <w:t xml:space="preserve"> </w:t>
      </w:r>
      <w:r w:rsidR="008410D8" w:rsidRPr="00DC1980">
        <w:t>A</w:t>
      </w:r>
      <w:r w:rsidR="008410D8" w:rsidRPr="00DC1980">
        <w:rPr>
          <w:rFonts w:ascii="Times New Roman" w:hAnsi="Times New Roman" w:cs="Times New Roman"/>
        </w:rPr>
        <w:t>lthough</w:t>
      </w:r>
      <w:r w:rsidR="00DF4F16" w:rsidRPr="00DC1980">
        <w:rPr>
          <w:rFonts w:ascii="Times New Roman" w:hAnsi="Times New Roman" w:cs="Times New Roman"/>
        </w:rPr>
        <w:t xml:space="preserve"> TTVR is rapidly evolving, real-world outcome data are limited, and predictors of</w:t>
      </w:r>
      <w:r w:rsidR="00E545F0" w:rsidRPr="00DC1980">
        <w:rPr>
          <w:rFonts w:ascii="Times New Roman" w:hAnsi="Times New Roman" w:cs="Times New Roman"/>
        </w:rPr>
        <w:t xml:space="preserve"> symptomatic benefits and </w:t>
      </w:r>
      <w:r w:rsidR="00DF4F16" w:rsidRPr="00DC1980">
        <w:rPr>
          <w:rFonts w:ascii="Times New Roman" w:hAnsi="Times New Roman" w:cs="Times New Roman"/>
        </w:rPr>
        <w:t>peri</w:t>
      </w:r>
      <w:r w:rsidR="008E353C" w:rsidRPr="00DC1980">
        <w:rPr>
          <w:rFonts w:ascii="Times New Roman" w:hAnsi="Times New Roman" w:cs="Times New Roman"/>
        </w:rPr>
        <w:t>-</w:t>
      </w:r>
      <w:r w:rsidR="00DF4F16" w:rsidRPr="00DC1980">
        <w:rPr>
          <w:rFonts w:ascii="Times New Roman" w:hAnsi="Times New Roman" w:cs="Times New Roman"/>
        </w:rPr>
        <w:t>procedural complications remain poorly characterized in routine practice.</w:t>
      </w:r>
    </w:p>
    <w:p w14:paraId="7F74C11D" w14:textId="2E8402C0" w:rsidR="008A055D" w:rsidRPr="00DC1980" w:rsidRDefault="008E353C" w:rsidP="00CB254F">
      <w:pPr>
        <w:spacing w:line="480" w:lineRule="auto"/>
        <w:jc w:val="both"/>
        <w:rPr>
          <w:rFonts w:ascii="Times New Roman" w:hAnsi="Times New Roman" w:cs="Times New Roman"/>
        </w:rPr>
      </w:pPr>
      <w:r w:rsidRPr="00DC1980">
        <w:rPr>
          <w:rFonts w:ascii="Times New Roman" w:hAnsi="Times New Roman" w:cs="Times New Roman"/>
        </w:rPr>
        <w:t xml:space="preserve">The </w:t>
      </w:r>
      <w:r w:rsidR="00F06CF6" w:rsidRPr="00DC1980">
        <w:rPr>
          <w:rFonts w:ascii="Times New Roman" w:hAnsi="Times New Roman" w:cs="Times New Roman"/>
        </w:rPr>
        <w:t xml:space="preserve">objective of this study was to evaluate a contemporary, </w:t>
      </w:r>
      <w:r w:rsidR="006678AB" w:rsidRPr="00DC1980">
        <w:rPr>
          <w:rFonts w:ascii="Times New Roman" w:hAnsi="Times New Roman" w:cs="Times New Roman"/>
        </w:rPr>
        <w:t>singe center</w:t>
      </w:r>
      <w:r w:rsidR="00F06CF6" w:rsidRPr="00DC1980">
        <w:rPr>
          <w:rFonts w:ascii="Times New Roman" w:hAnsi="Times New Roman" w:cs="Times New Roman"/>
        </w:rPr>
        <w:t xml:space="preserve"> cohort of patients undergoing TTVR and to stratify them based on their eligibility for the TRISCEND II trial. We </w:t>
      </w:r>
      <w:r w:rsidR="00F06CF6" w:rsidRPr="00DC1980">
        <w:rPr>
          <w:rFonts w:ascii="Times New Roman" w:hAnsi="Times New Roman" w:cs="Times New Roman"/>
        </w:rPr>
        <w:lastRenderedPageBreak/>
        <w:t xml:space="preserve">sought to compare baseline clinical characteristics, echocardiographic profiles, and </w:t>
      </w:r>
      <w:r w:rsidR="00E42736" w:rsidRPr="00DC1980">
        <w:rPr>
          <w:rFonts w:ascii="Times New Roman" w:hAnsi="Times New Roman" w:cs="Times New Roman"/>
        </w:rPr>
        <w:t>30 days</w:t>
      </w:r>
      <w:r w:rsidR="00F06CF6" w:rsidRPr="00DC1980">
        <w:rPr>
          <w:rFonts w:ascii="Times New Roman" w:hAnsi="Times New Roman" w:cs="Times New Roman"/>
        </w:rPr>
        <w:t xml:space="preserve"> clinical outcomes between TRISCEND II</w:t>
      </w:r>
      <w:r w:rsidR="008F6393" w:rsidRPr="00DC1980">
        <w:rPr>
          <w:rFonts w:ascii="Times New Roman" w:hAnsi="Times New Roman" w:cs="Times New Roman"/>
        </w:rPr>
        <w:t xml:space="preserve"> </w:t>
      </w:r>
      <w:r w:rsidR="00F06CF6" w:rsidRPr="00DC1980">
        <w:rPr>
          <w:rFonts w:ascii="Times New Roman" w:hAnsi="Times New Roman" w:cs="Times New Roman"/>
        </w:rPr>
        <w:t xml:space="preserve">eligible and </w:t>
      </w:r>
      <w:r w:rsidR="008F6393" w:rsidRPr="00DC1980">
        <w:rPr>
          <w:rFonts w:ascii="Times New Roman" w:hAnsi="Times New Roman" w:cs="Times New Roman"/>
        </w:rPr>
        <w:t>non-</w:t>
      </w:r>
      <w:r w:rsidR="00F06CF6" w:rsidRPr="00DC1980">
        <w:rPr>
          <w:rFonts w:ascii="Times New Roman" w:hAnsi="Times New Roman" w:cs="Times New Roman"/>
        </w:rPr>
        <w:t xml:space="preserve">eligible patients. </w:t>
      </w:r>
    </w:p>
    <w:p w14:paraId="3FB8BC65" w14:textId="2BF090F9" w:rsidR="00797F44" w:rsidRPr="00DC1980" w:rsidRDefault="00797F44" w:rsidP="00CB254F">
      <w:pPr>
        <w:spacing w:line="480" w:lineRule="auto"/>
        <w:rPr>
          <w:rFonts w:ascii="Times New Roman" w:hAnsi="Times New Roman" w:cs="Times New Roman"/>
          <w:b/>
          <w:bCs/>
          <w:sz w:val="28"/>
          <w:szCs w:val="28"/>
        </w:rPr>
      </w:pPr>
      <w:r w:rsidRPr="00DC1980">
        <w:rPr>
          <w:rFonts w:ascii="Times New Roman" w:hAnsi="Times New Roman" w:cs="Times New Roman"/>
          <w:b/>
          <w:bCs/>
          <w:sz w:val="28"/>
          <w:szCs w:val="28"/>
        </w:rPr>
        <w:t>Methods</w:t>
      </w:r>
    </w:p>
    <w:p w14:paraId="2D2047DC" w14:textId="77777777" w:rsidR="00797F44" w:rsidRPr="00DC1980" w:rsidRDefault="00797F44" w:rsidP="00CB254F">
      <w:pPr>
        <w:spacing w:line="480" w:lineRule="auto"/>
        <w:rPr>
          <w:rFonts w:ascii="Times New Roman" w:hAnsi="Times New Roman" w:cs="Times New Roman"/>
          <w:i/>
          <w:iCs/>
        </w:rPr>
      </w:pPr>
      <w:r w:rsidRPr="00DC1980">
        <w:rPr>
          <w:rFonts w:ascii="Times New Roman" w:hAnsi="Times New Roman" w:cs="Times New Roman"/>
          <w:i/>
          <w:iCs/>
        </w:rPr>
        <w:t>Study Cohort and Procedural Technique</w:t>
      </w:r>
    </w:p>
    <w:p w14:paraId="4E36AB7C" w14:textId="2F8820F0" w:rsidR="00797F44" w:rsidRPr="00DC1980" w:rsidRDefault="004F3C59" w:rsidP="00CB254F">
      <w:pPr>
        <w:spacing w:line="480" w:lineRule="auto"/>
        <w:jc w:val="both"/>
        <w:rPr>
          <w:rFonts w:ascii="Times New Roman" w:hAnsi="Times New Roman" w:cs="Times New Roman"/>
        </w:rPr>
      </w:pPr>
      <w:r w:rsidRPr="00DC1980">
        <w:rPr>
          <w:rFonts w:ascii="Times New Roman" w:hAnsi="Times New Roman" w:cs="Times New Roman"/>
        </w:rPr>
        <w:t xml:space="preserve">This study retrospectively analyzed a single-center database of 112 patients who underwent TTVR for symptomatic tricuspid regurgitation </w:t>
      </w:r>
      <w:r w:rsidR="0045484A" w:rsidRPr="00DC1980">
        <w:rPr>
          <w:rFonts w:ascii="Times New Roman" w:hAnsi="Times New Roman" w:cs="Times New Roman"/>
        </w:rPr>
        <w:t xml:space="preserve">at </w:t>
      </w:r>
      <w:r w:rsidR="005625BC" w:rsidRPr="00DC1980">
        <w:rPr>
          <w:rFonts w:ascii="Times New Roman" w:hAnsi="Times New Roman" w:cs="Times New Roman"/>
        </w:rPr>
        <w:t>a single, tertiary care center</w:t>
      </w:r>
      <w:r w:rsidR="00987ABC" w:rsidRPr="00DC1980">
        <w:rPr>
          <w:rFonts w:ascii="Times New Roman" w:hAnsi="Times New Roman" w:cs="Times New Roman"/>
        </w:rPr>
        <w:t xml:space="preserve"> </w:t>
      </w:r>
      <w:r w:rsidR="0045484A" w:rsidRPr="00DC1980">
        <w:rPr>
          <w:rFonts w:ascii="Times New Roman" w:hAnsi="Times New Roman" w:cs="Times New Roman"/>
        </w:rPr>
        <w:t xml:space="preserve">between </w:t>
      </w:r>
      <w:r w:rsidR="009E0472" w:rsidRPr="00DC1980">
        <w:rPr>
          <w:rFonts w:ascii="Times New Roman" w:hAnsi="Times New Roman" w:cs="Times New Roman"/>
        </w:rPr>
        <w:t>February</w:t>
      </w:r>
      <w:r w:rsidR="00C320E1" w:rsidRPr="00DC1980">
        <w:rPr>
          <w:rFonts w:ascii="Times New Roman" w:hAnsi="Times New Roman" w:cs="Times New Roman"/>
        </w:rPr>
        <w:t xml:space="preserve"> </w:t>
      </w:r>
      <w:r w:rsidR="0045484A" w:rsidRPr="00DC1980">
        <w:rPr>
          <w:rFonts w:ascii="Times New Roman" w:hAnsi="Times New Roman" w:cs="Times New Roman"/>
        </w:rPr>
        <w:t xml:space="preserve">2024 and </w:t>
      </w:r>
      <w:r w:rsidR="009E0472" w:rsidRPr="00DC1980">
        <w:rPr>
          <w:rFonts w:ascii="Times New Roman" w:hAnsi="Times New Roman" w:cs="Times New Roman"/>
        </w:rPr>
        <w:t>April</w:t>
      </w:r>
      <w:r w:rsidR="00C320E1" w:rsidRPr="00DC1980">
        <w:rPr>
          <w:rFonts w:ascii="Times New Roman" w:hAnsi="Times New Roman" w:cs="Times New Roman"/>
        </w:rPr>
        <w:t xml:space="preserve"> </w:t>
      </w:r>
      <w:r w:rsidR="0045484A" w:rsidRPr="00DC1980">
        <w:rPr>
          <w:rFonts w:ascii="Times New Roman" w:hAnsi="Times New Roman" w:cs="Times New Roman"/>
        </w:rPr>
        <w:t>2025. Patient eligibility and treatment decisions were made by a multidisciplinary heart team, considering clinical characteristics, comorbidities, and procedural risk. All patients received optimized medical therapy, including diuretics and heart failure medications, prior to TTVR.</w:t>
      </w:r>
      <w:r w:rsidR="000948D0" w:rsidRPr="00DC1980">
        <w:rPr>
          <w:rFonts w:ascii="Times New Roman" w:hAnsi="Times New Roman" w:cs="Times New Roman"/>
        </w:rPr>
        <w:t xml:space="preserve"> </w:t>
      </w:r>
      <w:r w:rsidR="00797F44" w:rsidRPr="00DC1980">
        <w:rPr>
          <w:rFonts w:ascii="Times New Roman" w:hAnsi="Times New Roman" w:cs="Times New Roman"/>
        </w:rPr>
        <w:t>Procedural details of TTVR were consistent with previously described techniques</w:t>
      </w:r>
      <w:r w:rsidR="009A1FBE" w:rsidRPr="00DC1980">
        <w:rPr>
          <w:rFonts w:ascii="Times New Roman" w:hAnsi="Times New Roman" w:cs="Times New Roman"/>
        </w:rPr>
        <w:t>.</w:t>
      </w:r>
      <w:r w:rsidR="006B4AEE" w:rsidRPr="00DC1980">
        <w:rPr>
          <w:rFonts w:ascii="Times New Roman" w:hAnsi="Times New Roman" w:cs="Times New Roman"/>
          <w:noProof/>
          <w:vertAlign w:val="superscript"/>
        </w:rPr>
        <w:t xml:space="preserve"> 5,9,</w:t>
      </w:r>
      <w:proofErr w:type="gramStart"/>
      <w:r w:rsidR="006B4AEE" w:rsidRPr="00DC1980">
        <w:rPr>
          <w:rFonts w:ascii="Times New Roman" w:hAnsi="Times New Roman" w:cs="Times New Roman"/>
          <w:noProof/>
          <w:vertAlign w:val="superscript"/>
        </w:rPr>
        <w:t>10</w:t>
      </w:r>
      <w:r w:rsidR="00797F44" w:rsidRPr="00DC1980">
        <w:rPr>
          <w:rFonts w:ascii="Times New Roman" w:hAnsi="Times New Roman" w:cs="Times New Roman"/>
        </w:rPr>
        <w:t xml:space="preserve">  </w:t>
      </w:r>
      <w:r w:rsidR="003B6350" w:rsidRPr="00DC1980">
        <w:rPr>
          <w:rFonts w:ascii="Times New Roman" w:hAnsi="Times New Roman" w:cs="Times New Roman"/>
        </w:rPr>
        <w:t>Patients</w:t>
      </w:r>
      <w:proofErr w:type="gramEnd"/>
      <w:r w:rsidR="003B6350" w:rsidRPr="00DC1980">
        <w:rPr>
          <w:rFonts w:ascii="Times New Roman" w:hAnsi="Times New Roman" w:cs="Times New Roman"/>
        </w:rPr>
        <w:t xml:space="preserve"> received </w:t>
      </w:r>
      <w:r w:rsidR="00DE044B" w:rsidRPr="00DC1980">
        <w:rPr>
          <w:rFonts w:ascii="Times New Roman" w:hAnsi="Times New Roman" w:cs="Times New Roman"/>
        </w:rPr>
        <w:t>oral anticoagulation for at least six months postoperatively.</w:t>
      </w:r>
      <w:r w:rsidR="006B4AEE" w:rsidRPr="00DC1980">
        <w:rPr>
          <w:rFonts w:ascii="Times New Roman" w:hAnsi="Times New Roman" w:cs="Times New Roman"/>
          <w:noProof/>
          <w:vertAlign w:val="superscript"/>
        </w:rPr>
        <w:t xml:space="preserve"> 9,10</w:t>
      </w:r>
      <w:r w:rsidR="00330BC6" w:rsidRPr="00DC1980">
        <w:rPr>
          <w:rFonts w:ascii="Times New Roman" w:hAnsi="Times New Roman" w:cs="Times New Roman"/>
        </w:rPr>
        <w:t xml:space="preserve"> </w:t>
      </w:r>
      <w:r w:rsidR="00797F44" w:rsidRPr="00DC1980">
        <w:rPr>
          <w:rFonts w:ascii="Times New Roman" w:hAnsi="Times New Roman" w:cs="Times New Roman"/>
        </w:rPr>
        <w:t>Clinical data were collected at baseline, discharge and 30-day follow-up.</w:t>
      </w:r>
    </w:p>
    <w:p w14:paraId="781F25E5" w14:textId="14A1EF6C" w:rsidR="00797F44" w:rsidRPr="00DC1980" w:rsidRDefault="00797F44" w:rsidP="00CB254F">
      <w:pPr>
        <w:spacing w:line="480" w:lineRule="auto"/>
        <w:rPr>
          <w:rFonts w:ascii="Times New Roman" w:hAnsi="Times New Roman" w:cs="Times New Roman"/>
          <w:i/>
          <w:iCs/>
        </w:rPr>
      </w:pPr>
      <w:r w:rsidRPr="00DC1980">
        <w:rPr>
          <w:rFonts w:ascii="Times New Roman" w:hAnsi="Times New Roman" w:cs="Times New Roman"/>
          <w:i/>
          <w:iCs/>
        </w:rPr>
        <w:t>TRISCEND II Trial Eligibility</w:t>
      </w:r>
    </w:p>
    <w:p w14:paraId="1045D326" w14:textId="010BEA52" w:rsidR="00D71758" w:rsidRPr="00DC1980" w:rsidRDefault="00797F44" w:rsidP="00CB254F">
      <w:pPr>
        <w:spacing w:line="480" w:lineRule="auto"/>
        <w:jc w:val="both"/>
        <w:rPr>
          <w:rFonts w:ascii="Times New Roman" w:hAnsi="Times New Roman" w:cs="Times New Roman"/>
        </w:rPr>
      </w:pPr>
      <w:r w:rsidRPr="00DC1980">
        <w:rPr>
          <w:rFonts w:ascii="Times New Roman" w:hAnsi="Times New Roman" w:cs="Times New Roman"/>
        </w:rPr>
        <w:t>Patients were stratified based on eligibility criteria from the TRISCEND II trial, which evaluate</w:t>
      </w:r>
      <w:r w:rsidR="005875B9" w:rsidRPr="00DC1980">
        <w:rPr>
          <w:rFonts w:ascii="Times New Roman" w:hAnsi="Times New Roman" w:cs="Times New Roman"/>
        </w:rPr>
        <w:t>d</w:t>
      </w:r>
      <w:r w:rsidRPr="00DC1980">
        <w:rPr>
          <w:rFonts w:ascii="Times New Roman" w:hAnsi="Times New Roman" w:cs="Times New Roman"/>
        </w:rPr>
        <w:t xml:space="preserve"> </w:t>
      </w:r>
      <w:r w:rsidR="005875B9" w:rsidRPr="00DC1980">
        <w:rPr>
          <w:rFonts w:ascii="Times New Roman" w:hAnsi="Times New Roman" w:cs="Times New Roman"/>
        </w:rPr>
        <w:t xml:space="preserve">the </w:t>
      </w:r>
      <w:r w:rsidRPr="00DC1980">
        <w:rPr>
          <w:rFonts w:ascii="Times New Roman" w:hAnsi="Times New Roman" w:cs="Times New Roman"/>
        </w:rPr>
        <w:t>safety and efficacy of TTVR</w:t>
      </w:r>
      <w:r w:rsidR="005875B9" w:rsidRPr="00DC1980">
        <w:rPr>
          <w:rFonts w:ascii="Times New Roman" w:hAnsi="Times New Roman" w:cs="Times New Roman"/>
        </w:rPr>
        <w:t xml:space="preserve"> as compared with medical therapy</w:t>
      </w:r>
      <w:r w:rsidRPr="00DC1980">
        <w:rPr>
          <w:rFonts w:ascii="Times New Roman" w:hAnsi="Times New Roman" w:cs="Times New Roman"/>
        </w:rPr>
        <w:t>. Eligibility was adjudicated by review of pre-procedural clinical</w:t>
      </w:r>
      <w:r w:rsidR="005875B9" w:rsidRPr="00DC1980">
        <w:rPr>
          <w:rFonts w:ascii="Times New Roman" w:hAnsi="Times New Roman" w:cs="Times New Roman"/>
        </w:rPr>
        <w:t xml:space="preserve"> data</w:t>
      </w:r>
      <w:r w:rsidR="00B57196" w:rsidRPr="00DC1980">
        <w:rPr>
          <w:rFonts w:ascii="Times New Roman" w:hAnsi="Times New Roman" w:cs="Times New Roman"/>
        </w:rPr>
        <w:t xml:space="preserve">. </w:t>
      </w:r>
      <w:r w:rsidR="00D71758" w:rsidRPr="00DC1980">
        <w:rPr>
          <w:rFonts w:ascii="Times New Roman" w:hAnsi="Times New Roman" w:cs="Times New Roman"/>
        </w:rPr>
        <w:t xml:space="preserve">Patients eligible for the TRISCEND II trial were required to meet </w:t>
      </w:r>
      <w:r w:rsidR="008015EF" w:rsidRPr="00DC1980">
        <w:rPr>
          <w:rFonts w:ascii="Times New Roman" w:hAnsi="Times New Roman" w:cs="Times New Roman"/>
        </w:rPr>
        <w:t>all</w:t>
      </w:r>
      <w:r w:rsidR="00D71758" w:rsidRPr="00DC1980">
        <w:rPr>
          <w:rFonts w:ascii="Times New Roman" w:hAnsi="Times New Roman" w:cs="Times New Roman"/>
        </w:rPr>
        <w:t xml:space="preserve"> the following inclusion criteria: age ≥18 years; symptomatic functional or degenerative severe or greater tricuspid regurgitation despite optimized medical therapy (including stable oral diuretics); and deemed appropriate candidates for transcatheter tricuspid valve replacement by a multidisciplinary heart team</w:t>
      </w:r>
      <w:r w:rsidR="004B1AD8" w:rsidRPr="00DC1980">
        <w:rPr>
          <w:rFonts w:ascii="Times New Roman" w:hAnsi="Times New Roman" w:cs="Times New Roman"/>
        </w:rPr>
        <w:t xml:space="preserve"> based on clinical and anatomical factors</w:t>
      </w:r>
      <w:r w:rsidR="00D71758" w:rsidRPr="00DC1980">
        <w:rPr>
          <w:rFonts w:ascii="Times New Roman" w:hAnsi="Times New Roman" w:cs="Times New Roman"/>
        </w:rPr>
        <w:t xml:space="preserve">. </w:t>
      </w:r>
    </w:p>
    <w:p w14:paraId="68188013" w14:textId="3D246DE6" w:rsidR="009A740C" w:rsidRPr="00DC1980" w:rsidRDefault="00D71758" w:rsidP="00CB254F">
      <w:pPr>
        <w:spacing w:line="480" w:lineRule="auto"/>
        <w:jc w:val="both"/>
      </w:pPr>
      <w:r w:rsidRPr="00DC1980">
        <w:rPr>
          <w:rFonts w:ascii="Times New Roman" w:hAnsi="Times New Roman" w:cs="Times New Roman"/>
        </w:rPr>
        <w:t xml:space="preserve">Exclusion criteria encompassed conditions that could compromise procedural success or patient safety, including severely reduced left ventricular ejection fraction (&lt;25%), severe right ventricular </w:t>
      </w:r>
      <w:r w:rsidRPr="00DC1980">
        <w:rPr>
          <w:rFonts w:ascii="Times New Roman" w:hAnsi="Times New Roman" w:cs="Times New Roman"/>
        </w:rPr>
        <w:lastRenderedPageBreak/>
        <w:t>dysfunction, prohibitive pulmonary hypertension, prior tricuspid valve surgery or intervention, presence of recent trans-tricuspid pacemaker leads with contraindications, significant concomitant valvular disease requiring intervention, active infection, hemodynamically significant pericardial effusion or intracardiac masses, severe renal or hepatic dysfunction, recent cardiovascular procedures, and other comorbidities limiting life expectancy or trial compliance. Additionally, anatomical factors preventing safe device delivery and deployment, inability to access the femoral venous route, or contraindications to study medications or device components were also exclusionary</w:t>
      </w:r>
      <w:r w:rsidR="00C23108" w:rsidRPr="00DC1980">
        <w:rPr>
          <w:rFonts w:ascii="Times New Roman" w:hAnsi="Times New Roman" w:cs="Times New Roman"/>
        </w:rPr>
        <w:t xml:space="preserve">. </w:t>
      </w:r>
      <w:r w:rsidR="00FC182B" w:rsidRPr="00DC1980">
        <w:rPr>
          <w:rFonts w:ascii="Times New Roman" w:hAnsi="Times New Roman" w:cs="Times New Roman"/>
        </w:rPr>
        <w:t xml:space="preserve">The design </w:t>
      </w:r>
      <w:r w:rsidR="00D80BA4" w:rsidRPr="00DC1980">
        <w:rPr>
          <w:rFonts w:ascii="Times New Roman" w:hAnsi="Times New Roman" w:cs="Times New Roman"/>
        </w:rPr>
        <w:t>of the TRISCEND II pivotal trial have been previously published.</w:t>
      </w:r>
      <w:r w:rsidR="006B4AEE" w:rsidRPr="00DC1980">
        <w:rPr>
          <w:rFonts w:ascii="Times New Roman" w:hAnsi="Times New Roman" w:cs="Times New Roman"/>
          <w:noProof/>
          <w:vertAlign w:val="superscript"/>
        </w:rPr>
        <w:t xml:space="preserve"> 11</w:t>
      </w:r>
      <w:r w:rsidR="00D80BA4" w:rsidRPr="00DC1980">
        <w:rPr>
          <w:rFonts w:ascii="Times New Roman" w:hAnsi="Times New Roman" w:cs="Times New Roman"/>
        </w:rPr>
        <w:t xml:space="preserve"> </w:t>
      </w:r>
      <w:r w:rsidR="00797F44" w:rsidRPr="00DC1980">
        <w:rPr>
          <w:rFonts w:ascii="Times New Roman" w:hAnsi="Times New Roman" w:cs="Times New Roman"/>
        </w:rPr>
        <w:t>Patients were classified as TRISCEND II eligible or non-eligible for subgroup analyses.</w:t>
      </w:r>
      <w:r w:rsidR="00AC7803" w:rsidRPr="00DC1980">
        <w:t xml:space="preserve"> </w:t>
      </w:r>
    </w:p>
    <w:p w14:paraId="6A7C356B" w14:textId="7D03AF20" w:rsidR="00797F44" w:rsidRPr="00DC1980" w:rsidRDefault="00AC7803" w:rsidP="00CB254F">
      <w:pPr>
        <w:spacing w:line="480" w:lineRule="auto"/>
        <w:jc w:val="both"/>
        <w:rPr>
          <w:rFonts w:ascii="Times New Roman" w:hAnsi="Times New Roman" w:cs="Times New Roman"/>
        </w:rPr>
      </w:pPr>
      <w:r w:rsidRPr="00DC1980">
        <w:rPr>
          <w:rFonts w:ascii="Times New Roman" w:hAnsi="Times New Roman" w:cs="Times New Roman"/>
        </w:rPr>
        <w:t>In this study, right ventricular systolic pressure (RVSP) was measured via echocardiography and used as a surrogate for pulmonary artery systolic pressure (PASP) to evaluate pulmonary hypertension, aligning with current clinical practice.</w:t>
      </w:r>
      <w:r w:rsidR="006B4AEE" w:rsidRPr="00DC1980">
        <w:rPr>
          <w:rFonts w:ascii="Times New Roman" w:hAnsi="Times New Roman" w:cs="Times New Roman"/>
          <w:noProof/>
          <w:vertAlign w:val="superscript"/>
        </w:rPr>
        <w:t xml:space="preserve"> 12</w:t>
      </w:r>
    </w:p>
    <w:p w14:paraId="1D6D6E84" w14:textId="77777777" w:rsidR="00797F44" w:rsidRPr="00DC1980" w:rsidRDefault="00797F44" w:rsidP="00CB254F">
      <w:pPr>
        <w:spacing w:line="480" w:lineRule="auto"/>
        <w:rPr>
          <w:rFonts w:ascii="Times New Roman" w:hAnsi="Times New Roman" w:cs="Times New Roman"/>
          <w:i/>
          <w:iCs/>
        </w:rPr>
      </w:pPr>
      <w:r w:rsidRPr="00DC1980">
        <w:rPr>
          <w:rFonts w:ascii="Times New Roman" w:hAnsi="Times New Roman" w:cs="Times New Roman"/>
          <w:i/>
          <w:iCs/>
        </w:rPr>
        <w:t>Data Collection and Outcomes</w:t>
      </w:r>
    </w:p>
    <w:p w14:paraId="42BFD2EE" w14:textId="30741C98" w:rsidR="00797F44" w:rsidRPr="00DC1980" w:rsidRDefault="00797F44" w:rsidP="00CB254F">
      <w:pPr>
        <w:spacing w:line="480" w:lineRule="auto"/>
        <w:jc w:val="both"/>
        <w:rPr>
          <w:rFonts w:ascii="Times New Roman" w:hAnsi="Times New Roman" w:cs="Times New Roman"/>
        </w:rPr>
      </w:pPr>
      <w:r w:rsidRPr="00DC1980">
        <w:rPr>
          <w:rFonts w:ascii="Times New Roman" w:hAnsi="Times New Roman" w:cs="Times New Roman"/>
        </w:rPr>
        <w:t xml:space="preserve">Baseline demographics, comorbidities, echocardiographic and procedural data were obtained through medical records. </w:t>
      </w:r>
      <w:r w:rsidR="008465BC" w:rsidRPr="00DC1980">
        <w:rPr>
          <w:rFonts w:ascii="Times New Roman" w:hAnsi="Times New Roman" w:cs="Times New Roman"/>
        </w:rPr>
        <w:t>Clinical outcomes assessed at 30 days post-procedure included all-cause mortality, heart failure symptoms evaluated by the New York Heart Association (NYHA) functional classification, and functional status. Quality of life was measured using the</w:t>
      </w:r>
      <w:r w:rsidR="002D55D7" w:rsidRPr="00DC1980">
        <w:t xml:space="preserve"> </w:t>
      </w:r>
      <w:r w:rsidR="002D55D7" w:rsidRPr="00DC1980">
        <w:rPr>
          <w:rFonts w:ascii="Times New Roman" w:hAnsi="Times New Roman" w:cs="Times New Roman"/>
        </w:rPr>
        <w:t>Kansas City Cardiomyopathy Questionnaire (KCCQ)</w:t>
      </w:r>
      <w:r w:rsidR="008465BC" w:rsidRPr="00DC1980">
        <w:rPr>
          <w:rFonts w:ascii="Times New Roman" w:hAnsi="Times New Roman" w:cs="Times New Roman"/>
        </w:rPr>
        <w:t xml:space="preserve"> test. </w:t>
      </w:r>
      <w:r w:rsidR="00592D7C" w:rsidRPr="00DC1980">
        <w:rPr>
          <w:rFonts w:ascii="Times New Roman" w:hAnsi="Times New Roman" w:cs="Times New Roman"/>
        </w:rPr>
        <w:t>Major bleeding was defined according to the Mitral Valve Academic Research Consortium (MVARC).</w:t>
      </w:r>
      <w:r w:rsidR="006B4AEE" w:rsidRPr="00DC1980">
        <w:rPr>
          <w:rFonts w:ascii="Times New Roman" w:hAnsi="Times New Roman" w:cs="Times New Roman"/>
          <w:noProof/>
          <w:vertAlign w:val="superscript"/>
        </w:rPr>
        <w:t xml:space="preserve"> 13</w:t>
      </w:r>
      <w:r w:rsidR="00592D7C" w:rsidRPr="00DC1980">
        <w:rPr>
          <w:rFonts w:ascii="Times New Roman" w:hAnsi="Times New Roman" w:cs="Times New Roman"/>
        </w:rPr>
        <w:t xml:space="preserve"> </w:t>
      </w:r>
      <w:r w:rsidR="006A504C" w:rsidRPr="00DC1980">
        <w:rPr>
          <w:rFonts w:ascii="Times New Roman" w:hAnsi="Times New Roman" w:cs="Times New Roman"/>
        </w:rPr>
        <w:t xml:space="preserve">Device-related events were </w:t>
      </w:r>
      <w:r w:rsidR="00136DD6" w:rsidRPr="00DC1980">
        <w:rPr>
          <w:rFonts w:ascii="Times New Roman" w:hAnsi="Times New Roman" w:cs="Times New Roman"/>
        </w:rPr>
        <w:t>any unfavorable medical occurrence linked to a medical device's use, design, or malfunction, suggesting it caused or could cause harm, injury, or death</w:t>
      </w:r>
      <w:r w:rsidR="006A504C" w:rsidRPr="00DC1980">
        <w:rPr>
          <w:rFonts w:ascii="Times New Roman" w:hAnsi="Times New Roman" w:cs="Times New Roman"/>
        </w:rPr>
        <w:t xml:space="preserve">. </w:t>
      </w:r>
      <w:r w:rsidR="004037B7" w:rsidRPr="00DC1980">
        <w:rPr>
          <w:rFonts w:ascii="Times New Roman" w:hAnsi="Times New Roman" w:cs="Times New Roman"/>
        </w:rPr>
        <w:t xml:space="preserve">Experienced echocardiographers performed all assessments in alignment with current professional society recommendations. </w:t>
      </w:r>
      <w:r w:rsidR="00732DBB" w:rsidRPr="00DC1980">
        <w:rPr>
          <w:rFonts w:ascii="Times New Roman" w:hAnsi="Times New Roman" w:cs="Times New Roman"/>
        </w:rPr>
        <w:t xml:space="preserve">The study protocol was approved </w:t>
      </w:r>
      <w:r w:rsidR="00732DBB" w:rsidRPr="00DC1980">
        <w:rPr>
          <w:rFonts w:ascii="Times New Roman" w:hAnsi="Times New Roman" w:cs="Times New Roman"/>
        </w:rPr>
        <w:lastRenderedPageBreak/>
        <w:t>by the local ethics committee, and all patient data were collected in accordance with institutional guidelines</w:t>
      </w:r>
      <w:r w:rsidR="004B44C2" w:rsidRPr="00DC1980">
        <w:rPr>
          <w:rFonts w:ascii="Times New Roman" w:hAnsi="Times New Roman" w:cs="Times New Roman"/>
        </w:rPr>
        <w:t xml:space="preserve">. </w:t>
      </w:r>
    </w:p>
    <w:p w14:paraId="640490FF" w14:textId="77777777" w:rsidR="00797F44" w:rsidRPr="00DC1980" w:rsidRDefault="00797F44" w:rsidP="00CB254F">
      <w:pPr>
        <w:spacing w:line="480" w:lineRule="auto"/>
        <w:jc w:val="both"/>
        <w:rPr>
          <w:rFonts w:ascii="Times New Roman" w:hAnsi="Times New Roman" w:cs="Times New Roman"/>
          <w:i/>
          <w:iCs/>
        </w:rPr>
      </w:pPr>
      <w:r w:rsidRPr="00DC1980">
        <w:rPr>
          <w:rFonts w:ascii="Times New Roman" w:hAnsi="Times New Roman" w:cs="Times New Roman"/>
          <w:i/>
          <w:iCs/>
        </w:rPr>
        <w:t>Statistical Analysis</w:t>
      </w:r>
    </w:p>
    <w:p w14:paraId="5CD6462E" w14:textId="77777777" w:rsidR="00612B71" w:rsidRPr="00DC1980" w:rsidRDefault="00612B71" w:rsidP="00CB254F">
      <w:pPr>
        <w:spacing w:line="480" w:lineRule="auto"/>
        <w:jc w:val="both"/>
        <w:rPr>
          <w:rFonts w:ascii="Times New Roman" w:hAnsi="Times New Roman" w:cs="Times New Roman"/>
        </w:rPr>
      </w:pPr>
      <w:r w:rsidRPr="00DC1980">
        <w:rPr>
          <w:rFonts w:ascii="Times New Roman" w:hAnsi="Times New Roman" w:cs="Times New Roman"/>
        </w:rPr>
        <w:t>Continuous variables were tested for normality using the Shapiro-Wilk test of normality and reported as mean ± standard deviation or median (interquartile range) accordingly. Categorical variables were expressed as counts and percentages. Between-group comparisons for continuous variables used t-tests or Kruskal-Wallis Rank Sum tests as appropriate; categorical variables were compared using Fisher’s exact tests. Changes from baseline to 30 days were assessed using paired tests (e.g., Wilcoxon signed-rank test).</w:t>
      </w:r>
    </w:p>
    <w:p w14:paraId="234F3B50" w14:textId="77777777" w:rsidR="00612B71" w:rsidRPr="00DC1980" w:rsidRDefault="00612B71" w:rsidP="00CB254F">
      <w:pPr>
        <w:spacing w:line="480" w:lineRule="auto"/>
        <w:jc w:val="both"/>
        <w:rPr>
          <w:rFonts w:ascii="Times New Roman" w:hAnsi="Times New Roman" w:cs="Times New Roman"/>
        </w:rPr>
      </w:pPr>
      <w:r w:rsidRPr="00DC1980">
        <w:rPr>
          <w:rFonts w:ascii="Times New Roman" w:hAnsi="Times New Roman" w:cs="Times New Roman"/>
        </w:rPr>
        <w:t xml:space="preserve">Statistical significance was defined as </w:t>
      </w:r>
      <w:r w:rsidRPr="00DC1980">
        <w:rPr>
          <w:rFonts w:ascii="Times New Roman" w:hAnsi="Times New Roman" w:cs="Times New Roman"/>
          <w:i/>
          <w:iCs/>
        </w:rPr>
        <w:t>p</w:t>
      </w:r>
      <w:r w:rsidRPr="00DC1980">
        <w:rPr>
          <w:rFonts w:ascii="Times New Roman" w:hAnsi="Times New Roman" w:cs="Times New Roman"/>
        </w:rPr>
        <w:t xml:space="preserve"> &lt; 0.05. Statistical analyses were conducted using RStudio version 2024.04.2.</w:t>
      </w:r>
    </w:p>
    <w:p w14:paraId="0A7F040F" w14:textId="27368D1E" w:rsidR="005B0859" w:rsidRPr="00DC1980" w:rsidRDefault="005B0859" w:rsidP="00CB254F">
      <w:pPr>
        <w:spacing w:line="480" w:lineRule="auto"/>
        <w:rPr>
          <w:rFonts w:ascii="Times New Roman" w:hAnsi="Times New Roman" w:cs="Times New Roman"/>
          <w:b/>
          <w:bCs/>
          <w:sz w:val="28"/>
          <w:szCs w:val="28"/>
        </w:rPr>
      </w:pPr>
      <w:r w:rsidRPr="00DC1980">
        <w:rPr>
          <w:rFonts w:ascii="Times New Roman" w:hAnsi="Times New Roman" w:cs="Times New Roman"/>
          <w:b/>
          <w:bCs/>
          <w:sz w:val="28"/>
          <w:szCs w:val="28"/>
        </w:rPr>
        <w:t>Results</w:t>
      </w:r>
    </w:p>
    <w:p w14:paraId="45CB66ED" w14:textId="6116EE03" w:rsidR="005B0859" w:rsidRPr="00DC1980" w:rsidRDefault="005B0859" w:rsidP="00CB254F">
      <w:pPr>
        <w:spacing w:line="480" w:lineRule="auto"/>
        <w:jc w:val="both"/>
        <w:rPr>
          <w:rFonts w:ascii="Times New Roman" w:hAnsi="Times New Roman" w:cs="Times New Roman"/>
        </w:rPr>
      </w:pPr>
      <w:r w:rsidRPr="00DC1980">
        <w:rPr>
          <w:rFonts w:ascii="Times New Roman" w:hAnsi="Times New Roman" w:cs="Times New Roman"/>
        </w:rPr>
        <w:t xml:space="preserve">A total of 112 patients underwent TTVR between 2024 and 2025 at our institution. Among these, </w:t>
      </w:r>
      <w:r w:rsidR="0095275E" w:rsidRPr="00DC1980">
        <w:rPr>
          <w:rFonts w:ascii="Times New Roman" w:hAnsi="Times New Roman" w:cs="Times New Roman"/>
        </w:rPr>
        <w:t>47</w:t>
      </w:r>
      <w:r w:rsidRPr="00DC1980">
        <w:rPr>
          <w:rFonts w:ascii="Times New Roman" w:hAnsi="Times New Roman" w:cs="Times New Roman"/>
        </w:rPr>
        <w:t xml:space="preserve"> patients (</w:t>
      </w:r>
      <w:r w:rsidR="0095275E" w:rsidRPr="00DC1980">
        <w:rPr>
          <w:rFonts w:ascii="Times New Roman" w:hAnsi="Times New Roman" w:cs="Times New Roman"/>
        </w:rPr>
        <w:t>42</w:t>
      </w:r>
      <w:r w:rsidRPr="00DC1980">
        <w:rPr>
          <w:rFonts w:ascii="Times New Roman" w:hAnsi="Times New Roman" w:cs="Times New Roman"/>
        </w:rPr>
        <w:t xml:space="preserve">%) met the eligibility criteria for the TRISCEND II trial, while </w:t>
      </w:r>
      <w:r w:rsidR="0095275E" w:rsidRPr="00DC1980">
        <w:rPr>
          <w:rFonts w:ascii="Times New Roman" w:hAnsi="Times New Roman" w:cs="Times New Roman"/>
        </w:rPr>
        <w:t>65</w:t>
      </w:r>
      <w:r w:rsidRPr="00DC1980">
        <w:rPr>
          <w:rFonts w:ascii="Times New Roman" w:hAnsi="Times New Roman" w:cs="Times New Roman"/>
        </w:rPr>
        <w:t xml:space="preserve"> patients (</w:t>
      </w:r>
      <w:r w:rsidR="0095275E" w:rsidRPr="00DC1980">
        <w:rPr>
          <w:rFonts w:ascii="Times New Roman" w:hAnsi="Times New Roman" w:cs="Times New Roman"/>
        </w:rPr>
        <w:t>58</w:t>
      </w:r>
      <w:r w:rsidRPr="00DC1980">
        <w:rPr>
          <w:rFonts w:ascii="Times New Roman" w:hAnsi="Times New Roman" w:cs="Times New Roman"/>
        </w:rPr>
        <w:t xml:space="preserve">%) were considered </w:t>
      </w:r>
      <w:r w:rsidR="008F6393" w:rsidRPr="00DC1980">
        <w:rPr>
          <w:rFonts w:ascii="Times New Roman" w:hAnsi="Times New Roman" w:cs="Times New Roman"/>
        </w:rPr>
        <w:t>non-</w:t>
      </w:r>
      <w:r w:rsidR="00500FDC" w:rsidRPr="00DC1980">
        <w:rPr>
          <w:rFonts w:ascii="Times New Roman" w:hAnsi="Times New Roman" w:cs="Times New Roman"/>
        </w:rPr>
        <w:t>eligible</w:t>
      </w:r>
      <w:r w:rsidRPr="00DC1980">
        <w:rPr>
          <w:rFonts w:ascii="Times New Roman" w:hAnsi="Times New Roman" w:cs="Times New Roman"/>
        </w:rPr>
        <w:t xml:space="preserve"> (Figure 1). Reasons for ineligibility were multifactorial, with most patients meeting ≥2 exclusion criteria. The most common exclusions included significant cardiac comorbidities such as </w:t>
      </w:r>
      <w:r w:rsidR="00953A2A" w:rsidRPr="00DC1980">
        <w:rPr>
          <w:rFonts w:ascii="Times New Roman" w:hAnsi="Times New Roman" w:cs="Times New Roman"/>
        </w:rPr>
        <w:t xml:space="preserve">another concomitant </w:t>
      </w:r>
      <w:r w:rsidRPr="00DC1980">
        <w:rPr>
          <w:rFonts w:ascii="Times New Roman" w:hAnsi="Times New Roman" w:cs="Times New Roman"/>
        </w:rPr>
        <w:t>severe valvular disease (</w:t>
      </w:r>
      <w:r w:rsidR="00A90A40" w:rsidRPr="00DC1980">
        <w:rPr>
          <w:rFonts w:ascii="Times New Roman" w:hAnsi="Times New Roman" w:cs="Times New Roman"/>
        </w:rPr>
        <w:t>30</w:t>
      </w:r>
      <w:r w:rsidRPr="00DC1980">
        <w:rPr>
          <w:rFonts w:ascii="Times New Roman" w:hAnsi="Times New Roman" w:cs="Times New Roman"/>
        </w:rPr>
        <w:t>.</w:t>
      </w:r>
      <w:r w:rsidR="00A90A40" w:rsidRPr="00DC1980">
        <w:rPr>
          <w:rFonts w:ascii="Times New Roman" w:hAnsi="Times New Roman" w:cs="Times New Roman"/>
        </w:rPr>
        <w:t>7</w:t>
      </w:r>
      <w:r w:rsidRPr="00DC1980">
        <w:rPr>
          <w:rFonts w:ascii="Times New Roman" w:hAnsi="Times New Roman" w:cs="Times New Roman"/>
        </w:rPr>
        <w:t>%) and previous tricuspid surgery (3.</w:t>
      </w:r>
      <w:r w:rsidR="00A90A40" w:rsidRPr="00DC1980">
        <w:rPr>
          <w:rFonts w:ascii="Times New Roman" w:hAnsi="Times New Roman" w:cs="Times New Roman"/>
        </w:rPr>
        <w:t>1</w:t>
      </w:r>
      <w:r w:rsidRPr="00DC1980">
        <w:rPr>
          <w:rFonts w:ascii="Times New Roman" w:hAnsi="Times New Roman" w:cs="Times New Roman"/>
        </w:rPr>
        <w:t xml:space="preserve">%), advanced renal or hepatic dysfunction (e.g., eGFR ≤25 ml/min/1.73 m² or Child-Pugh class C; </w:t>
      </w:r>
      <w:r w:rsidR="00A90A40" w:rsidRPr="00DC1980">
        <w:rPr>
          <w:rFonts w:ascii="Times New Roman" w:hAnsi="Times New Roman" w:cs="Times New Roman"/>
        </w:rPr>
        <w:t>24.6</w:t>
      </w:r>
      <w:r w:rsidRPr="00DC1980">
        <w:rPr>
          <w:rFonts w:ascii="Times New Roman" w:hAnsi="Times New Roman" w:cs="Times New Roman"/>
        </w:rPr>
        <w:t>%), and pulmonary or hematologic factors including need for home oxygen (</w:t>
      </w:r>
      <w:r w:rsidR="00A90A40" w:rsidRPr="00DC1980">
        <w:rPr>
          <w:rFonts w:ascii="Times New Roman" w:hAnsi="Times New Roman" w:cs="Times New Roman"/>
        </w:rPr>
        <w:t>26.1</w:t>
      </w:r>
      <w:r w:rsidRPr="00DC1980">
        <w:rPr>
          <w:rFonts w:ascii="Times New Roman" w:hAnsi="Times New Roman" w:cs="Times New Roman"/>
        </w:rPr>
        <w:t>%).</w:t>
      </w:r>
    </w:p>
    <w:p w14:paraId="395855F5" w14:textId="77777777" w:rsidR="005B0859" w:rsidRPr="00DC1980" w:rsidRDefault="005B0859" w:rsidP="00CB254F">
      <w:pPr>
        <w:spacing w:line="480" w:lineRule="auto"/>
        <w:jc w:val="both"/>
        <w:rPr>
          <w:rFonts w:ascii="Times New Roman" w:hAnsi="Times New Roman" w:cs="Times New Roman"/>
          <w:i/>
          <w:iCs/>
        </w:rPr>
      </w:pPr>
      <w:r w:rsidRPr="00DC1980">
        <w:rPr>
          <w:rFonts w:ascii="Times New Roman" w:hAnsi="Times New Roman" w:cs="Times New Roman"/>
          <w:i/>
          <w:iCs/>
        </w:rPr>
        <w:t>Baseline Characteristics</w:t>
      </w:r>
    </w:p>
    <w:p w14:paraId="4760C975" w14:textId="5BCE8029" w:rsidR="00466082" w:rsidRPr="00DC1980" w:rsidRDefault="005B0859" w:rsidP="00CB254F">
      <w:pPr>
        <w:spacing w:line="480" w:lineRule="auto"/>
        <w:jc w:val="both"/>
        <w:rPr>
          <w:rFonts w:ascii="Times New Roman" w:hAnsi="Times New Roman" w:cs="Times New Roman"/>
        </w:rPr>
      </w:pPr>
      <w:r w:rsidRPr="00DC1980">
        <w:rPr>
          <w:rFonts w:ascii="Times New Roman" w:hAnsi="Times New Roman" w:cs="Times New Roman"/>
        </w:rPr>
        <w:lastRenderedPageBreak/>
        <w:t xml:space="preserve">Baseline clinical and demographic characteristics are </w:t>
      </w:r>
      <w:r w:rsidR="00D546CE" w:rsidRPr="00DC1980">
        <w:rPr>
          <w:rFonts w:ascii="Times New Roman" w:hAnsi="Times New Roman" w:cs="Times New Roman"/>
        </w:rPr>
        <w:t>presented</w:t>
      </w:r>
      <w:r w:rsidRPr="00DC1980">
        <w:rPr>
          <w:rFonts w:ascii="Times New Roman" w:hAnsi="Times New Roman" w:cs="Times New Roman"/>
        </w:rPr>
        <w:t xml:space="preserve"> in Table 1. TRISCEND II eligible patients were significantly older than non-eligible patients </w:t>
      </w:r>
      <w:r w:rsidR="00F35B77" w:rsidRPr="00DC1980">
        <w:rPr>
          <w:rFonts w:ascii="Times New Roman" w:hAnsi="Times New Roman" w:cs="Times New Roman"/>
        </w:rPr>
        <w:t>[83.</w:t>
      </w:r>
      <w:r w:rsidR="00A90A40" w:rsidRPr="00DC1980">
        <w:rPr>
          <w:rFonts w:ascii="Times New Roman" w:hAnsi="Times New Roman" w:cs="Times New Roman"/>
        </w:rPr>
        <w:t>2</w:t>
      </w:r>
      <w:r w:rsidR="00F35B77" w:rsidRPr="00DC1980">
        <w:rPr>
          <w:rFonts w:ascii="Times New Roman" w:hAnsi="Times New Roman" w:cs="Times New Roman"/>
        </w:rPr>
        <w:t xml:space="preserve"> years (IQR </w:t>
      </w:r>
      <w:r w:rsidR="00A90A40" w:rsidRPr="00DC1980">
        <w:rPr>
          <w:rFonts w:ascii="Times New Roman" w:hAnsi="Times New Roman" w:cs="Times New Roman"/>
        </w:rPr>
        <w:t>77.4</w:t>
      </w:r>
      <w:r w:rsidR="00F35B77" w:rsidRPr="00DC1980">
        <w:rPr>
          <w:rFonts w:ascii="Times New Roman" w:hAnsi="Times New Roman" w:cs="Times New Roman"/>
        </w:rPr>
        <w:t>–86.7) vs. 7</w:t>
      </w:r>
      <w:r w:rsidR="00A90A40" w:rsidRPr="00DC1980">
        <w:rPr>
          <w:rFonts w:ascii="Times New Roman" w:hAnsi="Times New Roman" w:cs="Times New Roman"/>
        </w:rPr>
        <w:t>6.3</w:t>
      </w:r>
      <w:r w:rsidR="00F35B77" w:rsidRPr="00DC1980">
        <w:rPr>
          <w:rFonts w:ascii="Times New Roman" w:hAnsi="Times New Roman" w:cs="Times New Roman"/>
        </w:rPr>
        <w:t xml:space="preserve"> years (IQR 69.</w:t>
      </w:r>
      <w:r w:rsidR="00A90A40" w:rsidRPr="00DC1980">
        <w:rPr>
          <w:rFonts w:ascii="Times New Roman" w:hAnsi="Times New Roman" w:cs="Times New Roman"/>
        </w:rPr>
        <w:t>6</w:t>
      </w:r>
      <w:r w:rsidR="00F35B77" w:rsidRPr="00DC1980">
        <w:rPr>
          <w:rFonts w:ascii="Times New Roman" w:hAnsi="Times New Roman" w:cs="Times New Roman"/>
        </w:rPr>
        <w:t>–8</w:t>
      </w:r>
      <w:r w:rsidR="00A90A40" w:rsidRPr="00DC1980">
        <w:rPr>
          <w:rFonts w:ascii="Times New Roman" w:hAnsi="Times New Roman" w:cs="Times New Roman"/>
        </w:rPr>
        <w:t>3</w:t>
      </w:r>
      <w:r w:rsidR="00F35B77" w:rsidRPr="00DC1980">
        <w:rPr>
          <w:rFonts w:ascii="Times New Roman" w:hAnsi="Times New Roman" w:cs="Times New Roman"/>
        </w:rPr>
        <w:t>.</w:t>
      </w:r>
      <w:r w:rsidR="00A90A40" w:rsidRPr="00DC1980">
        <w:rPr>
          <w:rFonts w:ascii="Times New Roman" w:hAnsi="Times New Roman" w:cs="Times New Roman"/>
        </w:rPr>
        <w:t>1</w:t>
      </w:r>
      <w:r w:rsidR="00F35B77" w:rsidRPr="00DC1980">
        <w:rPr>
          <w:rFonts w:ascii="Times New Roman" w:hAnsi="Times New Roman" w:cs="Times New Roman"/>
        </w:rPr>
        <w:t>) (p &lt; 0.001</w:t>
      </w:r>
      <w:r w:rsidRPr="00DC1980">
        <w:rPr>
          <w:rFonts w:ascii="Times New Roman" w:hAnsi="Times New Roman" w:cs="Times New Roman"/>
        </w:rPr>
        <w:t>)</w:t>
      </w:r>
      <w:r w:rsidR="00610811" w:rsidRPr="00DC1980">
        <w:rPr>
          <w:rFonts w:ascii="Times New Roman" w:hAnsi="Times New Roman" w:cs="Times New Roman"/>
        </w:rPr>
        <w:t>]</w:t>
      </w:r>
      <w:r w:rsidRPr="00DC1980">
        <w:rPr>
          <w:rFonts w:ascii="Times New Roman" w:hAnsi="Times New Roman" w:cs="Times New Roman"/>
        </w:rPr>
        <w:t>. Non-eligible patients had a significantly higher prevalence of end-stage renal disease (1</w:t>
      </w:r>
      <w:r w:rsidR="00A90A40" w:rsidRPr="00DC1980">
        <w:rPr>
          <w:rFonts w:ascii="Times New Roman" w:hAnsi="Times New Roman" w:cs="Times New Roman"/>
        </w:rPr>
        <w:t>6.9</w:t>
      </w:r>
      <w:r w:rsidR="00610811" w:rsidRPr="00DC1980">
        <w:rPr>
          <w:rFonts w:ascii="Times New Roman" w:hAnsi="Times New Roman" w:cs="Times New Roman"/>
        </w:rPr>
        <w:t xml:space="preserve"> </w:t>
      </w:r>
      <w:r w:rsidRPr="00DC1980">
        <w:rPr>
          <w:rFonts w:ascii="Times New Roman" w:hAnsi="Times New Roman" w:cs="Times New Roman"/>
        </w:rPr>
        <w:t>% vs. 0%</w:t>
      </w:r>
      <w:r w:rsidR="00D7533E" w:rsidRPr="00DC1980">
        <w:rPr>
          <w:rFonts w:ascii="Times New Roman" w:hAnsi="Times New Roman" w:cs="Times New Roman"/>
        </w:rPr>
        <w:t>, p&lt;0.0</w:t>
      </w:r>
      <w:r w:rsidR="00910A8D" w:rsidRPr="00DC1980">
        <w:rPr>
          <w:rFonts w:ascii="Times New Roman" w:hAnsi="Times New Roman" w:cs="Times New Roman"/>
        </w:rPr>
        <w:t>1</w:t>
      </w:r>
      <w:r w:rsidRPr="00DC1980">
        <w:rPr>
          <w:rFonts w:ascii="Times New Roman" w:hAnsi="Times New Roman" w:cs="Times New Roman"/>
        </w:rPr>
        <w:t>)</w:t>
      </w:r>
      <w:r w:rsidR="00466082" w:rsidRPr="00DC1980">
        <w:rPr>
          <w:rFonts w:ascii="Times New Roman" w:hAnsi="Times New Roman" w:cs="Times New Roman"/>
        </w:rPr>
        <w:t xml:space="preserve"> and</w:t>
      </w:r>
      <w:r w:rsidRPr="00DC1980">
        <w:rPr>
          <w:rFonts w:ascii="Times New Roman" w:hAnsi="Times New Roman" w:cs="Times New Roman"/>
        </w:rPr>
        <w:t xml:space="preserve"> chronic obstructive pulmonary disease (</w:t>
      </w:r>
      <w:r w:rsidR="00A90A40" w:rsidRPr="00DC1980">
        <w:rPr>
          <w:rFonts w:ascii="Times New Roman" w:hAnsi="Times New Roman" w:cs="Times New Roman"/>
        </w:rPr>
        <w:t>44.6</w:t>
      </w:r>
      <w:r w:rsidRPr="00DC1980">
        <w:rPr>
          <w:rFonts w:ascii="Times New Roman" w:hAnsi="Times New Roman" w:cs="Times New Roman"/>
        </w:rPr>
        <w:t>% vs. 2</w:t>
      </w:r>
      <w:r w:rsidR="00A90A40" w:rsidRPr="00DC1980">
        <w:rPr>
          <w:rFonts w:ascii="Times New Roman" w:hAnsi="Times New Roman" w:cs="Times New Roman"/>
        </w:rPr>
        <w:t>3.4</w:t>
      </w:r>
      <w:r w:rsidRPr="00DC1980">
        <w:rPr>
          <w:rFonts w:ascii="Times New Roman" w:hAnsi="Times New Roman" w:cs="Times New Roman"/>
        </w:rPr>
        <w:t>%</w:t>
      </w:r>
      <w:r w:rsidR="00D7533E" w:rsidRPr="00DC1980">
        <w:rPr>
          <w:rFonts w:ascii="Times New Roman" w:hAnsi="Times New Roman" w:cs="Times New Roman"/>
        </w:rPr>
        <w:t>, p&lt;0.0</w:t>
      </w:r>
      <w:r w:rsidR="00E12797" w:rsidRPr="00DC1980">
        <w:rPr>
          <w:rFonts w:ascii="Times New Roman" w:hAnsi="Times New Roman" w:cs="Times New Roman"/>
        </w:rPr>
        <w:t>1</w:t>
      </w:r>
      <w:r w:rsidRPr="00DC1980">
        <w:rPr>
          <w:rFonts w:ascii="Times New Roman" w:hAnsi="Times New Roman" w:cs="Times New Roman"/>
        </w:rPr>
        <w:t>)</w:t>
      </w:r>
      <w:r w:rsidR="00466082" w:rsidRPr="00DC1980">
        <w:rPr>
          <w:rFonts w:ascii="Times New Roman" w:hAnsi="Times New Roman" w:cs="Times New Roman"/>
        </w:rPr>
        <w:t>. While prior heart failure hospitalization in the past 12 months was more frequent among non-eligible patients compared to eligible patients (1</w:t>
      </w:r>
      <w:r w:rsidR="00A90A40" w:rsidRPr="00DC1980">
        <w:rPr>
          <w:rFonts w:ascii="Times New Roman" w:hAnsi="Times New Roman" w:cs="Times New Roman"/>
        </w:rPr>
        <w:t>3</w:t>
      </w:r>
      <w:r w:rsidR="00466082" w:rsidRPr="00DC1980">
        <w:rPr>
          <w:rFonts w:ascii="Times New Roman" w:hAnsi="Times New Roman" w:cs="Times New Roman"/>
        </w:rPr>
        <w:t xml:space="preserve">.8% vs. </w:t>
      </w:r>
      <w:r w:rsidR="00A90A40" w:rsidRPr="00DC1980">
        <w:rPr>
          <w:rFonts w:ascii="Times New Roman" w:hAnsi="Times New Roman" w:cs="Times New Roman"/>
        </w:rPr>
        <w:t>4.3</w:t>
      </w:r>
      <w:r w:rsidR="00466082" w:rsidRPr="00DC1980">
        <w:rPr>
          <w:rFonts w:ascii="Times New Roman" w:hAnsi="Times New Roman" w:cs="Times New Roman"/>
        </w:rPr>
        <w:t>%), this difference did not reach statistical significance</w:t>
      </w:r>
      <w:r w:rsidR="00BD1968" w:rsidRPr="00DC1980">
        <w:rPr>
          <w:rFonts w:ascii="Times New Roman" w:hAnsi="Times New Roman" w:cs="Times New Roman"/>
        </w:rPr>
        <w:t xml:space="preserve"> (p=0.</w:t>
      </w:r>
      <w:r w:rsidR="00A90A40" w:rsidRPr="00DC1980">
        <w:rPr>
          <w:rFonts w:ascii="Times New Roman" w:hAnsi="Times New Roman" w:cs="Times New Roman"/>
        </w:rPr>
        <w:t>11</w:t>
      </w:r>
      <w:r w:rsidR="00BD1968" w:rsidRPr="00DC1980">
        <w:rPr>
          <w:rFonts w:ascii="Times New Roman" w:hAnsi="Times New Roman" w:cs="Times New Roman"/>
        </w:rPr>
        <w:t>).</w:t>
      </w:r>
      <w:r w:rsidR="00466082" w:rsidRPr="00DC1980">
        <w:rPr>
          <w:rFonts w:ascii="Times New Roman" w:hAnsi="Times New Roman" w:cs="Times New Roman"/>
        </w:rPr>
        <w:t xml:space="preserve"> </w:t>
      </w:r>
    </w:p>
    <w:p w14:paraId="7DECB12F" w14:textId="5A50129B" w:rsidR="005B0859" w:rsidRPr="00DC1980" w:rsidRDefault="005B0859" w:rsidP="00CB254F">
      <w:pPr>
        <w:spacing w:line="480" w:lineRule="auto"/>
        <w:jc w:val="both"/>
        <w:rPr>
          <w:rFonts w:ascii="Times New Roman" w:hAnsi="Times New Roman" w:cs="Times New Roman"/>
        </w:rPr>
      </w:pPr>
      <w:r w:rsidRPr="00DC1980">
        <w:rPr>
          <w:rFonts w:ascii="Times New Roman" w:hAnsi="Times New Roman" w:cs="Times New Roman"/>
        </w:rPr>
        <w:t xml:space="preserve">The surgical risk, as assessed by the Society of Thoracic Surgeons (STS) score, was numerically lower in the eligible group (median </w:t>
      </w:r>
      <w:r w:rsidR="00A90A40" w:rsidRPr="00DC1980">
        <w:rPr>
          <w:rFonts w:ascii="Times New Roman" w:hAnsi="Times New Roman" w:cs="Times New Roman"/>
        </w:rPr>
        <w:t>12.20</w:t>
      </w:r>
      <w:r w:rsidR="0023338B" w:rsidRPr="00DC1980">
        <w:rPr>
          <w:rFonts w:ascii="Times New Roman" w:hAnsi="Times New Roman" w:cs="Times New Roman"/>
        </w:rPr>
        <w:t>%</w:t>
      </w:r>
      <w:r w:rsidRPr="00DC1980">
        <w:rPr>
          <w:rFonts w:ascii="Times New Roman" w:hAnsi="Times New Roman" w:cs="Times New Roman"/>
        </w:rPr>
        <w:t xml:space="preserve"> vs. </w:t>
      </w:r>
      <w:r w:rsidR="00A90A40" w:rsidRPr="00DC1980">
        <w:rPr>
          <w:rFonts w:ascii="Times New Roman" w:hAnsi="Times New Roman" w:cs="Times New Roman"/>
        </w:rPr>
        <w:t>13.7</w:t>
      </w:r>
      <w:r w:rsidR="0023338B" w:rsidRPr="00DC1980">
        <w:rPr>
          <w:rFonts w:ascii="Times New Roman" w:hAnsi="Times New Roman" w:cs="Times New Roman"/>
        </w:rPr>
        <w:t>%</w:t>
      </w:r>
      <w:r w:rsidRPr="00DC1980">
        <w:rPr>
          <w:rFonts w:ascii="Times New Roman" w:hAnsi="Times New Roman" w:cs="Times New Roman"/>
        </w:rPr>
        <w:t>). Although both groups were predominantly female and had similar NYHA class III/IV burden at baseline (~75%), eligible patients had significantly higher left ventricular ejection fraction</w:t>
      </w:r>
      <w:r w:rsidR="00861217" w:rsidRPr="00DC1980">
        <w:rPr>
          <w:rFonts w:ascii="Times New Roman" w:hAnsi="Times New Roman" w:cs="Times New Roman"/>
        </w:rPr>
        <w:t xml:space="preserve"> (LVEF)</w:t>
      </w:r>
      <w:r w:rsidRPr="00DC1980">
        <w:rPr>
          <w:rFonts w:ascii="Times New Roman" w:hAnsi="Times New Roman" w:cs="Times New Roman"/>
        </w:rPr>
        <w:t xml:space="preserve"> </w:t>
      </w:r>
      <w:r w:rsidR="00B64307" w:rsidRPr="00DC1980">
        <w:rPr>
          <w:rFonts w:ascii="Times New Roman" w:hAnsi="Times New Roman" w:cs="Times New Roman"/>
        </w:rPr>
        <w:t>[</w:t>
      </w:r>
      <w:r w:rsidR="000F4216" w:rsidRPr="00DC1980">
        <w:rPr>
          <w:rFonts w:ascii="Times New Roman" w:hAnsi="Times New Roman" w:cs="Times New Roman"/>
        </w:rPr>
        <w:t>60%</w:t>
      </w:r>
      <w:r w:rsidR="00B64307" w:rsidRPr="00DC1980">
        <w:rPr>
          <w:rFonts w:ascii="Times New Roman" w:hAnsi="Times New Roman" w:cs="Times New Roman"/>
        </w:rPr>
        <w:t xml:space="preserve"> (IQR </w:t>
      </w:r>
      <w:r w:rsidR="000F4216" w:rsidRPr="00DC1980">
        <w:rPr>
          <w:rFonts w:ascii="Times New Roman" w:hAnsi="Times New Roman" w:cs="Times New Roman"/>
        </w:rPr>
        <w:t>55.0</w:t>
      </w:r>
      <w:r w:rsidR="00B64307" w:rsidRPr="00DC1980">
        <w:rPr>
          <w:rFonts w:ascii="Times New Roman" w:hAnsi="Times New Roman" w:cs="Times New Roman"/>
        </w:rPr>
        <w:t>–</w:t>
      </w:r>
      <w:r w:rsidR="000F4216" w:rsidRPr="00DC1980">
        <w:rPr>
          <w:rFonts w:ascii="Times New Roman" w:hAnsi="Times New Roman" w:cs="Times New Roman"/>
        </w:rPr>
        <w:t>63.0</w:t>
      </w:r>
      <w:r w:rsidR="00B64307" w:rsidRPr="00DC1980">
        <w:rPr>
          <w:rFonts w:ascii="Times New Roman" w:hAnsi="Times New Roman" w:cs="Times New Roman"/>
        </w:rPr>
        <w:t xml:space="preserve">) vs. </w:t>
      </w:r>
      <w:r w:rsidR="00A90A40" w:rsidRPr="00DC1980">
        <w:rPr>
          <w:rFonts w:ascii="Times New Roman" w:hAnsi="Times New Roman" w:cs="Times New Roman"/>
        </w:rPr>
        <w:t>56</w:t>
      </w:r>
      <w:r w:rsidR="00641AC2" w:rsidRPr="00DC1980">
        <w:rPr>
          <w:rFonts w:ascii="Times New Roman" w:hAnsi="Times New Roman" w:cs="Times New Roman"/>
        </w:rPr>
        <w:t>%</w:t>
      </w:r>
      <w:r w:rsidR="00B64307" w:rsidRPr="00DC1980">
        <w:rPr>
          <w:rFonts w:ascii="Times New Roman" w:hAnsi="Times New Roman" w:cs="Times New Roman"/>
        </w:rPr>
        <w:t xml:space="preserve"> (IQR </w:t>
      </w:r>
      <w:r w:rsidR="00641AC2" w:rsidRPr="00DC1980">
        <w:rPr>
          <w:rFonts w:ascii="Times New Roman" w:hAnsi="Times New Roman" w:cs="Times New Roman"/>
        </w:rPr>
        <w:t>40.8</w:t>
      </w:r>
      <w:r w:rsidR="00B64307" w:rsidRPr="00DC1980">
        <w:rPr>
          <w:rFonts w:ascii="Times New Roman" w:hAnsi="Times New Roman" w:cs="Times New Roman"/>
        </w:rPr>
        <w:t>–</w:t>
      </w:r>
      <w:r w:rsidR="00641AC2" w:rsidRPr="00DC1980">
        <w:rPr>
          <w:rFonts w:ascii="Times New Roman" w:hAnsi="Times New Roman" w:cs="Times New Roman"/>
        </w:rPr>
        <w:t>61.5</w:t>
      </w:r>
      <w:r w:rsidR="00B64307" w:rsidRPr="00DC1980">
        <w:rPr>
          <w:rFonts w:ascii="Times New Roman" w:hAnsi="Times New Roman" w:cs="Times New Roman"/>
        </w:rPr>
        <w:t>) (p &lt; 0.0</w:t>
      </w:r>
      <w:r w:rsidR="00861217" w:rsidRPr="00DC1980">
        <w:rPr>
          <w:rFonts w:ascii="Times New Roman" w:hAnsi="Times New Roman" w:cs="Times New Roman"/>
        </w:rPr>
        <w:t>5</w:t>
      </w:r>
      <w:r w:rsidR="00B64307" w:rsidRPr="00DC1980">
        <w:rPr>
          <w:rFonts w:ascii="Times New Roman" w:hAnsi="Times New Roman" w:cs="Times New Roman"/>
        </w:rPr>
        <w:t xml:space="preserve">)] </w:t>
      </w:r>
      <w:r w:rsidR="00714253" w:rsidRPr="00DC1980">
        <w:rPr>
          <w:rFonts w:ascii="Times New Roman" w:hAnsi="Times New Roman" w:cs="Times New Roman"/>
        </w:rPr>
        <w:t xml:space="preserve">and significantly lower right ventricular systolic pressure (RVSP) (34.4 ± </w:t>
      </w:r>
      <w:r w:rsidR="00A90A40" w:rsidRPr="00DC1980">
        <w:rPr>
          <w:rFonts w:ascii="Times New Roman" w:hAnsi="Times New Roman" w:cs="Times New Roman"/>
        </w:rPr>
        <w:t>10.96</w:t>
      </w:r>
      <w:r w:rsidR="00714253" w:rsidRPr="00DC1980">
        <w:rPr>
          <w:rFonts w:ascii="Times New Roman" w:hAnsi="Times New Roman" w:cs="Times New Roman"/>
        </w:rPr>
        <w:t xml:space="preserve"> vs. 4</w:t>
      </w:r>
      <w:r w:rsidR="00A90A40" w:rsidRPr="00DC1980">
        <w:rPr>
          <w:rFonts w:ascii="Times New Roman" w:hAnsi="Times New Roman" w:cs="Times New Roman"/>
        </w:rPr>
        <w:t>1.9</w:t>
      </w:r>
      <w:r w:rsidR="00714253" w:rsidRPr="00DC1980">
        <w:rPr>
          <w:rFonts w:ascii="Times New Roman" w:hAnsi="Times New Roman" w:cs="Times New Roman"/>
        </w:rPr>
        <w:t xml:space="preserve"> ± 12.</w:t>
      </w:r>
      <w:r w:rsidR="00A90A40" w:rsidRPr="00DC1980">
        <w:rPr>
          <w:rFonts w:ascii="Times New Roman" w:hAnsi="Times New Roman" w:cs="Times New Roman"/>
        </w:rPr>
        <w:t>72</w:t>
      </w:r>
      <w:r w:rsidR="00714253" w:rsidRPr="00DC1980">
        <w:rPr>
          <w:rFonts w:ascii="Times New Roman" w:hAnsi="Times New Roman" w:cs="Times New Roman"/>
        </w:rPr>
        <w:t xml:space="preserve"> mmHg, p &lt; 0.0</w:t>
      </w:r>
      <w:r w:rsidR="00910A8D" w:rsidRPr="00DC1980">
        <w:rPr>
          <w:rFonts w:ascii="Times New Roman" w:hAnsi="Times New Roman" w:cs="Times New Roman"/>
        </w:rPr>
        <w:t>1</w:t>
      </w:r>
      <w:r w:rsidR="00714253" w:rsidRPr="00DC1980">
        <w:rPr>
          <w:rFonts w:ascii="Times New Roman" w:hAnsi="Times New Roman" w:cs="Times New Roman"/>
        </w:rPr>
        <w:t>)</w:t>
      </w:r>
      <w:r w:rsidRPr="00DC1980">
        <w:rPr>
          <w:rFonts w:ascii="Times New Roman" w:hAnsi="Times New Roman" w:cs="Times New Roman"/>
        </w:rPr>
        <w:t xml:space="preserve">. The </w:t>
      </w:r>
      <w:r w:rsidR="00584B68" w:rsidRPr="00DC1980">
        <w:rPr>
          <w:rFonts w:ascii="Times New Roman" w:hAnsi="Times New Roman" w:cs="Times New Roman"/>
        </w:rPr>
        <w:t xml:space="preserve">baseline </w:t>
      </w:r>
      <w:r w:rsidRPr="00DC1980">
        <w:rPr>
          <w:rFonts w:ascii="Times New Roman" w:hAnsi="Times New Roman" w:cs="Times New Roman"/>
        </w:rPr>
        <w:t xml:space="preserve">KCCQ score was slightly higher in the eligible cohort </w:t>
      </w:r>
      <w:r w:rsidR="00786973" w:rsidRPr="00DC1980">
        <w:rPr>
          <w:rFonts w:ascii="Times New Roman" w:eastAsia="Times New Roman" w:hAnsi="Times New Roman" w:cs="Times New Roman"/>
          <w:color w:val="242424"/>
        </w:rPr>
        <w:t>[48.96 (IQR 34.38-63.54) vs. 44.01 (IQR 26.95-61.07)</w:t>
      </w:r>
      <w:r w:rsidR="00786973" w:rsidRPr="00DC1980">
        <w:rPr>
          <w:rFonts w:ascii="Times New Roman" w:hAnsi="Times New Roman" w:cs="Times New Roman"/>
        </w:rPr>
        <w:t xml:space="preserve"> p=0.41], </w:t>
      </w:r>
      <w:r w:rsidRPr="00DC1980">
        <w:rPr>
          <w:rFonts w:ascii="Times New Roman" w:hAnsi="Times New Roman" w:cs="Times New Roman"/>
        </w:rPr>
        <w:t xml:space="preserve">although not statistically significant. Baseline TR severity was high in both groups, with over </w:t>
      </w:r>
      <w:r w:rsidR="00A90A40" w:rsidRPr="00DC1980">
        <w:rPr>
          <w:rFonts w:ascii="Times New Roman" w:hAnsi="Times New Roman" w:cs="Times New Roman"/>
        </w:rPr>
        <w:t>8</w:t>
      </w:r>
      <w:r w:rsidRPr="00DC1980">
        <w:rPr>
          <w:rFonts w:ascii="Times New Roman" w:hAnsi="Times New Roman" w:cs="Times New Roman"/>
        </w:rPr>
        <w:t xml:space="preserve">0% having severe or greater TR. </w:t>
      </w:r>
    </w:p>
    <w:p w14:paraId="7C564A69" w14:textId="77777777" w:rsidR="005B0859" w:rsidRPr="00DC1980" w:rsidRDefault="005B0859" w:rsidP="00CB254F">
      <w:pPr>
        <w:spacing w:line="480" w:lineRule="auto"/>
        <w:jc w:val="both"/>
        <w:rPr>
          <w:rFonts w:ascii="Times New Roman" w:hAnsi="Times New Roman" w:cs="Times New Roman"/>
          <w:i/>
          <w:iCs/>
        </w:rPr>
      </w:pPr>
      <w:r w:rsidRPr="00DC1980">
        <w:rPr>
          <w:rFonts w:ascii="Times New Roman" w:hAnsi="Times New Roman" w:cs="Times New Roman"/>
          <w:i/>
          <w:iCs/>
        </w:rPr>
        <w:t>Procedural Success and Clinical Outcome</w:t>
      </w:r>
    </w:p>
    <w:p w14:paraId="43E881AA" w14:textId="70984491" w:rsidR="005B0859" w:rsidRPr="00DC1980" w:rsidRDefault="005B0859" w:rsidP="00CB254F">
      <w:pPr>
        <w:spacing w:line="480" w:lineRule="auto"/>
        <w:jc w:val="both"/>
        <w:rPr>
          <w:rFonts w:ascii="Times New Roman" w:hAnsi="Times New Roman" w:cs="Times New Roman"/>
        </w:rPr>
      </w:pPr>
      <w:r w:rsidRPr="00DC1980">
        <w:rPr>
          <w:rFonts w:ascii="Times New Roman" w:hAnsi="Times New Roman" w:cs="Times New Roman"/>
        </w:rPr>
        <w:t xml:space="preserve">Procedural success was high in both groups, with effective TR reduction achieved in </w:t>
      </w:r>
      <w:r w:rsidR="00B92C29" w:rsidRPr="00DC1980">
        <w:rPr>
          <w:rFonts w:ascii="Times New Roman" w:hAnsi="Times New Roman" w:cs="Times New Roman"/>
        </w:rPr>
        <w:t>all</w:t>
      </w:r>
      <w:r w:rsidRPr="00DC1980">
        <w:rPr>
          <w:rFonts w:ascii="Times New Roman" w:hAnsi="Times New Roman" w:cs="Times New Roman"/>
        </w:rPr>
        <w:t xml:space="preserve"> patients. </w:t>
      </w:r>
      <w:r w:rsidR="00B92C29" w:rsidRPr="00DC1980">
        <w:rPr>
          <w:rFonts w:ascii="Times New Roman" w:hAnsi="Times New Roman" w:cs="Times New Roman"/>
        </w:rPr>
        <w:t>At 30-day follow-up, a residual TR grade of ≤mild was observed in 94.8% of TRISCEND-eligible patients and 88.1% of non-eligible patients</w:t>
      </w:r>
      <w:r w:rsidRPr="00DC1980">
        <w:rPr>
          <w:rFonts w:ascii="Times New Roman" w:hAnsi="Times New Roman" w:cs="Times New Roman"/>
        </w:rPr>
        <w:t xml:space="preserve"> (Figure 2). </w:t>
      </w:r>
      <w:r w:rsidR="00B92C29" w:rsidRPr="00DC1980">
        <w:rPr>
          <w:rFonts w:ascii="Times New Roman" w:hAnsi="Times New Roman" w:cs="Times New Roman"/>
        </w:rPr>
        <w:t>None/trace TR was achieved in 73.7% of eligible patients and 54.8% of non-eligible patients, while moderate or greater TR persisted in only 5.2% and 11.9%, respectively.</w:t>
      </w:r>
      <w:r w:rsidR="00CF22F2" w:rsidRPr="00DC1980">
        <w:rPr>
          <w:rFonts w:ascii="Times New Roman" w:hAnsi="Times New Roman" w:cs="Times New Roman"/>
        </w:rPr>
        <w:t xml:space="preserve"> </w:t>
      </w:r>
      <w:r w:rsidR="00EA627E" w:rsidRPr="00DC1980">
        <w:rPr>
          <w:rFonts w:ascii="Times New Roman" w:hAnsi="Times New Roman" w:cs="Times New Roman"/>
        </w:rPr>
        <w:t xml:space="preserve">Device malposition, migration, embolization, or related complications were low </w:t>
      </w:r>
      <w:r w:rsidR="00D73573" w:rsidRPr="00DC1980">
        <w:rPr>
          <w:rFonts w:ascii="Times New Roman" w:hAnsi="Times New Roman" w:cs="Times New Roman"/>
        </w:rPr>
        <w:t>in both groups</w:t>
      </w:r>
      <w:r w:rsidR="002D7772" w:rsidRPr="00DC1980">
        <w:rPr>
          <w:rFonts w:ascii="Times New Roman" w:hAnsi="Times New Roman" w:cs="Times New Roman"/>
        </w:rPr>
        <w:t xml:space="preserve">. </w:t>
      </w:r>
    </w:p>
    <w:p w14:paraId="29A2DCB5" w14:textId="507A1919" w:rsidR="0027010D" w:rsidRPr="00DC1980" w:rsidRDefault="00A86878" w:rsidP="00CB254F">
      <w:pPr>
        <w:spacing w:line="480" w:lineRule="auto"/>
        <w:jc w:val="both"/>
        <w:rPr>
          <w:rFonts w:ascii="Times New Roman" w:hAnsi="Times New Roman" w:cs="Times New Roman"/>
        </w:rPr>
      </w:pPr>
      <w:r w:rsidRPr="00DC1980">
        <w:rPr>
          <w:rFonts w:ascii="Times New Roman" w:hAnsi="Times New Roman" w:cs="Times New Roman"/>
        </w:rPr>
        <w:lastRenderedPageBreak/>
        <w:t xml:space="preserve">Clinical outcomes at 30 days are shown in Table 2. </w:t>
      </w:r>
      <w:r w:rsidR="0027010D" w:rsidRPr="00DC1980">
        <w:rPr>
          <w:rFonts w:ascii="Times New Roman" w:hAnsi="Times New Roman" w:cs="Times New Roman"/>
        </w:rPr>
        <w:t>There were no myocardial infarctions reported in either group. Stroke and reintervention were rare, occurring in only one patient each from the TRISCEND non-eligible group. Rates of major bleeding and new pacemaker implantation were comparable between groups. Overall all-cause mortality was numerically higher in the non-eligible group (8.2% vs. 2.0%, p=0.21), though this difference was not statistically significant.</w:t>
      </w:r>
      <w:r w:rsidR="00B815F3" w:rsidRPr="00DC1980">
        <w:rPr>
          <w:rFonts w:ascii="Times New Roman" w:hAnsi="Times New Roman" w:cs="Times New Roman"/>
        </w:rPr>
        <w:t xml:space="preserve"> Deaths occurred were mostly cardiac or procedure related. One patient died at the time of the procedure due to entrapment of the delivery system</w:t>
      </w:r>
      <w:r w:rsidR="008A49DF" w:rsidRPr="00DC1980">
        <w:rPr>
          <w:rFonts w:ascii="Times New Roman" w:hAnsi="Times New Roman" w:cs="Times New Roman"/>
        </w:rPr>
        <w:t>, resulting in</w:t>
      </w:r>
      <w:r w:rsidR="00B815F3" w:rsidRPr="00DC1980">
        <w:rPr>
          <w:rFonts w:ascii="Times New Roman" w:hAnsi="Times New Roman" w:cs="Times New Roman"/>
        </w:rPr>
        <w:t xml:space="preserve"> hemorrhagic pericardial effusion and shock. One patient died within 1 week due to bleeding, and two patients </w:t>
      </w:r>
      <w:r w:rsidR="0035665D" w:rsidRPr="00DC1980">
        <w:rPr>
          <w:rFonts w:ascii="Times New Roman" w:hAnsi="Times New Roman" w:cs="Times New Roman"/>
        </w:rPr>
        <w:t xml:space="preserve">experienced </w:t>
      </w:r>
      <w:r w:rsidR="00B815F3" w:rsidRPr="00DC1980">
        <w:rPr>
          <w:rFonts w:ascii="Times New Roman" w:hAnsi="Times New Roman" w:cs="Times New Roman"/>
        </w:rPr>
        <w:t xml:space="preserve">cardiac arrest within 1 to 2 weeks </w:t>
      </w:r>
      <w:r w:rsidR="003722D5" w:rsidRPr="00DC1980">
        <w:rPr>
          <w:rFonts w:ascii="Times New Roman" w:hAnsi="Times New Roman" w:cs="Times New Roman"/>
        </w:rPr>
        <w:t xml:space="preserve">following the </w:t>
      </w:r>
      <w:r w:rsidR="00B815F3" w:rsidRPr="00DC1980">
        <w:rPr>
          <w:rFonts w:ascii="Times New Roman" w:hAnsi="Times New Roman" w:cs="Times New Roman"/>
        </w:rPr>
        <w:t>procedure. Two additional deaths occurred approximately one month after the procedure: one from an unknown cause following an initially uncomplicated course, and one due to non-cardiac causes.</w:t>
      </w:r>
    </w:p>
    <w:p w14:paraId="5F5A58B1" w14:textId="06FE86E5" w:rsidR="005B0859" w:rsidRPr="00DC1980" w:rsidRDefault="005B0859" w:rsidP="00CB254F">
      <w:pPr>
        <w:spacing w:line="480" w:lineRule="auto"/>
        <w:jc w:val="both"/>
        <w:rPr>
          <w:rFonts w:ascii="Times New Roman" w:hAnsi="Times New Roman" w:cs="Times New Roman"/>
        </w:rPr>
      </w:pPr>
      <w:r w:rsidRPr="00DC1980">
        <w:rPr>
          <w:rFonts w:ascii="Times New Roman" w:hAnsi="Times New Roman" w:cs="Times New Roman"/>
        </w:rPr>
        <w:t xml:space="preserve">Functional improvement was notable in both groups. The proportion of patients in NYHA class III or IV decreased from </w:t>
      </w:r>
      <w:r w:rsidR="00421460" w:rsidRPr="00DC1980">
        <w:rPr>
          <w:rFonts w:ascii="Times New Roman" w:hAnsi="Times New Roman" w:cs="Times New Roman"/>
        </w:rPr>
        <w:t>76.6</w:t>
      </w:r>
      <w:r w:rsidRPr="00DC1980">
        <w:rPr>
          <w:rFonts w:ascii="Times New Roman" w:hAnsi="Times New Roman" w:cs="Times New Roman"/>
        </w:rPr>
        <w:t xml:space="preserve">% </w:t>
      </w:r>
      <w:r w:rsidR="00A12DF5" w:rsidRPr="00DC1980">
        <w:rPr>
          <w:rFonts w:ascii="Times New Roman" w:hAnsi="Times New Roman" w:cs="Times New Roman"/>
        </w:rPr>
        <w:t>and 7</w:t>
      </w:r>
      <w:r w:rsidR="00421460" w:rsidRPr="00DC1980">
        <w:rPr>
          <w:rFonts w:ascii="Times New Roman" w:hAnsi="Times New Roman" w:cs="Times New Roman"/>
        </w:rPr>
        <w:t>5.4</w:t>
      </w:r>
      <w:r w:rsidR="00A12DF5" w:rsidRPr="00DC1980">
        <w:rPr>
          <w:rFonts w:ascii="Times New Roman" w:hAnsi="Times New Roman" w:cs="Times New Roman"/>
        </w:rPr>
        <w:t xml:space="preserve">% </w:t>
      </w:r>
      <w:r w:rsidRPr="00DC1980">
        <w:rPr>
          <w:rFonts w:ascii="Times New Roman" w:hAnsi="Times New Roman" w:cs="Times New Roman"/>
        </w:rPr>
        <w:t xml:space="preserve">at baseline to 11.9% in eligible and 31.0% in non-eligible patients. </w:t>
      </w:r>
      <w:r w:rsidR="00B169E9" w:rsidRPr="00DC1980">
        <w:rPr>
          <w:rFonts w:ascii="Times New Roman" w:hAnsi="Times New Roman" w:cs="Times New Roman"/>
        </w:rPr>
        <w:t xml:space="preserve">Although not statistically significant, </w:t>
      </w:r>
      <w:r w:rsidRPr="00DC1980">
        <w:rPr>
          <w:rFonts w:ascii="Times New Roman" w:hAnsi="Times New Roman" w:cs="Times New Roman"/>
        </w:rPr>
        <w:t xml:space="preserve">KCCQ score improved more in the eligible group </w:t>
      </w:r>
      <w:r w:rsidR="00786973" w:rsidRPr="00DC1980">
        <w:rPr>
          <w:rFonts w:ascii="Times New Roman" w:eastAsia="Times New Roman" w:hAnsi="Times New Roman" w:cs="Times New Roman"/>
          <w:color w:val="242424"/>
        </w:rPr>
        <w:t xml:space="preserve">[70.83 (IQR 48.96-85.42) vs.65.63 (IQR 42.97-77.87)]. </w:t>
      </w:r>
      <w:r w:rsidRPr="00DC1980">
        <w:rPr>
          <w:rFonts w:ascii="Times New Roman" w:hAnsi="Times New Roman" w:cs="Times New Roman"/>
        </w:rPr>
        <w:t xml:space="preserve">As shown in Figure 2, a greater proportion of TRISCEND II eligible patients demonstrated improvements in both KCCQ (≥10-point increase: </w:t>
      </w:r>
      <w:r w:rsidR="00421460" w:rsidRPr="00DC1980">
        <w:rPr>
          <w:rFonts w:ascii="Times New Roman" w:hAnsi="Times New Roman" w:cs="Times New Roman"/>
        </w:rPr>
        <w:t>59.5</w:t>
      </w:r>
      <w:r w:rsidRPr="00DC1980">
        <w:rPr>
          <w:rFonts w:ascii="Times New Roman" w:hAnsi="Times New Roman" w:cs="Times New Roman"/>
        </w:rPr>
        <w:t xml:space="preserve">% vs. </w:t>
      </w:r>
      <w:r w:rsidR="00421460" w:rsidRPr="00DC1980">
        <w:rPr>
          <w:rFonts w:ascii="Times New Roman" w:hAnsi="Times New Roman" w:cs="Times New Roman"/>
        </w:rPr>
        <w:t>51.3</w:t>
      </w:r>
      <w:r w:rsidRPr="00DC1980">
        <w:rPr>
          <w:rFonts w:ascii="Times New Roman" w:hAnsi="Times New Roman" w:cs="Times New Roman"/>
        </w:rPr>
        <w:t xml:space="preserve">%) and NYHA class (≥1-class improvement: </w:t>
      </w:r>
      <w:r w:rsidR="00421460" w:rsidRPr="00DC1980">
        <w:rPr>
          <w:rFonts w:ascii="Times New Roman" w:hAnsi="Times New Roman" w:cs="Times New Roman"/>
        </w:rPr>
        <w:t>75</w:t>
      </w:r>
      <w:r w:rsidRPr="00DC1980">
        <w:rPr>
          <w:rFonts w:ascii="Times New Roman" w:hAnsi="Times New Roman" w:cs="Times New Roman"/>
        </w:rPr>
        <w:t xml:space="preserve">% vs. </w:t>
      </w:r>
      <w:r w:rsidR="00421460" w:rsidRPr="00DC1980">
        <w:rPr>
          <w:rFonts w:ascii="Times New Roman" w:hAnsi="Times New Roman" w:cs="Times New Roman"/>
        </w:rPr>
        <w:t>72.7</w:t>
      </w:r>
      <w:r w:rsidRPr="00DC1980">
        <w:rPr>
          <w:rFonts w:ascii="Times New Roman" w:hAnsi="Times New Roman" w:cs="Times New Roman"/>
        </w:rPr>
        <w:t>%, respectively)</w:t>
      </w:r>
      <w:r w:rsidR="00034627" w:rsidRPr="00DC1980">
        <w:rPr>
          <w:rFonts w:ascii="Times New Roman" w:hAnsi="Times New Roman" w:cs="Times New Roman"/>
        </w:rPr>
        <w:t>,</w:t>
      </w:r>
      <w:r w:rsidR="00034627" w:rsidRPr="00DC1980">
        <w:t xml:space="preserve"> </w:t>
      </w:r>
      <w:r w:rsidR="00D13742" w:rsidRPr="00DC1980">
        <w:t>t</w:t>
      </w:r>
      <w:r w:rsidR="00D13742" w:rsidRPr="00DC1980">
        <w:rPr>
          <w:rFonts w:ascii="Times New Roman" w:hAnsi="Times New Roman" w:cs="Times New Roman"/>
        </w:rPr>
        <w:t>hough these differences also did not reach statistical significance</w:t>
      </w:r>
      <w:r w:rsidRPr="00DC1980">
        <w:rPr>
          <w:rFonts w:ascii="Times New Roman" w:hAnsi="Times New Roman" w:cs="Times New Roman"/>
        </w:rPr>
        <w:t>.</w:t>
      </w:r>
    </w:p>
    <w:p w14:paraId="0E4CD7CA" w14:textId="77777777" w:rsidR="005B0859" w:rsidRPr="00DC1980" w:rsidRDefault="005B0859" w:rsidP="00CB254F">
      <w:pPr>
        <w:spacing w:line="480" w:lineRule="auto"/>
        <w:jc w:val="both"/>
        <w:rPr>
          <w:rFonts w:ascii="Times New Roman" w:hAnsi="Times New Roman" w:cs="Times New Roman"/>
          <w:i/>
          <w:iCs/>
        </w:rPr>
      </w:pPr>
      <w:r w:rsidRPr="00DC1980">
        <w:rPr>
          <w:rFonts w:ascii="Times New Roman" w:hAnsi="Times New Roman" w:cs="Times New Roman"/>
          <w:i/>
          <w:iCs/>
        </w:rPr>
        <w:t>Adverse Events</w:t>
      </w:r>
    </w:p>
    <w:p w14:paraId="7C32D827" w14:textId="7A5FDF92" w:rsidR="002353E6" w:rsidRPr="00DC1980" w:rsidRDefault="00D96CC7" w:rsidP="00CB254F">
      <w:pPr>
        <w:spacing w:line="480" w:lineRule="auto"/>
        <w:jc w:val="both"/>
        <w:rPr>
          <w:rFonts w:ascii="Times New Roman" w:hAnsi="Times New Roman" w:cs="Times New Roman"/>
        </w:rPr>
      </w:pPr>
      <w:r w:rsidRPr="00DC1980">
        <w:rPr>
          <w:rFonts w:ascii="Times New Roman" w:hAnsi="Times New Roman" w:cs="Times New Roman"/>
        </w:rPr>
        <w:t xml:space="preserve">Adverse events at 30 days are summarized in Figure 3. </w:t>
      </w:r>
      <w:r w:rsidR="002353E6" w:rsidRPr="00DC1980">
        <w:rPr>
          <w:rFonts w:ascii="Times New Roman" w:hAnsi="Times New Roman" w:cs="Times New Roman"/>
        </w:rPr>
        <w:t xml:space="preserve">Major bleeding occurred in </w:t>
      </w:r>
      <w:r w:rsidR="00A62348" w:rsidRPr="00DC1980">
        <w:rPr>
          <w:rFonts w:ascii="Times New Roman" w:hAnsi="Times New Roman" w:cs="Times New Roman"/>
        </w:rPr>
        <w:t>17</w:t>
      </w:r>
      <w:r w:rsidR="002353E6" w:rsidRPr="00DC1980">
        <w:rPr>
          <w:rFonts w:ascii="Times New Roman" w:hAnsi="Times New Roman" w:cs="Times New Roman"/>
        </w:rPr>
        <w:t>% of eligible patients and 1</w:t>
      </w:r>
      <w:r w:rsidR="00A62348" w:rsidRPr="00DC1980">
        <w:rPr>
          <w:rFonts w:ascii="Times New Roman" w:hAnsi="Times New Roman" w:cs="Times New Roman"/>
        </w:rPr>
        <w:t>2.3</w:t>
      </w:r>
      <w:r w:rsidR="002353E6" w:rsidRPr="00DC1980">
        <w:rPr>
          <w:rFonts w:ascii="Times New Roman" w:hAnsi="Times New Roman" w:cs="Times New Roman"/>
        </w:rPr>
        <w:t>% of non-eligible patients (p = 0.</w:t>
      </w:r>
      <w:r w:rsidR="00A62348" w:rsidRPr="00DC1980">
        <w:rPr>
          <w:rFonts w:ascii="Times New Roman" w:hAnsi="Times New Roman" w:cs="Times New Roman"/>
        </w:rPr>
        <w:t>5</w:t>
      </w:r>
      <w:r w:rsidR="002353E6" w:rsidRPr="00DC1980">
        <w:rPr>
          <w:rFonts w:ascii="Times New Roman" w:hAnsi="Times New Roman" w:cs="Times New Roman"/>
        </w:rPr>
        <w:t xml:space="preserve">8). The incidence of permanent pacemaker implantation was comparable between groups, observed in </w:t>
      </w:r>
      <w:r w:rsidR="00A62348" w:rsidRPr="00DC1980">
        <w:rPr>
          <w:rFonts w:ascii="Times New Roman" w:hAnsi="Times New Roman" w:cs="Times New Roman"/>
        </w:rPr>
        <w:t>17</w:t>
      </w:r>
      <w:r w:rsidR="002353E6" w:rsidRPr="00DC1980">
        <w:rPr>
          <w:rFonts w:ascii="Times New Roman" w:hAnsi="Times New Roman" w:cs="Times New Roman"/>
        </w:rPr>
        <w:t>% of eligible patients and 1</w:t>
      </w:r>
      <w:r w:rsidR="00A62348" w:rsidRPr="00DC1980">
        <w:rPr>
          <w:rFonts w:ascii="Times New Roman" w:hAnsi="Times New Roman" w:cs="Times New Roman"/>
        </w:rPr>
        <w:t>3</w:t>
      </w:r>
      <w:r w:rsidR="002353E6" w:rsidRPr="00DC1980">
        <w:rPr>
          <w:rFonts w:ascii="Times New Roman" w:hAnsi="Times New Roman" w:cs="Times New Roman"/>
        </w:rPr>
        <w:t xml:space="preserve">.8% of non-eligible patients (p = </w:t>
      </w:r>
      <w:r w:rsidR="00A62348" w:rsidRPr="00DC1980">
        <w:rPr>
          <w:rFonts w:ascii="Times New Roman" w:hAnsi="Times New Roman" w:cs="Times New Roman"/>
        </w:rPr>
        <w:t>0.79</w:t>
      </w:r>
      <w:r w:rsidR="002353E6" w:rsidRPr="00DC1980">
        <w:rPr>
          <w:rFonts w:ascii="Times New Roman" w:hAnsi="Times New Roman" w:cs="Times New Roman"/>
        </w:rPr>
        <w:t>).</w:t>
      </w:r>
    </w:p>
    <w:p w14:paraId="459B4B20" w14:textId="3605E4B0" w:rsidR="002353E6" w:rsidRPr="00DC1980" w:rsidRDefault="002353E6" w:rsidP="00CB254F">
      <w:pPr>
        <w:spacing w:line="480" w:lineRule="auto"/>
        <w:jc w:val="both"/>
        <w:rPr>
          <w:rFonts w:ascii="Times New Roman" w:hAnsi="Times New Roman" w:cs="Times New Roman"/>
        </w:rPr>
      </w:pPr>
      <w:r w:rsidRPr="00DC1980">
        <w:rPr>
          <w:rFonts w:ascii="Times New Roman" w:hAnsi="Times New Roman" w:cs="Times New Roman"/>
        </w:rPr>
        <w:lastRenderedPageBreak/>
        <w:t>Device-related complications</w:t>
      </w:r>
      <w:r w:rsidR="00913AE5" w:rsidRPr="00DC1980">
        <w:rPr>
          <w:rFonts w:ascii="Times New Roman" w:hAnsi="Times New Roman" w:cs="Times New Roman"/>
        </w:rPr>
        <w:t xml:space="preserve">, </w:t>
      </w:r>
      <w:r w:rsidRPr="00DC1980">
        <w:rPr>
          <w:rFonts w:ascii="Times New Roman" w:hAnsi="Times New Roman" w:cs="Times New Roman"/>
        </w:rPr>
        <w:t>including embolization, migration, or thrombosis</w:t>
      </w:r>
      <w:r w:rsidR="00913AE5" w:rsidRPr="00DC1980">
        <w:rPr>
          <w:rFonts w:ascii="Times New Roman" w:hAnsi="Times New Roman" w:cs="Times New Roman"/>
        </w:rPr>
        <w:t xml:space="preserve">, </w:t>
      </w:r>
      <w:r w:rsidRPr="00DC1980">
        <w:rPr>
          <w:rFonts w:ascii="Times New Roman" w:hAnsi="Times New Roman" w:cs="Times New Roman"/>
        </w:rPr>
        <w:t>were not reported in the eligible cohort but occurred in 1.</w:t>
      </w:r>
      <w:r w:rsidR="00A62348" w:rsidRPr="00DC1980">
        <w:rPr>
          <w:rFonts w:ascii="Times New Roman" w:hAnsi="Times New Roman" w:cs="Times New Roman"/>
        </w:rPr>
        <w:t>5</w:t>
      </w:r>
      <w:r w:rsidRPr="00DC1980">
        <w:rPr>
          <w:rFonts w:ascii="Times New Roman" w:hAnsi="Times New Roman" w:cs="Times New Roman"/>
        </w:rPr>
        <w:t xml:space="preserve">% of non-eligible patients. </w:t>
      </w:r>
      <w:r w:rsidR="00BC2FBF" w:rsidRPr="00DC1980">
        <w:rPr>
          <w:rFonts w:ascii="Times New Roman" w:hAnsi="Times New Roman" w:cs="Times New Roman"/>
        </w:rPr>
        <w:t>The overall incidence of device-related events was low, occurring in 4.2% of eligible patients and in none of the non-eligible patients.</w:t>
      </w:r>
    </w:p>
    <w:p w14:paraId="51BFB5FD" w14:textId="711F9876" w:rsidR="002353E6" w:rsidRPr="00DC1980" w:rsidRDefault="002353E6" w:rsidP="00CB254F">
      <w:pPr>
        <w:spacing w:line="480" w:lineRule="auto"/>
        <w:jc w:val="both"/>
        <w:rPr>
          <w:rFonts w:ascii="Times New Roman" w:hAnsi="Times New Roman" w:cs="Times New Roman"/>
        </w:rPr>
      </w:pPr>
      <w:r w:rsidRPr="00DC1980">
        <w:rPr>
          <w:rFonts w:ascii="Times New Roman" w:hAnsi="Times New Roman" w:cs="Times New Roman"/>
        </w:rPr>
        <w:t>Atrial fibrillation was reported more frequently in eligible patients (</w:t>
      </w:r>
      <w:r w:rsidR="00A62348" w:rsidRPr="00DC1980">
        <w:rPr>
          <w:rFonts w:ascii="Times New Roman" w:hAnsi="Times New Roman" w:cs="Times New Roman"/>
        </w:rPr>
        <w:t>4.3</w:t>
      </w:r>
      <w:r w:rsidRPr="00DC1980">
        <w:rPr>
          <w:rFonts w:ascii="Times New Roman" w:hAnsi="Times New Roman" w:cs="Times New Roman"/>
        </w:rPr>
        <w:t>% vs. 1.</w:t>
      </w:r>
      <w:r w:rsidR="00A62348" w:rsidRPr="00DC1980">
        <w:rPr>
          <w:rFonts w:ascii="Times New Roman" w:hAnsi="Times New Roman" w:cs="Times New Roman"/>
        </w:rPr>
        <w:t>5</w:t>
      </w:r>
      <w:r w:rsidRPr="00DC1980">
        <w:rPr>
          <w:rFonts w:ascii="Times New Roman" w:hAnsi="Times New Roman" w:cs="Times New Roman"/>
        </w:rPr>
        <w:t>%). Stroke occurred only in the non-eligible cohort (0.0% vs. 1.</w:t>
      </w:r>
      <w:r w:rsidR="00A62348" w:rsidRPr="00DC1980">
        <w:rPr>
          <w:rFonts w:ascii="Times New Roman" w:hAnsi="Times New Roman" w:cs="Times New Roman"/>
        </w:rPr>
        <w:t>5</w:t>
      </w:r>
      <w:r w:rsidRPr="00DC1980">
        <w:rPr>
          <w:rFonts w:ascii="Times New Roman" w:hAnsi="Times New Roman" w:cs="Times New Roman"/>
        </w:rPr>
        <w:t>%), as did pulmonary embolism (0.0% vs. 1.</w:t>
      </w:r>
      <w:r w:rsidR="00A62348" w:rsidRPr="00DC1980">
        <w:rPr>
          <w:rFonts w:ascii="Times New Roman" w:hAnsi="Times New Roman" w:cs="Times New Roman"/>
        </w:rPr>
        <w:t>5</w:t>
      </w:r>
      <w:r w:rsidRPr="00DC1980">
        <w:rPr>
          <w:rFonts w:ascii="Times New Roman" w:hAnsi="Times New Roman" w:cs="Times New Roman"/>
        </w:rPr>
        <w:t>%). The need for cardiac surgery or reintervention was low and similar in both groups (2.</w:t>
      </w:r>
      <w:r w:rsidR="00A62348" w:rsidRPr="00DC1980">
        <w:rPr>
          <w:rFonts w:ascii="Times New Roman" w:hAnsi="Times New Roman" w:cs="Times New Roman"/>
        </w:rPr>
        <w:t>1</w:t>
      </w:r>
      <w:r w:rsidRPr="00DC1980">
        <w:rPr>
          <w:rFonts w:ascii="Times New Roman" w:hAnsi="Times New Roman" w:cs="Times New Roman"/>
        </w:rPr>
        <w:t>% vs. 1.</w:t>
      </w:r>
      <w:r w:rsidR="00A62348" w:rsidRPr="00DC1980">
        <w:rPr>
          <w:rFonts w:ascii="Times New Roman" w:hAnsi="Times New Roman" w:cs="Times New Roman"/>
        </w:rPr>
        <w:t>5</w:t>
      </w:r>
      <w:r w:rsidRPr="00DC1980">
        <w:rPr>
          <w:rFonts w:ascii="Times New Roman" w:hAnsi="Times New Roman" w:cs="Times New Roman"/>
        </w:rPr>
        <w:t>%).</w:t>
      </w:r>
      <w:r w:rsidR="00A62348" w:rsidRPr="00DC1980">
        <w:rPr>
          <w:rFonts w:ascii="Times New Roman" w:hAnsi="Times New Roman" w:cs="Times New Roman"/>
        </w:rPr>
        <w:t xml:space="preserve"> </w:t>
      </w:r>
      <w:r w:rsidRPr="00DC1980">
        <w:rPr>
          <w:rFonts w:ascii="Times New Roman" w:hAnsi="Times New Roman" w:cs="Times New Roman"/>
        </w:rPr>
        <w:t xml:space="preserve">All-cause mortality at 30 days was 2.0% in the eligible group compared to 8.2% in the non-eligible group (p = </w:t>
      </w:r>
      <w:r w:rsidR="00995CE1" w:rsidRPr="00DC1980">
        <w:rPr>
          <w:rFonts w:ascii="Times New Roman" w:hAnsi="Times New Roman" w:cs="Times New Roman"/>
        </w:rPr>
        <w:t>0.</w:t>
      </w:r>
      <w:r w:rsidR="00A62348" w:rsidRPr="00DC1980">
        <w:rPr>
          <w:rFonts w:ascii="Times New Roman" w:hAnsi="Times New Roman" w:cs="Times New Roman"/>
        </w:rPr>
        <w:t>39</w:t>
      </w:r>
      <w:r w:rsidRPr="00DC1980">
        <w:rPr>
          <w:rFonts w:ascii="Times New Roman" w:hAnsi="Times New Roman" w:cs="Times New Roman"/>
        </w:rPr>
        <w:t xml:space="preserve">). Readmission </w:t>
      </w:r>
      <w:r w:rsidR="00A62348" w:rsidRPr="00DC1980">
        <w:rPr>
          <w:rFonts w:ascii="Times New Roman" w:hAnsi="Times New Roman" w:cs="Times New Roman"/>
        </w:rPr>
        <w:t>rates were 24.4</w:t>
      </w:r>
      <w:r w:rsidR="00436FE8" w:rsidRPr="00DC1980">
        <w:rPr>
          <w:rFonts w:ascii="Times New Roman" w:hAnsi="Times New Roman" w:cs="Times New Roman"/>
        </w:rPr>
        <w:t>%</w:t>
      </w:r>
      <w:r w:rsidR="00A62348" w:rsidRPr="00DC1980">
        <w:rPr>
          <w:rFonts w:ascii="Times New Roman" w:hAnsi="Times New Roman" w:cs="Times New Roman"/>
        </w:rPr>
        <w:t xml:space="preserve"> of </w:t>
      </w:r>
      <w:r w:rsidRPr="00DC1980">
        <w:rPr>
          <w:rFonts w:ascii="Times New Roman" w:hAnsi="Times New Roman" w:cs="Times New Roman"/>
        </w:rPr>
        <w:t>eligible patients and 2</w:t>
      </w:r>
      <w:r w:rsidR="00A62348" w:rsidRPr="00DC1980">
        <w:rPr>
          <w:rFonts w:ascii="Times New Roman" w:hAnsi="Times New Roman" w:cs="Times New Roman"/>
        </w:rPr>
        <w:t>5</w:t>
      </w:r>
      <w:r w:rsidRPr="00DC1980">
        <w:rPr>
          <w:rFonts w:ascii="Times New Roman" w:hAnsi="Times New Roman" w:cs="Times New Roman"/>
        </w:rPr>
        <w:t>% of non-eligible patients</w:t>
      </w:r>
      <w:r w:rsidR="00A62348" w:rsidRPr="00DC1980">
        <w:rPr>
          <w:rFonts w:ascii="Times New Roman" w:hAnsi="Times New Roman" w:cs="Times New Roman"/>
        </w:rPr>
        <w:t xml:space="preserve">. </w:t>
      </w:r>
    </w:p>
    <w:p w14:paraId="1284E9C7" w14:textId="6852DFFC" w:rsidR="002353E6" w:rsidRPr="00DC1980" w:rsidRDefault="002353E6" w:rsidP="00CB254F">
      <w:pPr>
        <w:spacing w:line="480" w:lineRule="auto"/>
        <w:jc w:val="both"/>
        <w:rPr>
          <w:rFonts w:ascii="Times New Roman" w:hAnsi="Times New Roman" w:cs="Times New Roman"/>
        </w:rPr>
      </w:pPr>
      <w:r w:rsidRPr="00DC1980">
        <w:rPr>
          <w:rFonts w:ascii="Times New Roman" w:hAnsi="Times New Roman" w:cs="Times New Roman"/>
        </w:rPr>
        <w:t>In summary, the overall incidence of adverse events was low across both cohorts. However, numerically higher rates of mortality</w:t>
      </w:r>
      <w:r w:rsidR="005B639C" w:rsidRPr="00DC1980">
        <w:rPr>
          <w:rFonts w:ascii="Times New Roman" w:hAnsi="Times New Roman" w:cs="Times New Roman"/>
        </w:rPr>
        <w:t xml:space="preserve"> and certain </w:t>
      </w:r>
      <w:r w:rsidRPr="00DC1980">
        <w:rPr>
          <w:rFonts w:ascii="Times New Roman" w:hAnsi="Times New Roman" w:cs="Times New Roman"/>
        </w:rPr>
        <w:t>complications were observed in the non-eligible group.</w:t>
      </w:r>
    </w:p>
    <w:p w14:paraId="7C80E567" w14:textId="54D535FC" w:rsidR="005B0859" w:rsidRPr="00DC1980" w:rsidRDefault="005B0859" w:rsidP="00CB254F">
      <w:pPr>
        <w:spacing w:line="480" w:lineRule="auto"/>
        <w:jc w:val="both"/>
        <w:rPr>
          <w:rFonts w:ascii="Times New Roman" w:hAnsi="Times New Roman" w:cs="Times New Roman"/>
          <w:i/>
          <w:iCs/>
        </w:rPr>
      </w:pPr>
      <w:r w:rsidRPr="00DC1980">
        <w:rPr>
          <w:rFonts w:ascii="Times New Roman" w:hAnsi="Times New Roman" w:cs="Times New Roman"/>
          <w:i/>
          <w:iCs/>
        </w:rPr>
        <w:t>Major Adverse Cardiac Events (MACE)</w:t>
      </w:r>
    </w:p>
    <w:p w14:paraId="1152463E" w14:textId="58984202" w:rsidR="00CC3BBE" w:rsidRDefault="00430D8F" w:rsidP="00CB254F">
      <w:pPr>
        <w:spacing w:line="480" w:lineRule="auto"/>
        <w:jc w:val="both"/>
        <w:rPr>
          <w:rFonts w:ascii="Times New Roman" w:hAnsi="Times New Roman" w:cs="Times New Roman"/>
        </w:rPr>
      </w:pPr>
      <w:r w:rsidRPr="00DC1980">
        <w:rPr>
          <w:rFonts w:ascii="Times New Roman" w:hAnsi="Times New Roman" w:cs="Times New Roman"/>
        </w:rPr>
        <w:t>The incidence of 3-point major adverse cardiac events (MACE)</w:t>
      </w:r>
      <w:r w:rsidR="003B4988" w:rsidRPr="00DC1980">
        <w:rPr>
          <w:rFonts w:ascii="Times New Roman" w:hAnsi="Times New Roman" w:cs="Times New Roman"/>
        </w:rPr>
        <w:t xml:space="preserve">, </w:t>
      </w:r>
      <w:r w:rsidRPr="00DC1980">
        <w:rPr>
          <w:rFonts w:ascii="Times New Roman" w:hAnsi="Times New Roman" w:cs="Times New Roman"/>
        </w:rPr>
        <w:t>defined as cardiovascular death, nonfatal myocardial infarction, or nonfatal stroke</w:t>
      </w:r>
      <w:r w:rsidR="003B4988" w:rsidRPr="00DC1980">
        <w:rPr>
          <w:rFonts w:ascii="Times New Roman" w:hAnsi="Times New Roman" w:cs="Times New Roman"/>
        </w:rPr>
        <w:t xml:space="preserve">, </w:t>
      </w:r>
      <w:r w:rsidRPr="00DC1980">
        <w:rPr>
          <w:rFonts w:ascii="Times New Roman" w:hAnsi="Times New Roman" w:cs="Times New Roman"/>
        </w:rPr>
        <w:t xml:space="preserve">was 0% in patients eligible for the TRISCEND II trial and </w:t>
      </w:r>
      <w:r w:rsidR="00143882" w:rsidRPr="00DC1980">
        <w:rPr>
          <w:rFonts w:ascii="Times New Roman" w:hAnsi="Times New Roman" w:cs="Times New Roman"/>
        </w:rPr>
        <w:t>4.9</w:t>
      </w:r>
      <w:r w:rsidRPr="00DC1980">
        <w:rPr>
          <w:rFonts w:ascii="Times New Roman" w:hAnsi="Times New Roman" w:cs="Times New Roman"/>
        </w:rPr>
        <w:t xml:space="preserve">% in non-eligible patients at 30 days post-TTVR. </w:t>
      </w:r>
      <w:r w:rsidR="006D247C" w:rsidRPr="00DC1980">
        <w:rPr>
          <w:rFonts w:ascii="Times New Roman" w:hAnsi="Times New Roman" w:cs="Times New Roman"/>
        </w:rPr>
        <w:t xml:space="preserve">This included two cardiovascular deaths and one nonfatal stroke in the non-eligible cohort; no myocardial infarctions were reported in either group. </w:t>
      </w:r>
      <w:r w:rsidRPr="00DC1980">
        <w:rPr>
          <w:rFonts w:ascii="Times New Roman" w:hAnsi="Times New Roman" w:cs="Times New Roman"/>
        </w:rPr>
        <w:t xml:space="preserve">This difference may reflect the exclusion of higher-risk individuals from trial eligibility criteria. </w:t>
      </w:r>
      <w:r w:rsidR="00391409" w:rsidRPr="00DC1980">
        <w:rPr>
          <w:rFonts w:ascii="Times New Roman" w:hAnsi="Times New Roman" w:cs="Times New Roman"/>
        </w:rPr>
        <w:t>Nonetheless, the overall incidence of MACE remained low across both cohorts, reinforcing the short-term safety of TTVR when applied to appropriately selected patients.</w:t>
      </w:r>
    </w:p>
    <w:p w14:paraId="47F220DC" w14:textId="77777777" w:rsidR="007B110A" w:rsidRPr="00DC1980" w:rsidRDefault="007B110A" w:rsidP="00CB254F">
      <w:pPr>
        <w:spacing w:line="480" w:lineRule="auto"/>
        <w:jc w:val="both"/>
        <w:rPr>
          <w:rFonts w:ascii="Times New Roman" w:hAnsi="Times New Roman" w:cs="Times New Roman"/>
        </w:rPr>
      </w:pPr>
    </w:p>
    <w:p w14:paraId="32F6C40E" w14:textId="12BC8947" w:rsidR="00213288" w:rsidRPr="00DC1980" w:rsidRDefault="00213288" w:rsidP="00CB254F">
      <w:pPr>
        <w:spacing w:line="480" w:lineRule="auto"/>
        <w:rPr>
          <w:rFonts w:ascii="Times New Roman" w:eastAsia="Times New Roman" w:hAnsi="Times New Roman" w:cs="Times New Roman"/>
          <w:b/>
          <w:bCs/>
          <w:sz w:val="28"/>
          <w:szCs w:val="28"/>
        </w:rPr>
      </w:pPr>
      <w:r w:rsidRPr="00DC1980">
        <w:rPr>
          <w:rFonts w:ascii="Times New Roman" w:eastAsia="Times New Roman" w:hAnsi="Times New Roman" w:cs="Times New Roman"/>
          <w:b/>
          <w:bCs/>
          <w:sz w:val="28"/>
          <w:szCs w:val="28"/>
        </w:rPr>
        <w:lastRenderedPageBreak/>
        <w:t>Discussion</w:t>
      </w:r>
    </w:p>
    <w:p w14:paraId="5C2B027A" w14:textId="2D2CA236" w:rsidR="00471423" w:rsidRPr="00DC1980" w:rsidRDefault="00F51BAD"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The EVOQUE system, the first TTVR device approved in the U.S., has shown significant benefits in reducing TR, improving symptoms, and promoting right ventricular remodeling. However, it is also associated with notable complication rates, including severe bleeding and pacemaker implantation.</w:t>
      </w:r>
      <w:r w:rsidR="006B4AEE" w:rsidRPr="00DC1980">
        <w:rPr>
          <w:rFonts w:ascii="Times New Roman" w:eastAsia="Times New Roman" w:hAnsi="Times New Roman" w:cs="Times New Roman"/>
          <w:noProof/>
          <w:vertAlign w:val="superscript"/>
        </w:rPr>
        <w:t xml:space="preserve"> 5</w:t>
      </w:r>
      <w:r w:rsidRPr="00DC1980">
        <w:rPr>
          <w:rFonts w:ascii="Times New Roman" w:eastAsia="Times New Roman" w:hAnsi="Times New Roman" w:cs="Times New Roman"/>
        </w:rPr>
        <w:t xml:space="preserve"> Despite rapid advancements</w:t>
      </w:r>
      <w:r w:rsidR="00A707FB" w:rsidRPr="00DC1980">
        <w:rPr>
          <w:rFonts w:ascii="Times New Roman" w:eastAsia="Times New Roman" w:hAnsi="Times New Roman" w:cs="Times New Roman"/>
        </w:rPr>
        <w:t xml:space="preserve"> and implementation</w:t>
      </w:r>
      <w:r w:rsidRPr="00DC1980">
        <w:rPr>
          <w:rFonts w:ascii="Times New Roman" w:eastAsia="Times New Roman" w:hAnsi="Times New Roman" w:cs="Times New Roman"/>
        </w:rPr>
        <w:t>, real-world data on outcomes and predictors of complication</w:t>
      </w:r>
      <w:r w:rsidR="00E844C7" w:rsidRPr="00DC1980">
        <w:rPr>
          <w:rFonts w:ascii="Times New Roman" w:eastAsia="Times New Roman" w:hAnsi="Times New Roman" w:cs="Times New Roman"/>
        </w:rPr>
        <w:t xml:space="preserve"> in trial eligible vs. non-trial eligible patient</w:t>
      </w:r>
      <w:r w:rsidRPr="00DC1980">
        <w:rPr>
          <w:rFonts w:ascii="Times New Roman" w:eastAsia="Times New Roman" w:hAnsi="Times New Roman" w:cs="Times New Roman"/>
        </w:rPr>
        <w:t xml:space="preserve"> remain limited.</w:t>
      </w:r>
      <w:r w:rsidR="007039A1" w:rsidRPr="00DC1980">
        <w:rPr>
          <w:rFonts w:ascii="Times New Roman" w:eastAsia="Times New Roman" w:hAnsi="Times New Roman" w:cs="Times New Roman"/>
        </w:rPr>
        <w:t xml:space="preserve"> </w:t>
      </w:r>
      <w:r w:rsidRPr="00DC1980">
        <w:rPr>
          <w:rFonts w:ascii="Times New Roman" w:eastAsia="Times New Roman" w:hAnsi="Times New Roman" w:cs="Times New Roman"/>
        </w:rPr>
        <w:t>Our</w:t>
      </w:r>
      <w:r w:rsidR="00471423" w:rsidRPr="00DC1980">
        <w:rPr>
          <w:rFonts w:ascii="Times New Roman" w:eastAsia="Times New Roman" w:hAnsi="Times New Roman" w:cs="Times New Roman"/>
        </w:rPr>
        <w:t xml:space="preserve"> study provides a comprehensive assessment of real-world outcomes following TTVR using the Evoque system, stratified by eligibility for the TRISCEND II pivotal trial. Our findings underscore key differences in baseline clinical profiles, procedural outcomes, and short-term safety between patients who met trial inclusion criteria and those who did not. Importantly, both groups experienced significant symptomatic and functional improvements at 30 days</w:t>
      </w:r>
      <w:r w:rsidR="007B110A">
        <w:rPr>
          <w:rFonts w:ascii="Times New Roman" w:eastAsia="Times New Roman" w:hAnsi="Times New Roman" w:cs="Times New Roman"/>
        </w:rPr>
        <w:t xml:space="preserve"> (Central Illustration)</w:t>
      </w:r>
      <w:r w:rsidR="0091173D" w:rsidRPr="00DC1980">
        <w:rPr>
          <w:rFonts w:ascii="Times New Roman" w:eastAsia="Times New Roman" w:hAnsi="Times New Roman" w:cs="Times New Roman"/>
        </w:rPr>
        <w:t>.</w:t>
      </w:r>
    </w:p>
    <w:p w14:paraId="34F6B9C3" w14:textId="624EF0C7" w:rsidR="00980D2C" w:rsidRPr="00DC1980" w:rsidRDefault="00980D2C"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Approximately 5</w:t>
      </w:r>
      <w:r w:rsidR="008214DA" w:rsidRPr="00DC1980">
        <w:rPr>
          <w:rFonts w:ascii="Times New Roman" w:eastAsia="Times New Roman" w:hAnsi="Times New Roman" w:cs="Times New Roman"/>
        </w:rPr>
        <w:t>8</w:t>
      </w:r>
      <w:r w:rsidRPr="00DC1980">
        <w:rPr>
          <w:rFonts w:ascii="Times New Roman" w:eastAsia="Times New Roman" w:hAnsi="Times New Roman" w:cs="Times New Roman"/>
        </w:rPr>
        <w:t>% of our TTVR population would have been excluded from participation in TRISCEND II due to comorbidities or anatomical contraindications</w:t>
      </w:r>
      <w:r w:rsidR="00E922EF" w:rsidRPr="00DC1980">
        <w:rPr>
          <w:rFonts w:ascii="Times New Roman" w:eastAsia="Times New Roman" w:hAnsi="Times New Roman" w:cs="Times New Roman"/>
        </w:rPr>
        <w:t xml:space="preserve">, </w:t>
      </w:r>
      <w:r w:rsidRPr="00DC1980">
        <w:rPr>
          <w:rFonts w:ascii="Times New Roman" w:eastAsia="Times New Roman" w:hAnsi="Times New Roman" w:cs="Times New Roman"/>
        </w:rPr>
        <w:t>highlighting a substantial proportion of real-world patients who fall outside traditional trial frameworks. These individuals were younger on average but had a significantly higher burden of comorbid conditions, including advanced renal disease</w:t>
      </w:r>
      <w:r w:rsidR="00170D5A" w:rsidRPr="00DC1980">
        <w:rPr>
          <w:rFonts w:ascii="Times New Roman" w:eastAsia="Times New Roman" w:hAnsi="Times New Roman" w:cs="Times New Roman"/>
        </w:rPr>
        <w:t xml:space="preserve"> (1</w:t>
      </w:r>
      <w:r w:rsidR="008214DA" w:rsidRPr="00DC1980">
        <w:rPr>
          <w:rFonts w:ascii="Times New Roman" w:eastAsia="Times New Roman" w:hAnsi="Times New Roman" w:cs="Times New Roman"/>
        </w:rPr>
        <w:t>6.9</w:t>
      </w:r>
      <w:r w:rsidR="00F807C8" w:rsidRPr="00DC1980">
        <w:rPr>
          <w:rFonts w:ascii="Times New Roman" w:eastAsia="Times New Roman" w:hAnsi="Times New Roman" w:cs="Times New Roman"/>
        </w:rPr>
        <w:t xml:space="preserve"> </w:t>
      </w:r>
      <w:r w:rsidR="00170D5A" w:rsidRPr="00DC1980">
        <w:rPr>
          <w:rFonts w:ascii="Times New Roman" w:eastAsia="Times New Roman" w:hAnsi="Times New Roman" w:cs="Times New Roman"/>
        </w:rPr>
        <w:t>% vs. 0%, p&lt;0.05)</w:t>
      </w:r>
      <w:r w:rsidR="0056798D" w:rsidRPr="00DC1980">
        <w:rPr>
          <w:rFonts w:ascii="Times New Roman" w:eastAsia="Times New Roman" w:hAnsi="Times New Roman" w:cs="Times New Roman"/>
        </w:rPr>
        <w:t xml:space="preserve"> and</w:t>
      </w:r>
      <w:r w:rsidRPr="00DC1980">
        <w:rPr>
          <w:rFonts w:ascii="Times New Roman" w:eastAsia="Times New Roman" w:hAnsi="Times New Roman" w:cs="Times New Roman"/>
        </w:rPr>
        <w:t xml:space="preserve"> chronic pulmonary disease</w:t>
      </w:r>
      <w:r w:rsidR="004E07CC" w:rsidRPr="00DC1980">
        <w:rPr>
          <w:rFonts w:ascii="Times New Roman" w:eastAsia="Times New Roman" w:hAnsi="Times New Roman" w:cs="Times New Roman"/>
        </w:rPr>
        <w:t xml:space="preserve"> (</w:t>
      </w:r>
      <w:r w:rsidR="008214DA" w:rsidRPr="00DC1980">
        <w:rPr>
          <w:rFonts w:ascii="Times New Roman" w:eastAsia="Times New Roman" w:hAnsi="Times New Roman" w:cs="Times New Roman"/>
        </w:rPr>
        <w:t>44.6</w:t>
      </w:r>
      <w:r w:rsidR="004E07CC" w:rsidRPr="00DC1980">
        <w:rPr>
          <w:rFonts w:ascii="Times New Roman" w:eastAsia="Times New Roman" w:hAnsi="Times New Roman" w:cs="Times New Roman"/>
        </w:rPr>
        <w:t xml:space="preserve">% vs. </w:t>
      </w:r>
      <w:r w:rsidR="008214DA" w:rsidRPr="00DC1980">
        <w:rPr>
          <w:rFonts w:ascii="Times New Roman" w:eastAsia="Times New Roman" w:hAnsi="Times New Roman" w:cs="Times New Roman"/>
        </w:rPr>
        <w:t>23.4</w:t>
      </w:r>
      <w:r w:rsidR="004E07CC" w:rsidRPr="00DC1980">
        <w:rPr>
          <w:rFonts w:ascii="Times New Roman" w:eastAsia="Times New Roman" w:hAnsi="Times New Roman" w:cs="Times New Roman"/>
        </w:rPr>
        <w:t>%, p&lt;0.05)</w:t>
      </w:r>
      <w:r w:rsidR="0056798D" w:rsidRPr="00DC1980">
        <w:rPr>
          <w:rFonts w:ascii="Times New Roman" w:eastAsia="Times New Roman" w:hAnsi="Times New Roman" w:cs="Times New Roman"/>
        </w:rPr>
        <w:t xml:space="preserve">. </w:t>
      </w:r>
      <w:r w:rsidRPr="00DC1980">
        <w:rPr>
          <w:rFonts w:ascii="Times New Roman" w:eastAsia="Times New Roman" w:hAnsi="Times New Roman" w:cs="Times New Roman"/>
        </w:rPr>
        <w:t xml:space="preserve">They also exhibited markers of more advanced cardiopulmonary compromise, such as elevated RVSP and lower </w:t>
      </w:r>
      <w:r w:rsidR="002105F2" w:rsidRPr="00DC1980">
        <w:rPr>
          <w:rFonts w:ascii="Times New Roman" w:eastAsia="Times New Roman" w:hAnsi="Times New Roman" w:cs="Times New Roman"/>
        </w:rPr>
        <w:t>LVEF</w:t>
      </w:r>
      <w:r w:rsidRPr="00DC1980">
        <w:rPr>
          <w:rFonts w:ascii="Times New Roman" w:eastAsia="Times New Roman" w:hAnsi="Times New Roman" w:cs="Times New Roman"/>
        </w:rPr>
        <w:t>.</w:t>
      </w:r>
      <w:r w:rsidR="0035028D" w:rsidRPr="00DC1980">
        <w:rPr>
          <w:rFonts w:ascii="Times New Roman" w:eastAsia="Times New Roman" w:hAnsi="Times New Roman" w:cs="Times New Roman"/>
        </w:rPr>
        <w:t xml:space="preserve"> </w:t>
      </w:r>
      <w:r w:rsidR="0053587B" w:rsidRPr="00DC1980">
        <w:rPr>
          <w:rFonts w:ascii="Times New Roman" w:eastAsia="Times New Roman" w:hAnsi="Times New Roman" w:cs="Times New Roman"/>
        </w:rPr>
        <w:t>These findings are consistent with prior observations that randomized controlled trials (RCTs) often enroll a more selected, less comorbid population than that encountered in routine clinical practice</w:t>
      </w:r>
      <w:r w:rsidR="004F26E3" w:rsidRPr="00DC1980">
        <w:rPr>
          <w:rFonts w:ascii="Times New Roman" w:eastAsia="Times New Roman" w:hAnsi="Times New Roman" w:cs="Times New Roman"/>
        </w:rPr>
        <w:t>.</w:t>
      </w:r>
      <w:r w:rsidR="006B4AEE" w:rsidRPr="00DC1980">
        <w:rPr>
          <w:rFonts w:ascii="Times New Roman" w:eastAsia="Times New Roman" w:hAnsi="Times New Roman" w:cs="Times New Roman"/>
          <w:noProof/>
          <w:vertAlign w:val="superscript"/>
        </w:rPr>
        <w:t xml:space="preserve"> 14-17</w:t>
      </w:r>
      <w:r w:rsidR="009A49E7" w:rsidRPr="00DC1980">
        <w:rPr>
          <w:rFonts w:ascii="Times New Roman" w:eastAsia="Times New Roman" w:hAnsi="Times New Roman" w:cs="Times New Roman"/>
        </w:rPr>
        <w:t xml:space="preserve"> In fact, recent data from </w:t>
      </w:r>
      <w:proofErr w:type="spellStart"/>
      <w:r w:rsidR="009A49E7" w:rsidRPr="00DC1980">
        <w:rPr>
          <w:rFonts w:ascii="Times New Roman" w:eastAsia="Times New Roman" w:hAnsi="Times New Roman" w:cs="Times New Roman"/>
        </w:rPr>
        <w:t>Abushouk</w:t>
      </w:r>
      <w:proofErr w:type="spellEnd"/>
      <w:r w:rsidR="009A49E7" w:rsidRPr="00DC1980">
        <w:rPr>
          <w:rFonts w:ascii="Times New Roman" w:eastAsia="Times New Roman" w:hAnsi="Times New Roman" w:cs="Times New Roman"/>
        </w:rPr>
        <w:t xml:space="preserve"> et al. underscore that only 10.7% of patients referred for transcatheter tricuspid therapy at a high-volume center were ultimately eligible for enrollment in trials like TRISCEND, TRILUMINATE, or </w:t>
      </w:r>
      <w:r w:rsidR="009A49E7" w:rsidRPr="00DC1980">
        <w:rPr>
          <w:rFonts w:ascii="Times New Roman" w:eastAsia="Times New Roman" w:hAnsi="Times New Roman" w:cs="Times New Roman"/>
        </w:rPr>
        <w:lastRenderedPageBreak/>
        <w:t>CLASP-TR.</w:t>
      </w:r>
      <w:r w:rsidR="006B4AEE" w:rsidRPr="00DC1980">
        <w:rPr>
          <w:rFonts w:ascii="Times New Roman" w:eastAsia="Times New Roman" w:hAnsi="Times New Roman" w:cs="Times New Roman"/>
          <w:noProof/>
          <w:vertAlign w:val="superscript"/>
        </w:rPr>
        <w:t xml:space="preserve"> 15</w:t>
      </w:r>
      <w:r w:rsidR="009A49E7" w:rsidRPr="00DC1980">
        <w:rPr>
          <w:rFonts w:ascii="Times New Roman" w:eastAsia="Times New Roman" w:hAnsi="Times New Roman" w:cs="Times New Roman"/>
        </w:rPr>
        <w:t xml:space="preserve"> This low eligibility rate was largely due to comorbid conditions such as chronic kidney disease, pacemaker leads, severe pulmonary hypertension, or unfavorable anatomy</w:t>
      </w:r>
      <w:r w:rsidR="00E84028" w:rsidRPr="00DC1980">
        <w:rPr>
          <w:rFonts w:ascii="Times New Roman" w:eastAsia="Times New Roman" w:hAnsi="Times New Roman" w:cs="Times New Roman"/>
        </w:rPr>
        <w:t>,</w:t>
      </w:r>
      <w:r w:rsidR="009D1C90" w:rsidRPr="00DC1980">
        <w:rPr>
          <w:rFonts w:ascii="Times New Roman" w:eastAsia="Times New Roman" w:hAnsi="Times New Roman" w:cs="Times New Roman"/>
        </w:rPr>
        <w:t xml:space="preserve"> </w:t>
      </w:r>
      <w:r w:rsidR="00EF7648" w:rsidRPr="00DC1980">
        <w:rPr>
          <w:rFonts w:ascii="Times New Roman" w:eastAsia="Times New Roman" w:hAnsi="Times New Roman" w:cs="Times New Roman"/>
        </w:rPr>
        <w:t>reflecting</w:t>
      </w:r>
      <w:r w:rsidR="009A49E7" w:rsidRPr="00DC1980">
        <w:rPr>
          <w:rFonts w:ascii="Times New Roman" w:eastAsia="Times New Roman" w:hAnsi="Times New Roman" w:cs="Times New Roman"/>
        </w:rPr>
        <w:t xml:space="preserve"> the exclusion criteria that defined our own non-eligible cohort. These insights further highlight the </w:t>
      </w:r>
      <w:r w:rsidR="00074C6B" w:rsidRPr="00DC1980">
        <w:rPr>
          <w:rFonts w:ascii="Times New Roman" w:eastAsia="Times New Roman" w:hAnsi="Times New Roman" w:cs="Times New Roman"/>
        </w:rPr>
        <w:t>continued need of post-approval registries to continue to support the use of these technologies in a broader population of patients.</w:t>
      </w:r>
    </w:p>
    <w:p w14:paraId="1ED8C275" w14:textId="2B990CE5" w:rsidR="00CA4488" w:rsidRPr="00DC1980" w:rsidRDefault="00980D2C"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 xml:space="preserve">Despite these differences, procedural success was high and consistent across both groups, with effective TR reduction achieved in over 95% of patients. </w:t>
      </w:r>
      <w:r w:rsidR="00FD6237" w:rsidRPr="00DC1980">
        <w:rPr>
          <w:rFonts w:ascii="Times New Roman" w:eastAsia="Times New Roman" w:hAnsi="Times New Roman" w:cs="Times New Roman"/>
        </w:rPr>
        <w:t xml:space="preserve">This supports </w:t>
      </w:r>
      <w:r w:rsidR="00074C6B" w:rsidRPr="00DC1980">
        <w:rPr>
          <w:rFonts w:ascii="Times New Roman" w:eastAsia="Times New Roman" w:hAnsi="Times New Roman" w:cs="Times New Roman"/>
        </w:rPr>
        <w:t>previous studies</w:t>
      </w:r>
      <w:r w:rsidR="00FD6237" w:rsidRPr="00DC1980">
        <w:rPr>
          <w:rFonts w:ascii="Times New Roman" w:eastAsia="Times New Roman" w:hAnsi="Times New Roman" w:cs="Times New Roman"/>
        </w:rPr>
        <w:t xml:space="preserve"> that</w:t>
      </w:r>
      <w:r w:rsidR="00074C6B" w:rsidRPr="00DC1980">
        <w:rPr>
          <w:rFonts w:ascii="Times New Roman" w:eastAsia="Times New Roman" w:hAnsi="Times New Roman" w:cs="Times New Roman"/>
        </w:rPr>
        <w:t xml:space="preserve"> demonstrated</w:t>
      </w:r>
      <w:r w:rsidR="00FD6237" w:rsidRPr="00DC1980">
        <w:rPr>
          <w:rFonts w:ascii="Times New Roman" w:eastAsia="Times New Roman" w:hAnsi="Times New Roman" w:cs="Times New Roman"/>
        </w:rPr>
        <w:t xml:space="preserve"> the Evoque system can achieve effective TR reduction even in anatomically and clinically complex patients.</w:t>
      </w:r>
      <w:r w:rsidR="006B4AEE" w:rsidRPr="00DC1980">
        <w:rPr>
          <w:rFonts w:ascii="Times New Roman" w:eastAsia="Times New Roman" w:hAnsi="Times New Roman" w:cs="Times New Roman"/>
          <w:noProof/>
          <w:vertAlign w:val="superscript"/>
        </w:rPr>
        <w:t xml:space="preserve"> 5,6,18</w:t>
      </w:r>
      <w:r w:rsidR="00FD6237" w:rsidRPr="00DC1980">
        <w:rPr>
          <w:rFonts w:ascii="Times New Roman" w:eastAsia="Times New Roman" w:hAnsi="Times New Roman" w:cs="Times New Roman"/>
        </w:rPr>
        <w:t xml:space="preserve"> </w:t>
      </w:r>
      <w:r w:rsidRPr="00DC1980">
        <w:rPr>
          <w:rFonts w:ascii="Times New Roman" w:eastAsia="Times New Roman" w:hAnsi="Times New Roman" w:cs="Times New Roman"/>
        </w:rPr>
        <w:t>The degree of residual TR at 30 days, including rates of trivial or no regurgitation, was comparable between eligible and non-eligible patients, demonstrating the feasibility of TTVR even in anatomically or clinically complex cases</w:t>
      </w:r>
      <w:r w:rsidR="002053BE" w:rsidRPr="00DC1980">
        <w:rPr>
          <w:rFonts w:ascii="Times New Roman" w:eastAsia="Times New Roman" w:hAnsi="Times New Roman" w:cs="Times New Roman"/>
        </w:rPr>
        <w:t>.</w:t>
      </w:r>
      <w:r w:rsidR="00137DF3" w:rsidRPr="00DC1980">
        <w:rPr>
          <w:rFonts w:ascii="Times New Roman" w:eastAsia="Times New Roman" w:hAnsi="Times New Roman" w:cs="Times New Roman"/>
        </w:rPr>
        <w:t xml:space="preserve"> </w:t>
      </w:r>
      <w:r w:rsidR="002053BE" w:rsidRPr="00DC1980">
        <w:rPr>
          <w:rFonts w:ascii="Times New Roman" w:eastAsia="Times New Roman" w:hAnsi="Times New Roman" w:cs="Times New Roman"/>
        </w:rPr>
        <w:t xml:space="preserve">This aligns with outcomes from real-world TEER registries, such as the </w:t>
      </w:r>
      <w:proofErr w:type="spellStart"/>
      <w:r w:rsidR="002053BE" w:rsidRPr="00DC1980">
        <w:rPr>
          <w:rFonts w:ascii="Times New Roman" w:eastAsia="Times New Roman" w:hAnsi="Times New Roman" w:cs="Times New Roman"/>
        </w:rPr>
        <w:t>bRIGHT</w:t>
      </w:r>
      <w:proofErr w:type="spellEnd"/>
      <w:r w:rsidR="002053BE" w:rsidRPr="00DC1980">
        <w:rPr>
          <w:rFonts w:ascii="Times New Roman" w:eastAsia="Times New Roman" w:hAnsi="Times New Roman" w:cs="Times New Roman"/>
        </w:rPr>
        <w:t xml:space="preserve"> study, which have demonstrated similarly durable TR reduction</w:t>
      </w:r>
      <w:r w:rsidR="005246A8" w:rsidRPr="00DC1980">
        <w:rPr>
          <w:rFonts w:ascii="Times New Roman" w:eastAsia="Times New Roman" w:hAnsi="Times New Roman" w:cs="Times New Roman"/>
        </w:rPr>
        <w:t>.</w:t>
      </w:r>
      <w:r w:rsidR="006B4AEE" w:rsidRPr="00DC1980">
        <w:rPr>
          <w:rFonts w:ascii="Times New Roman" w:eastAsia="Times New Roman" w:hAnsi="Times New Roman" w:cs="Times New Roman"/>
          <w:noProof/>
          <w:vertAlign w:val="superscript"/>
        </w:rPr>
        <w:t xml:space="preserve"> 17</w:t>
      </w:r>
      <w:r w:rsidRPr="00DC1980">
        <w:rPr>
          <w:rFonts w:ascii="Times New Roman" w:eastAsia="Times New Roman" w:hAnsi="Times New Roman" w:cs="Times New Roman"/>
        </w:rPr>
        <w:t xml:space="preserve"> </w:t>
      </w:r>
      <w:r w:rsidR="00FD0AC9" w:rsidRPr="00DC1980">
        <w:rPr>
          <w:rFonts w:ascii="Times New Roman" w:eastAsia="Times New Roman" w:hAnsi="Times New Roman" w:cs="Times New Roman"/>
        </w:rPr>
        <w:t xml:space="preserve">Consistent findings have also been reported in a recent multicenter European study of the EVOQUE TTVR system, </w:t>
      </w:r>
      <w:r w:rsidR="0042162E" w:rsidRPr="00DC1980">
        <w:rPr>
          <w:rFonts w:ascii="Times New Roman" w:eastAsia="Times New Roman" w:hAnsi="Times New Roman" w:cs="Times New Roman"/>
        </w:rPr>
        <w:t xml:space="preserve">conducted in a real-world setting, </w:t>
      </w:r>
      <w:r w:rsidR="00FD0AC9" w:rsidRPr="00DC1980">
        <w:rPr>
          <w:rFonts w:ascii="Times New Roman" w:eastAsia="Times New Roman" w:hAnsi="Times New Roman" w:cs="Times New Roman"/>
        </w:rPr>
        <w:t>where 98.4% of patients achieved TR reduction from severe or greater to mild or none at 30 days</w:t>
      </w:r>
      <w:r w:rsidR="00FC4296" w:rsidRPr="00DC1980">
        <w:rPr>
          <w:rFonts w:ascii="Times New Roman" w:eastAsia="Times New Roman" w:hAnsi="Times New Roman" w:cs="Times New Roman"/>
        </w:rPr>
        <w:t xml:space="preserve"> in 176 patients</w:t>
      </w:r>
      <w:r w:rsidR="005F0934" w:rsidRPr="00DC1980">
        <w:rPr>
          <w:rFonts w:ascii="Times New Roman" w:eastAsia="Times New Roman" w:hAnsi="Times New Roman" w:cs="Times New Roman"/>
        </w:rPr>
        <w:t>.</w:t>
      </w:r>
      <w:r w:rsidR="006B4AEE" w:rsidRPr="00DC1980">
        <w:rPr>
          <w:rFonts w:ascii="Times New Roman" w:eastAsia="Times New Roman" w:hAnsi="Times New Roman" w:cs="Times New Roman"/>
          <w:noProof/>
          <w:vertAlign w:val="superscript"/>
        </w:rPr>
        <w:t>19</w:t>
      </w:r>
      <w:r w:rsidR="005F0934" w:rsidRPr="00DC1980">
        <w:rPr>
          <w:rFonts w:ascii="Times New Roman" w:eastAsia="Times New Roman" w:hAnsi="Times New Roman" w:cs="Times New Roman"/>
        </w:rPr>
        <w:t xml:space="preserve"> </w:t>
      </w:r>
    </w:p>
    <w:p w14:paraId="6EBAA2C5" w14:textId="1133DCFC" w:rsidR="00980D2C" w:rsidRPr="00DC1980" w:rsidRDefault="00980D2C" w:rsidP="00CB254F">
      <w:pPr>
        <w:spacing w:line="480" w:lineRule="auto"/>
        <w:jc w:val="both"/>
        <w:rPr>
          <w:rFonts w:ascii="Times New Roman" w:eastAsia="Times New Roman" w:hAnsi="Times New Roman" w:cs="Times New Roman"/>
          <w:color w:val="000000" w:themeColor="text1"/>
        </w:rPr>
      </w:pPr>
      <w:r w:rsidRPr="00DC1980">
        <w:rPr>
          <w:rFonts w:ascii="Times New Roman" w:eastAsia="Times New Roman" w:hAnsi="Times New Roman" w:cs="Times New Roman"/>
        </w:rPr>
        <w:t xml:space="preserve">Clinically, both groups demonstrated marked improvement in functional capacity and quality of life. </w:t>
      </w:r>
      <w:proofErr w:type="gramStart"/>
      <w:r w:rsidRPr="00DC1980">
        <w:rPr>
          <w:rFonts w:ascii="Times New Roman" w:eastAsia="Times New Roman" w:hAnsi="Times New Roman" w:cs="Times New Roman"/>
        </w:rPr>
        <w:t>The majority of</w:t>
      </w:r>
      <w:proofErr w:type="gramEnd"/>
      <w:r w:rsidRPr="00DC1980">
        <w:rPr>
          <w:rFonts w:ascii="Times New Roman" w:eastAsia="Times New Roman" w:hAnsi="Times New Roman" w:cs="Times New Roman"/>
        </w:rPr>
        <w:t xml:space="preserve"> patients experienced at least one NYHA class improvement, with eligible patients showing a slightly higher proportion of patients reaching class I or II status</w:t>
      </w:r>
      <w:r w:rsidR="00393ED2" w:rsidRPr="00DC1980">
        <w:rPr>
          <w:rFonts w:ascii="Times New Roman" w:eastAsia="Times New Roman" w:hAnsi="Times New Roman" w:cs="Times New Roman"/>
        </w:rPr>
        <w:t xml:space="preserve"> (</w:t>
      </w:r>
      <w:r w:rsidR="00CA65F8" w:rsidRPr="00DC1980">
        <w:rPr>
          <w:rFonts w:ascii="Times New Roman" w:eastAsia="Times New Roman" w:hAnsi="Times New Roman" w:cs="Times New Roman"/>
        </w:rPr>
        <w:t>88.1%</w:t>
      </w:r>
      <w:r w:rsidR="00393ED2" w:rsidRPr="00DC1980">
        <w:rPr>
          <w:rFonts w:ascii="Times New Roman" w:eastAsia="Times New Roman" w:hAnsi="Times New Roman" w:cs="Times New Roman"/>
        </w:rPr>
        <w:t xml:space="preserve"> vs.</w:t>
      </w:r>
      <w:r w:rsidR="00A75E42" w:rsidRPr="00DC1980">
        <w:rPr>
          <w:rFonts w:ascii="Times New Roman" w:eastAsia="Times New Roman" w:hAnsi="Times New Roman" w:cs="Times New Roman"/>
        </w:rPr>
        <w:t xml:space="preserve"> </w:t>
      </w:r>
      <w:r w:rsidR="00CA65F8" w:rsidRPr="00DC1980">
        <w:rPr>
          <w:rFonts w:ascii="Times New Roman" w:eastAsia="Times New Roman" w:hAnsi="Times New Roman" w:cs="Times New Roman"/>
        </w:rPr>
        <w:t>69%)</w:t>
      </w:r>
      <w:r w:rsidRPr="00DC1980">
        <w:rPr>
          <w:rFonts w:ascii="Times New Roman" w:eastAsia="Times New Roman" w:hAnsi="Times New Roman" w:cs="Times New Roman"/>
        </w:rPr>
        <w:t xml:space="preserve">. </w:t>
      </w:r>
      <w:r w:rsidR="007924C5" w:rsidRPr="00DC1980">
        <w:rPr>
          <w:rFonts w:ascii="Times New Roman" w:hAnsi="Times New Roman" w:cs="Times New Roman"/>
        </w:rPr>
        <w:t>While these trends suggest a benefit in the eligible group, it's important to note that the KCCQ confidence intervals were relatively wide, likely due to high variability in individual KCCQ responses regardless of eligibility status.</w:t>
      </w:r>
      <w:r w:rsidR="00C9555D" w:rsidRPr="00DC1980">
        <w:rPr>
          <w:i/>
          <w:iCs/>
        </w:rPr>
        <w:t xml:space="preserve"> </w:t>
      </w:r>
      <w:r w:rsidRPr="00DC1980">
        <w:rPr>
          <w:rFonts w:ascii="Times New Roman" w:eastAsia="Times New Roman" w:hAnsi="Times New Roman" w:cs="Times New Roman"/>
        </w:rPr>
        <w:t xml:space="preserve">These findings are consistent with TRISCEND II, which reported significant improvements in both functional status and health-related quality of life </w:t>
      </w:r>
      <w:r w:rsidRPr="00DC1980">
        <w:rPr>
          <w:rFonts w:ascii="Times New Roman" w:eastAsia="Times New Roman" w:hAnsi="Times New Roman" w:cs="Times New Roman"/>
        </w:rPr>
        <w:lastRenderedPageBreak/>
        <w:t xml:space="preserve">following TTVR.² </w:t>
      </w:r>
      <w:r w:rsidR="00EA7EB1" w:rsidRPr="00DC1980">
        <w:rPr>
          <w:rFonts w:ascii="Times New Roman" w:eastAsia="Times New Roman" w:hAnsi="Times New Roman" w:cs="Times New Roman"/>
        </w:rPr>
        <w:t>Similar improvements were observed in the European multicenter study of the EVOQUE TTVR system, where the proportion of patients in NYHA class I or II increased from 20.2% at baseline to 79.7% at 30-day follow-up</w:t>
      </w:r>
      <w:r w:rsidR="007A4699" w:rsidRPr="00DC1980">
        <w:rPr>
          <w:rFonts w:ascii="Times New Roman" w:eastAsia="Times New Roman" w:hAnsi="Times New Roman" w:cs="Times New Roman"/>
        </w:rPr>
        <w:t xml:space="preserve">, </w:t>
      </w:r>
      <w:r w:rsidR="00EA7EB1" w:rsidRPr="00DC1980">
        <w:rPr>
          <w:rFonts w:ascii="Times New Roman" w:eastAsia="Times New Roman" w:hAnsi="Times New Roman" w:cs="Times New Roman"/>
        </w:rPr>
        <w:t>further reinforcing the symptomatic benefit of TTVR across a broad spectrum of patients.</w:t>
      </w:r>
      <w:r w:rsidR="006B4AEE" w:rsidRPr="00DC1980">
        <w:rPr>
          <w:rFonts w:ascii="Times New Roman" w:eastAsia="Times New Roman" w:hAnsi="Times New Roman" w:cs="Times New Roman"/>
          <w:noProof/>
          <w:vertAlign w:val="superscript"/>
        </w:rPr>
        <w:t xml:space="preserve"> 19</w:t>
      </w:r>
      <w:r w:rsidR="00EA7EB1" w:rsidRPr="00DC1980">
        <w:rPr>
          <w:rFonts w:ascii="Times New Roman" w:eastAsia="Times New Roman" w:hAnsi="Times New Roman" w:cs="Times New Roman"/>
        </w:rPr>
        <w:t xml:space="preserve"> </w:t>
      </w:r>
      <w:r w:rsidRPr="00DC1980">
        <w:rPr>
          <w:rFonts w:ascii="Times New Roman" w:eastAsia="Times New Roman" w:hAnsi="Times New Roman" w:cs="Times New Roman"/>
        </w:rPr>
        <w:t xml:space="preserve">Our data extend these results by </w:t>
      </w:r>
      <w:r w:rsidRPr="00DC1980">
        <w:rPr>
          <w:rFonts w:ascii="Times New Roman" w:eastAsia="Times New Roman" w:hAnsi="Times New Roman" w:cs="Times New Roman"/>
          <w:color w:val="000000" w:themeColor="text1"/>
        </w:rPr>
        <w:t>confirming similar benefits in a broader, more medically complex population.</w:t>
      </w:r>
    </w:p>
    <w:p w14:paraId="427DA9A8" w14:textId="0409A13A" w:rsidR="008544A0" w:rsidRPr="00DC1980" w:rsidRDefault="00797476" w:rsidP="00CB254F">
      <w:pPr>
        <w:spacing w:line="480" w:lineRule="auto"/>
        <w:jc w:val="both"/>
        <w:rPr>
          <w:rFonts w:ascii="Times New Roman" w:eastAsia="Times New Roman" w:hAnsi="Times New Roman" w:cs="Times New Roman"/>
          <w:color w:val="000000" w:themeColor="text1"/>
        </w:rPr>
      </w:pPr>
      <w:r w:rsidRPr="00DC1980">
        <w:rPr>
          <w:rFonts w:ascii="Times New Roman" w:eastAsia="Times New Roman" w:hAnsi="Times New Roman" w:cs="Times New Roman"/>
          <w:color w:val="000000" w:themeColor="text1"/>
        </w:rPr>
        <w:t xml:space="preserve">Bleeding complications occurred in both TRISCEND-eligible and non-eligible patients, with major bleeding reported in </w:t>
      </w:r>
      <w:r w:rsidR="00121628" w:rsidRPr="00DC1980">
        <w:rPr>
          <w:rFonts w:ascii="Times New Roman" w:eastAsia="Times New Roman" w:hAnsi="Times New Roman" w:cs="Times New Roman"/>
          <w:color w:val="000000" w:themeColor="text1"/>
        </w:rPr>
        <w:t>17</w:t>
      </w:r>
      <w:r w:rsidRPr="00DC1980">
        <w:rPr>
          <w:rFonts w:ascii="Times New Roman" w:eastAsia="Times New Roman" w:hAnsi="Times New Roman" w:cs="Times New Roman"/>
          <w:color w:val="000000" w:themeColor="text1"/>
        </w:rPr>
        <w:t>% and 1</w:t>
      </w:r>
      <w:r w:rsidR="00121628" w:rsidRPr="00DC1980">
        <w:rPr>
          <w:rFonts w:ascii="Times New Roman" w:eastAsia="Times New Roman" w:hAnsi="Times New Roman" w:cs="Times New Roman"/>
          <w:color w:val="000000" w:themeColor="text1"/>
        </w:rPr>
        <w:t>2.3</w:t>
      </w:r>
      <w:r w:rsidRPr="00DC1980">
        <w:rPr>
          <w:rFonts w:ascii="Times New Roman" w:eastAsia="Times New Roman" w:hAnsi="Times New Roman" w:cs="Times New Roman"/>
          <w:color w:val="000000" w:themeColor="text1"/>
        </w:rPr>
        <w:t>% of patients, respectively (p = 0.</w:t>
      </w:r>
      <w:r w:rsidR="00121628" w:rsidRPr="00DC1980">
        <w:rPr>
          <w:rFonts w:ascii="Times New Roman" w:eastAsia="Times New Roman" w:hAnsi="Times New Roman" w:cs="Times New Roman"/>
          <w:color w:val="000000" w:themeColor="text1"/>
        </w:rPr>
        <w:t>58</w:t>
      </w:r>
      <w:r w:rsidRPr="00DC1980">
        <w:rPr>
          <w:rFonts w:ascii="Times New Roman" w:eastAsia="Times New Roman" w:hAnsi="Times New Roman" w:cs="Times New Roman"/>
          <w:color w:val="000000" w:themeColor="text1"/>
        </w:rPr>
        <w:t xml:space="preserve">). </w:t>
      </w:r>
      <w:r w:rsidR="004A0FA8" w:rsidRPr="00DC1980">
        <w:rPr>
          <w:rFonts w:ascii="Times New Roman" w:eastAsia="Times New Roman" w:hAnsi="Times New Roman" w:cs="Times New Roman"/>
          <w:color w:val="000000" w:themeColor="text1"/>
        </w:rPr>
        <w:t xml:space="preserve">These rates are </w:t>
      </w:r>
      <w:r w:rsidR="008A06D3" w:rsidRPr="00DC1980">
        <w:rPr>
          <w:rFonts w:ascii="Times New Roman" w:eastAsia="Times New Roman" w:hAnsi="Times New Roman" w:cs="Times New Roman"/>
          <w:color w:val="000000" w:themeColor="text1"/>
        </w:rPr>
        <w:t>higher</w:t>
      </w:r>
      <w:r w:rsidR="004A0FA8" w:rsidRPr="00DC1980">
        <w:rPr>
          <w:rFonts w:ascii="Times New Roman" w:eastAsia="Times New Roman" w:hAnsi="Times New Roman" w:cs="Times New Roman"/>
          <w:color w:val="000000" w:themeColor="text1"/>
        </w:rPr>
        <w:t xml:space="preserve"> than those previously reported in both clinical trials and real-world studies of TTVR. </w:t>
      </w:r>
      <w:r w:rsidR="00AD10CE" w:rsidRPr="00DC1980">
        <w:rPr>
          <w:rFonts w:ascii="Times New Roman" w:eastAsia="Times New Roman" w:hAnsi="Times New Roman" w:cs="Times New Roman"/>
          <w:color w:val="000000" w:themeColor="text1"/>
        </w:rPr>
        <w:t>For example, the TRISCEND</w:t>
      </w:r>
      <w:r w:rsidR="00E54F13" w:rsidRPr="00DC1980">
        <w:rPr>
          <w:rFonts w:ascii="Times New Roman" w:eastAsia="Times New Roman" w:hAnsi="Times New Roman" w:cs="Times New Roman"/>
          <w:color w:val="000000" w:themeColor="text1"/>
        </w:rPr>
        <w:t xml:space="preserve"> </w:t>
      </w:r>
      <w:r w:rsidR="00EC6805" w:rsidRPr="00DC1980">
        <w:rPr>
          <w:rFonts w:ascii="Times New Roman" w:eastAsia="Times New Roman" w:hAnsi="Times New Roman" w:cs="Times New Roman"/>
          <w:color w:val="000000" w:themeColor="text1"/>
        </w:rPr>
        <w:t>II</w:t>
      </w:r>
      <w:r w:rsidR="00AD10CE" w:rsidRPr="00DC1980">
        <w:rPr>
          <w:rFonts w:ascii="Times New Roman" w:eastAsia="Times New Roman" w:hAnsi="Times New Roman" w:cs="Times New Roman"/>
          <w:color w:val="000000" w:themeColor="text1"/>
        </w:rPr>
        <w:t xml:space="preserve"> study reported a </w:t>
      </w:r>
      <w:r w:rsidR="00EC6805" w:rsidRPr="00DC1980">
        <w:rPr>
          <w:rFonts w:ascii="Times New Roman" w:eastAsia="Times New Roman" w:hAnsi="Times New Roman" w:cs="Times New Roman"/>
          <w:color w:val="000000" w:themeColor="text1"/>
        </w:rPr>
        <w:t>10.4</w:t>
      </w:r>
      <w:r w:rsidR="00AD10CE" w:rsidRPr="00DC1980">
        <w:rPr>
          <w:rFonts w:ascii="Times New Roman" w:eastAsia="Times New Roman" w:hAnsi="Times New Roman" w:cs="Times New Roman"/>
          <w:color w:val="000000" w:themeColor="text1"/>
        </w:rPr>
        <w:t>% rate of major bleeding at 30 days</w:t>
      </w:r>
      <w:r w:rsidR="00A20799" w:rsidRPr="00DC1980">
        <w:rPr>
          <w:rFonts w:ascii="Times New Roman" w:eastAsia="Times New Roman" w:hAnsi="Times New Roman" w:cs="Times New Roman"/>
          <w:color w:val="000000" w:themeColor="text1"/>
        </w:rPr>
        <w:t xml:space="preserve">, and </w:t>
      </w:r>
      <w:r w:rsidR="001E6D31" w:rsidRPr="00DC1980">
        <w:rPr>
          <w:rFonts w:ascii="Times New Roman" w:eastAsia="Times New Roman" w:hAnsi="Times New Roman" w:cs="Times New Roman"/>
          <w:color w:val="000000" w:themeColor="text1"/>
        </w:rPr>
        <w:t xml:space="preserve">a recent multicenter European analysis of commercial EVOQUE use </w:t>
      </w:r>
      <w:r w:rsidR="008A007C" w:rsidRPr="00DC1980">
        <w:rPr>
          <w:rFonts w:ascii="Times New Roman" w:eastAsia="Times New Roman" w:hAnsi="Times New Roman" w:cs="Times New Roman"/>
          <w:color w:val="000000" w:themeColor="text1"/>
        </w:rPr>
        <w:t xml:space="preserve">reported </w:t>
      </w:r>
      <w:r w:rsidR="001E6D31" w:rsidRPr="00DC1980">
        <w:rPr>
          <w:rFonts w:ascii="Times New Roman" w:eastAsia="Times New Roman" w:hAnsi="Times New Roman" w:cs="Times New Roman"/>
          <w:color w:val="000000" w:themeColor="text1"/>
        </w:rPr>
        <w:t>9.7%.</w:t>
      </w:r>
      <w:r w:rsidR="006B4AEE" w:rsidRPr="00DC1980">
        <w:rPr>
          <w:rFonts w:ascii="Times New Roman" w:eastAsia="Times New Roman" w:hAnsi="Times New Roman" w:cs="Times New Roman"/>
          <w:noProof/>
          <w:color w:val="000000" w:themeColor="text1"/>
          <w:vertAlign w:val="superscript"/>
        </w:rPr>
        <w:t>5,18,19</w:t>
      </w:r>
      <w:r w:rsidR="00AD10CE" w:rsidRPr="00DC1980">
        <w:rPr>
          <w:rFonts w:ascii="Times New Roman" w:eastAsia="Times New Roman" w:hAnsi="Times New Roman" w:cs="Times New Roman"/>
          <w:color w:val="000000" w:themeColor="text1"/>
        </w:rPr>
        <w:t xml:space="preserve"> </w:t>
      </w:r>
      <w:r w:rsidR="008544A0" w:rsidRPr="00DC1980">
        <w:rPr>
          <w:rFonts w:ascii="Times New Roman" w:eastAsia="Times New Roman" w:hAnsi="Times New Roman" w:cs="Times New Roman"/>
          <w:color w:val="000000" w:themeColor="text1"/>
        </w:rPr>
        <w:t xml:space="preserve"> </w:t>
      </w:r>
      <w:r w:rsidR="00E83EF3" w:rsidRPr="00DC1980">
        <w:rPr>
          <w:rFonts w:ascii="Times New Roman" w:eastAsia="Times New Roman" w:hAnsi="Times New Roman" w:cs="Times New Roman"/>
          <w:color w:val="000000" w:themeColor="text1"/>
        </w:rPr>
        <w:t xml:space="preserve">The incidence of major bleeding in our cohort, despite a higher comorbidity burden in the non-eligible group, may reflect ongoing improvements in procedural technique, anticoagulation management, and patient selection across both groups. These findings underscore the need for </w:t>
      </w:r>
      <w:r w:rsidR="001E2282" w:rsidRPr="00DC1980">
        <w:rPr>
          <w:rFonts w:ascii="Times New Roman" w:eastAsia="Times New Roman" w:hAnsi="Times New Roman" w:cs="Times New Roman"/>
          <w:color w:val="000000" w:themeColor="text1"/>
        </w:rPr>
        <w:t>continued optimization</w:t>
      </w:r>
      <w:r w:rsidR="00E83EF3" w:rsidRPr="00DC1980">
        <w:rPr>
          <w:rFonts w:ascii="Times New Roman" w:eastAsia="Times New Roman" w:hAnsi="Times New Roman" w:cs="Times New Roman"/>
          <w:color w:val="000000" w:themeColor="text1"/>
        </w:rPr>
        <w:t xml:space="preserve"> of bleeding risk management in all patients undergoing TTVR.</w:t>
      </w:r>
    </w:p>
    <w:p w14:paraId="65E4840B" w14:textId="524780A8" w:rsidR="00E0354F" w:rsidRPr="00DC1980" w:rsidRDefault="00B5467F"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In our cohort, device-related events were rare, occurring in 4.2% of TRISCEND-eligible patients</w:t>
      </w:r>
      <w:r w:rsidR="0089635F" w:rsidRPr="00DC1980">
        <w:rPr>
          <w:rFonts w:ascii="Times New Roman" w:eastAsia="Times New Roman" w:hAnsi="Times New Roman" w:cs="Times New Roman"/>
        </w:rPr>
        <w:t xml:space="preserve">. </w:t>
      </w:r>
      <w:r w:rsidR="00E0354F" w:rsidRPr="00DC1980">
        <w:rPr>
          <w:rFonts w:ascii="Times New Roman" w:eastAsia="Times New Roman" w:hAnsi="Times New Roman" w:cs="Times New Roman"/>
        </w:rPr>
        <w:t>Device migration occurred in 1.</w:t>
      </w:r>
      <w:r w:rsidR="00121628" w:rsidRPr="00DC1980">
        <w:rPr>
          <w:rFonts w:ascii="Times New Roman" w:eastAsia="Times New Roman" w:hAnsi="Times New Roman" w:cs="Times New Roman"/>
        </w:rPr>
        <w:t>5</w:t>
      </w:r>
      <w:r w:rsidR="00E0354F" w:rsidRPr="00DC1980">
        <w:rPr>
          <w:rFonts w:ascii="Times New Roman" w:eastAsia="Times New Roman" w:hAnsi="Times New Roman" w:cs="Times New Roman"/>
        </w:rPr>
        <w:t>% of the non-eligible group, suggesting that anatomical and hemodynamic challenges in this subgroup may be associated with a slightly increased technical risk. No other device malposition, embolization, or thrombosis events were observed in either cohort.</w:t>
      </w:r>
    </w:p>
    <w:p w14:paraId="36ED9FA9" w14:textId="6F3DFAF1" w:rsidR="00982273" w:rsidRPr="00DC1980" w:rsidRDefault="00AD10CE" w:rsidP="00CB254F">
      <w:pPr>
        <w:spacing w:line="480" w:lineRule="auto"/>
        <w:jc w:val="both"/>
        <w:rPr>
          <w:rFonts w:ascii="Times New Roman" w:eastAsia="Times New Roman" w:hAnsi="Times New Roman" w:cs="Times New Roman"/>
          <w:color w:val="000000" w:themeColor="text1"/>
        </w:rPr>
      </w:pPr>
      <w:r w:rsidRPr="00DC1980">
        <w:rPr>
          <w:rFonts w:ascii="Times New Roman" w:eastAsia="Times New Roman" w:hAnsi="Times New Roman" w:cs="Times New Roman"/>
          <w:color w:val="000000" w:themeColor="text1"/>
        </w:rPr>
        <w:t>Although permanent pacemaker implantation occurred at similar rates between groups</w:t>
      </w:r>
      <w:r w:rsidR="00876CAC" w:rsidRPr="00DC1980">
        <w:rPr>
          <w:rFonts w:ascii="Times New Roman" w:eastAsia="Times New Roman" w:hAnsi="Times New Roman" w:cs="Times New Roman"/>
          <w:color w:val="000000" w:themeColor="text1"/>
        </w:rPr>
        <w:t xml:space="preserve"> (</w:t>
      </w:r>
      <w:r w:rsidR="00121628" w:rsidRPr="00DC1980">
        <w:rPr>
          <w:rFonts w:ascii="Times New Roman" w:eastAsia="Times New Roman" w:hAnsi="Times New Roman" w:cs="Times New Roman"/>
          <w:color w:val="000000" w:themeColor="text1"/>
        </w:rPr>
        <w:t>17</w:t>
      </w:r>
      <w:r w:rsidR="00876CAC" w:rsidRPr="00DC1980">
        <w:rPr>
          <w:rFonts w:ascii="Times New Roman" w:eastAsia="Times New Roman" w:hAnsi="Times New Roman" w:cs="Times New Roman"/>
          <w:color w:val="000000" w:themeColor="text1"/>
        </w:rPr>
        <w:t xml:space="preserve">% vs. </w:t>
      </w:r>
      <w:r w:rsidR="00F52203" w:rsidRPr="00DC1980">
        <w:rPr>
          <w:rFonts w:ascii="Times New Roman" w:eastAsia="Times New Roman" w:hAnsi="Times New Roman" w:cs="Times New Roman"/>
          <w:color w:val="000000" w:themeColor="text1"/>
        </w:rPr>
        <w:t>1</w:t>
      </w:r>
      <w:r w:rsidR="00121628" w:rsidRPr="00DC1980">
        <w:rPr>
          <w:rFonts w:ascii="Times New Roman" w:eastAsia="Times New Roman" w:hAnsi="Times New Roman" w:cs="Times New Roman"/>
          <w:color w:val="000000" w:themeColor="text1"/>
        </w:rPr>
        <w:t>3</w:t>
      </w:r>
      <w:r w:rsidR="00F52203" w:rsidRPr="00DC1980">
        <w:rPr>
          <w:rFonts w:ascii="Times New Roman" w:eastAsia="Times New Roman" w:hAnsi="Times New Roman" w:cs="Times New Roman"/>
          <w:color w:val="000000" w:themeColor="text1"/>
        </w:rPr>
        <w:t>.8%</w:t>
      </w:r>
      <w:r w:rsidR="00876CAC" w:rsidRPr="00DC1980">
        <w:rPr>
          <w:rFonts w:ascii="Times New Roman" w:eastAsia="Times New Roman" w:hAnsi="Times New Roman" w:cs="Times New Roman"/>
          <w:color w:val="000000" w:themeColor="text1"/>
        </w:rPr>
        <w:t>)</w:t>
      </w:r>
      <w:r w:rsidRPr="00DC1980">
        <w:rPr>
          <w:rFonts w:ascii="Times New Roman" w:eastAsia="Times New Roman" w:hAnsi="Times New Roman" w:cs="Times New Roman"/>
          <w:color w:val="000000" w:themeColor="text1"/>
        </w:rPr>
        <w:t xml:space="preserve">, other complications </w:t>
      </w:r>
      <w:r w:rsidR="00CF33F0" w:rsidRPr="00DC1980">
        <w:rPr>
          <w:rFonts w:ascii="Times New Roman" w:eastAsia="Times New Roman" w:hAnsi="Times New Roman" w:cs="Times New Roman"/>
          <w:color w:val="000000" w:themeColor="text1"/>
        </w:rPr>
        <w:t xml:space="preserve">and adverse events </w:t>
      </w:r>
      <w:r w:rsidRPr="00DC1980">
        <w:rPr>
          <w:rFonts w:ascii="Times New Roman" w:eastAsia="Times New Roman" w:hAnsi="Times New Roman" w:cs="Times New Roman"/>
          <w:color w:val="000000" w:themeColor="text1"/>
        </w:rPr>
        <w:t xml:space="preserve">such as </w:t>
      </w:r>
      <w:r w:rsidR="00973A91" w:rsidRPr="00DC1980">
        <w:rPr>
          <w:rFonts w:ascii="Times New Roman" w:eastAsia="Times New Roman" w:hAnsi="Times New Roman" w:cs="Times New Roman"/>
          <w:color w:val="000000" w:themeColor="text1"/>
        </w:rPr>
        <w:t>death</w:t>
      </w:r>
      <w:r w:rsidRPr="00DC1980">
        <w:rPr>
          <w:rFonts w:ascii="Times New Roman" w:eastAsia="Times New Roman" w:hAnsi="Times New Roman" w:cs="Times New Roman"/>
          <w:color w:val="000000" w:themeColor="text1"/>
        </w:rPr>
        <w:t xml:space="preserve"> were</w:t>
      </w:r>
      <w:r w:rsidR="007A477B" w:rsidRPr="00DC1980">
        <w:rPr>
          <w:rFonts w:ascii="Times New Roman" w:eastAsia="Times New Roman" w:hAnsi="Times New Roman" w:cs="Times New Roman"/>
          <w:color w:val="000000" w:themeColor="text1"/>
        </w:rPr>
        <w:t xml:space="preserve"> slightly higher </w:t>
      </w:r>
      <w:r w:rsidRPr="00DC1980">
        <w:rPr>
          <w:rFonts w:ascii="Times New Roman" w:eastAsia="Times New Roman" w:hAnsi="Times New Roman" w:cs="Times New Roman"/>
          <w:color w:val="000000" w:themeColor="text1"/>
        </w:rPr>
        <w:t>among non-eligible patients.</w:t>
      </w:r>
      <w:r w:rsidR="003752D5" w:rsidRPr="00DC1980">
        <w:rPr>
          <w:rFonts w:ascii="Times New Roman" w:eastAsia="Times New Roman" w:hAnsi="Times New Roman" w:cs="Times New Roman"/>
          <w:color w:val="000000" w:themeColor="text1"/>
        </w:rPr>
        <w:t xml:space="preserve"> </w:t>
      </w:r>
      <w:r w:rsidR="00982273" w:rsidRPr="00DC1980">
        <w:rPr>
          <w:rFonts w:ascii="Times New Roman" w:eastAsia="Times New Roman" w:hAnsi="Times New Roman" w:cs="Times New Roman"/>
          <w:color w:val="000000" w:themeColor="text1"/>
        </w:rPr>
        <w:t xml:space="preserve">In comparison, the TRISCEND trial reported a 30-day new permanent pacemaker implantation rate of 24.7%, while real-world data from a European multicenter study of </w:t>
      </w:r>
      <w:r w:rsidR="00982273" w:rsidRPr="00DC1980">
        <w:rPr>
          <w:rFonts w:ascii="Times New Roman" w:eastAsia="Times New Roman" w:hAnsi="Times New Roman" w:cs="Times New Roman"/>
          <w:color w:val="000000" w:themeColor="text1"/>
        </w:rPr>
        <w:lastRenderedPageBreak/>
        <w:t>commercial EVOQUE use showed a rate of 18.9% among pacemaker-naïve patients.</w:t>
      </w:r>
      <w:r w:rsidR="006B4AEE" w:rsidRPr="00DC1980">
        <w:rPr>
          <w:rFonts w:ascii="Times New Roman" w:eastAsia="Times New Roman" w:hAnsi="Times New Roman" w:cs="Times New Roman"/>
          <w:noProof/>
          <w:color w:val="000000" w:themeColor="text1"/>
          <w:vertAlign w:val="superscript"/>
        </w:rPr>
        <w:t xml:space="preserve"> 5,19</w:t>
      </w:r>
      <w:r w:rsidR="00503FC8" w:rsidRPr="00DC1980">
        <w:rPr>
          <w:rFonts w:ascii="Times New Roman" w:eastAsia="Times New Roman" w:hAnsi="Times New Roman" w:cs="Times New Roman"/>
          <w:color w:val="000000" w:themeColor="text1"/>
        </w:rPr>
        <w:t xml:space="preserve"> </w:t>
      </w:r>
      <w:r w:rsidR="00982273" w:rsidRPr="00DC1980">
        <w:rPr>
          <w:rFonts w:ascii="Times New Roman" w:eastAsia="Times New Roman" w:hAnsi="Times New Roman" w:cs="Times New Roman"/>
          <w:color w:val="000000" w:themeColor="text1"/>
        </w:rPr>
        <w:t xml:space="preserve">These findings highlight that although pacemaker implantation rates in our cohort were somewhat lower, non-eligible patients still exhibited greater procedural vulnerability overall underscoring the importance of comprehensive risk assessment in real-world TTVR candidates. </w:t>
      </w:r>
    </w:p>
    <w:p w14:paraId="7F2F3B7B" w14:textId="7DF7C1F8" w:rsidR="00980D2C" w:rsidRPr="00DC1980" w:rsidRDefault="007E379F"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The incidence of 30-day MACE remained low overall, with events occurring only in the non-eligible group (</w:t>
      </w:r>
      <w:r w:rsidR="00867E28" w:rsidRPr="00DC1980">
        <w:rPr>
          <w:rFonts w:ascii="Times New Roman" w:eastAsia="Times New Roman" w:hAnsi="Times New Roman" w:cs="Times New Roman"/>
        </w:rPr>
        <w:t>4.9</w:t>
      </w:r>
      <w:r w:rsidRPr="00DC1980">
        <w:rPr>
          <w:rFonts w:ascii="Times New Roman" w:eastAsia="Times New Roman" w:hAnsi="Times New Roman" w:cs="Times New Roman"/>
        </w:rPr>
        <w:t>% vs. 0.0%). This difference likely reflects the exclusion of patients with greater comorbid burden, reduced organ function, or complex anatomy from trial eligibility, factors that can increase periprocedural risk.</w:t>
      </w:r>
      <w:r w:rsidR="00980D2C" w:rsidRPr="00DC1980">
        <w:rPr>
          <w:rFonts w:ascii="Times New Roman" w:eastAsia="Times New Roman" w:hAnsi="Times New Roman" w:cs="Times New Roman"/>
        </w:rPr>
        <w:t xml:space="preserve"> Nonetheless, the relatively low event rate in both groups suggests that TTVR can be performed safely in appropriately selected patients outside of traditional trial criteria, provided that procedural planning and post-operative care are optimized.</w:t>
      </w:r>
    </w:p>
    <w:p w14:paraId="1AFF222E" w14:textId="77777777" w:rsidR="00DF7AC9" w:rsidRPr="00DC1980" w:rsidRDefault="00DF7AC9"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Our findings have important implications for both clinical practice and future research. The data here inform the real-world applicability of TTVR in selected patients beyond those included in randomized trials. These insights also highlight opportunities to refine future trial designs by incorporating broader inclusion criteria, adaptive risk models, and patient-centered endpoints. Moreover, real-world registries and post-approval studies will be critical in capturing longer-term outcomes, particularly among high-risk subgroups that remain underrepresented in current evidence bases.</w:t>
      </w:r>
    </w:p>
    <w:p w14:paraId="00989606" w14:textId="77777777" w:rsidR="00980D2C" w:rsidRPr="00DC1980" w:rsidRDefault="00980D2C" w:rsidP="00CB254F">
      <w:pPr>
        <w:spacing w:line="480" w:lineRule="auto"/>
        <w:jc w:val="both"/>
        <w:rPr>
          <w:rFonts w:ascii="Times New Roman" w:eastAsia="Times New Roman" w:hAnsi="Times New Roman" w:cs="Times New Roman"/>
          <w:i/>
          <w:iCs/>
        </w:rPr>
      </w:pPr>
      <w:r w:rsidRPr="00DC1980">
        <w:rPr>
          <w:rFonts w:ascii="Times New Roman" w:eastAsia="Times New Roman" w:hAnsi="Times New Roman" w:cs="Times New Roman"/>
          <w:i/>
          <w:iCs/>
        </w:rPr>
        <w:t>Limitations</w:t>
      </w:r>
    </w:p>
    <w:p w14:paraId="748BC3CA" w14:textId="25926074" w:rsidR="001A69BD" w:rsidRPr="00DC1980" w:rsidRDefault="001A69BD"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 xml:space="preserve">This study has several limitations that </w:t>
      </w:r>
      <w:r w:rsidR="006D6E9D" w:rsidRPr="00DC1980">
        <w:rPr>
          <w:rFonts w:ascii="Times New Roman" w:eastAsia="Times New Roman" w:hAnsi="Times New Roman" w:cs="Times New Roman"/>
        </w:rPr>
        <w:t>merit</w:t>
      </w:r>
      <w:r w:rsidRPr="00DC1980">
        <w:rPr>
          <w:rFonts w:ascii="Times New Roman" w:eastAsia="Times New Roman" w:hAnsi="Times New Roman" w:cs="Times New Roman"/>
        </w:rPr>
        <w:t xml:space="preserve"> consideration. The sample size, particularly when stratified by eligibility status, reduces the statistical power to detect certain differences</w:t>
      </w:r>
      <w:r w:rsidR="00A707FB" w:rsidRPr="00DC1980">
        <w:rPr>
          <w:rFonts w:ascii="Times New Roman" w:eastAsia="Times New Roman" w:hAnsi="Times New Roman" w:cs="Times New Roman"/>
        </w:rPr>
        <w:t xml:space="preserve">, </w:t>
      </w:r>
      <w:proofErr w:type="spellStart"/>
      <w:r w:rsidR="00A707FB" w:rsidRPr="00DC1980">
        <w:rPr>
          <w:rFonts w:ascii="Times New Roman" w:eastAsia="Times New Roman" w:hAnsi="Times New Roman" w:cs="Times New Roman"/>
        </w:rPr>
        <w:t>specially</w:t>
      </w:r>
      <w:proofErr w:type="spellEnd"/>
      <w:r w:rsidR="00A707FB" w:rsidRPr="00DC1980">
        <w:rPr>
          <w:rFonts w:ascii="Times New Roman" w:eastAsia="Times New Roman" w:hAnsi="Times New Roman" w:cs="Times New Roman"/>
        </w:rPr>
        <w:t xml:space="preserve"> in adverse events since the incidence was overall low</w:t>
      </w:r>
      <w:r w:rsidRPr="00DC1980">
        <w:rPr>
          <w:rFonts w:ascii="Times New Roman" w:eastAsia="Times New Roman" w:hAnsi="Times New Roman" w:cs="Times New Roman"/>
        </w:rPr>
        <w:t>. Additionally, follow-up was limited to 30 days, preventing assessment of long-term outcomes and the durability of observed benefits.</w:t>
      </w:r>
      <w:r w:rsidR="006D6E9D" w:rsidRPr="00DC1980">
        <w:rPr>
          <w:rFonts w:ascii="Times New Roman" w:eastAsia="Times New Roman" w:hAnsi="Times New Roman" w:cs="Times New Roman"/>
        </w:rPr>
        <w:t xml:space="preserve"> </w:t>
      </w:r>
      <w:r w:rsidRPr="00DC1980">
        <w:rPr>
          <w:rFonts w:ascii="Times New Roman" w:eastAsia="Times New Roman" w:hAnsi="Times New Roman" w:cs="Times New Roman"/>
        </w:rPr>
        <w:t xml:space="preserve">Other </w:t>
      </w:r>
      <w:r w:rsidRPr="00DC1980">
        <w:rPr>
          <w:rFonts w:ascii="Times New Roman" w:eastAsia="Times New Roman" w:hAnsi="Times New Roman" w:cs="Times New Roman"/>
        </w:rPr>
        <w:lastRenderedPageBreak/>
        <w:t>important limitations include the absence of a core laboratory for standardized assessment of TR severity and other imaging metrics, which may introduce variability. Potential confounders related to eligible versus non-eligible status may not have been fully captured, reflecting the real-world complexity of managing patients with severe TR. Furthermore, clinical events occurring outside our health system could have been missed despite thorough efforts to adjudicate all known events.</w:t>
      </w:r>
    </w:p>
    <w:p w14:paraId="30E30878" w14:textId="77777777" w:rsidR="001A69BD" w:rsidRPr="00DC1980" w:rsidRDefault="001A69BD"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Despite these limitations, this study offers valuable real-world insights and generates hypotheses for future research in this challenging patient population.</w:t>
      </w:r>
    </w:p>
    <w:p w14:paraId="1A4DE4D3" w14:textId="77777777" w:rsidR="00980D2C" w:rsidRPr="00DC1980" w:rsidRDefault="00980D2C" w:rsidP="00CB254F">
      <w:pPr>
        <w:spacing w:line="480" w:lineRule="auto"/>
        <w:jc w:val="both"/>
        <w:rPr>
          <w:rFonts w:ascii="Times New Roman" w:eastAsia="Times New Roman" w:hAnsi="Times New Roman" w:cs="Times New Roman"/>
          <w:i/>
          <w:iCs/>
        </w:rPr>
      </w:pPr>
      <w:r w:rsidRPr="00DC1980">
        <w:rPr>
          <w:rFonts w:ascii="Times New Roman" w:eastAsia="Times New Roman" w:hAnsi="Times New Roman" w:cs="Times New Roman"/>
          <w:i/>
          <w:iCs/>
        </w:rPr>
        <w:t>Conclusion</w:t>
      </w:r>
    </w:p>
    <w:p w14:paraId="40D594AE" w14:textId="2E2288D5" w:rsidR="00423C87" w:rsidRPr="00DC1980" w:rsidRDefault="00224BE1" w:rsidP="00CB254F">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In conclusion, patients meeting TRISCEND II eligibility criteria undergoing TTVR demonstrate better baseline cardiac function, fewer comorbidities, and superior short-term clinical outcomes compared to non-eligible patients. Nevertheless, the high procedural success and meaningful symptom improvement observed in non-eligible patients, as well as relatively low rate of adverse events, provide important data to inform the use of TTVR in a broader patient population.  These findings underscore the need for ongoing evaluation of real-world populations to inform patient selection, procedural planning, and trial</w:t>
      </w:r>
      <w:r w:rsidR="00980D2C" w:rsidRPr="00DC1980">
        <w:rPr>
          <w:rFonts w:ascii="Times New Roman" w:eastAsia="Times New Roman" w:hAnsi="Times New Roman" w:cs="Times New Roman"/>
        </w:rPr>
        <w:t xml:space="preserve"> design.</w:t>
      </w:r>
      <w:r w:rsidR="00423C87" w:rsidRPr="00DC1980">
        <w:rPr>
          <w:rFonts w:ascii="Times New Roman" w:eastAsia="Times New Roman" w:hAnsi="Times New Roman" w:cs="Times New Roman"/>
        </w:rPr>
        <w:t xml:space="preserve"> </w:t>
      </w:r>
    </w:p>
    <w:p w14:paraId="388208BF" w14:textId="77777777" w:rsidR="00B92652" w:rsidRPr="00DC1980" w:rsidRDefault="00B92652" w:rsidP="00B92652">
      <w:pPr>
        <w:spacing w:line="480" w:lineRule="auto"/>
        <w:jc w:val="both"/>
        <w:rPr>
          <w:rFonts w:ascii="Times New Roman" w:eastAsia="Times New Roman" w:hAnsi="Times New Roman" w:cs="Times New Roman"/>
        </w:rPr>
      </w:pPr>
      <w:r w:rsidRPr="00DC1980">
        <w:rPr>
          <w:rFonts w:ascii="Times New Roman" w:eastAsia="Times New Roman" w:hAnsi="Times New Roman" w:cs="Times New Roman"/>
        </w:rPr>
        <w:t>Acknowledgements:  This study was supported in part from the Carol O’Neill research fund.</w:t>
      </w:r>
    </w:p>
    <w:p w14:paraId="197D4472" w14:textId="77777777" w:rsidR="003C7837" w:rsidRPr="00DC1980" w:rsidRDefault="003C7837" w:rsidP="003C7837">
      <w:pPr>
        <w:spacing w:line="480" w:lineRule="auto"/>
        <w:jc w:val="both"/>
        <w:rPr>
          <w:rFonts w:ascii="Times New Roman" w:hAnsi="Times New Roman" w:cs="Times New Roman"/>
        </w:rPr>
      </w:pPr>
      <w:r w:rsidRPr="00DC1980">
        <w:rPr>
          <w:rFonts w:ascii="Times New Roman" w:eastAsia="Times New Roman" w:hAnsi="Times New Roman" w:cs="Times New Roman"/>
        </w:rPr>
        <w:t xml:space="preserve">Ethical Statement: </w:t>
      </w:r>
      <w:r w:rsidRPr="00DC1980">
        <w:rPr>
          <w:rFonts w:ascii="Times New Roman" w:hAnsi="Times New Roman" w:cs="Times New Roman"/>
        </w:rPr>
        <w:t xml:space="preserve">The study protocol was approved by the local ethics committee, and all patient data were collected in accordance with institutional guidelines. </w:t>
      </w:r>
    </w:p>
    <w:p w14:paraId="72839D9A" w14:textId="2C887D5D" w:rsidR="000B561A" w:rsidRPr="00DC1980" w:rsidRDefault="00593EC9" w:rsidP="000B561A">
      <w:pPr>
        <w:spacing w:line="480" w:lineRule="auto"/>
        <w:rPr>
          <w:rFonts w:ascii="Times New Roman" w:eastAsia="Times New Roman" w:hAnsi="Times New Roman" w:cs="Times New Roman"/>
        </w:rPr>
      </w:pPr>
      <w:r w:rsidRPr="00DC1980">
        <w:rPr>
          <w:rFonts w:ascii="Times New Roman" w:eastAsia="Times New Roman" w:hAnsi="Times New Roman" w:cs="Times New Roman"/>
        </w:rPr>
        <w:t xml:space="preserve">List of </w:t>
      </w:r>
      <w:r w:rsidR="002845FA" w:rsidRPr="00DC1980">
        <w:rPr>
          <w:rFonts w:ascii="Times New Roman" w:eastAsia="Times New Roman" w:hAnsi="Times New Roman" w:cs="Times New Roman"/>
        </w:rPr>
        <w:t xml:space="preserve">Abbreviations: </w:t>
      </w:r>
      <w:r w:rsidR="000B561A" w:rsidRPr="00DC1980">
        <w:rPr>
          <w:rFonts w:ascii="Times New Roman" w:eastAsia="Times New Roman" w:hAnsi="Times New Roman" w:cs="Times New Roman"/>
        </w:rPr>
        <w:t>TTVR</w:t>
      </w:r>
      <w:r w:rsidR="00261212"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Transcatheter Tricuspid Valve Replacement</w:t>
      </w:r>
      <w:r w:rsidR="00261212" w:rsidRPr="00DC1980">
        <w:rPr>
          <w:rFonts w:ascii="Times New Roman" w:eastAsia="Times New Roman" w:hAnsi="Times New Roman" w:cs="Times New Roman"/>
        </w:rPr>
        <w:t>;</w:t>
      </w:r>
      <w:r w:rsidR="000B561A" w:rsidRPr="00DC1980">
        <w:rPr>
          <w:rFonts w:ascii="Times New Roman" w:eastAsia="Times New Roman" w:hAnsi="Times New Roman" w:cs="Times New Roman"/>
        </w:rPr>
        <w:t xml:space="preserve"> TR</w:t>
      </w:r>
      <w:r w:rsidR="00261212"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Tricuspid Regurgitation</w:t>
      </w:r>
      <w:r w:rsidR="00261212"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NYHA</w:t>
      </w:r>
      <w:r w:rsidR="00261212"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New York Heart Association (Functional Class)</w:t>
      </w:r>
      <w:r w:rsidR="00261212" w:rsidRPr="00DC1980">
        <w:rPr>
          <w:rFonts w:ascii="Times New Roman" w:eastAsia="Times New Roman" w:hAnsi="Times New Roman" w:cs="Times New Roman"/>
        </w:rPr>
        <w:t xml:space="preserve">; </w:t>
      </w:r>
      <w:proofErr w:type="gramStart"/>
      <w:r w:rsidR="000B561A" w:rsidRPr="00DC1980">
        <w:rPr>
          <w:rFonts w:ascii="Times New Roman" w:eastAsia="Times New Roman" w:hAnsi="Times New Roman" w:cs="Times New Roman"/>
        </w:rPr>
        <w:t>LVEF</w:t>
      </w:r>
      <w:r w:rsidR="00261212"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 xml:space="preserve"> Left</w:t>
      </w:r>
      <w:proofErr w:type="gramEnd"/>
      <w:r w:rsidR="000B561A" w:rsidRPr="00DC1980">
        <w:rPr>
          <w:rFonts w:ascii="Times New Roman" w:eastAsia="Times New Roman" w:hAnsi="Times New Roman" w:cs="Times New Roman"/>
        </w:rPr>
        <w:t xml:space="preserve"> Ventricular Ejection Fraction</w:t>
      </w:r>
      <w:r w:rsidR="00261212"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KCCQ</w:t>
      </w:r>
      <w:r w:rsidR="007D08C9" w:rsidRPr="00DC1980">
        <w:rPr>
          <w:rFonts w:ascii="Times New Roman" w:eastAsia="Times New Roman" w:hAnsi="Times New Roman" w:cs="Times New Roman"/>
        </w:rPr>
        <w:t xml:space="preserve">, </w:t>
      </w:r>
      <w:r w:rsidR="000B561A" w:rsidRPr="00DC1980">
        <w:rPr>
          <w:rFonts w:ascii="Times New Roman" w:eastAsia="Times New Roman" w:hAnsi="Times New Roman" w:cs="Times New Roman"/>
        </w:rPr>
        <w:t>Kansas City Cardiomyopathy Questionnaire</w:t>
      </w:r>
      <w:r w:rsidR="007701BC" w:rsidRPr="00DC1980">
        <w:rPr>
          <w:rFonts w:ascii="Times New Roman" w:eastAsia="Times New Roman" w:hAnsi="Times New Roman" w:cs="Times New Roman"/>
        </w:rPr>
        <w:t>.</w:t>
      </w:r>
    </w:p>
    <w:p w14:paraId="2AE1FCFB" w14:textId="6C65362E" w:rsidR="005477C7" w:rsidRPr="00DC1980" w:rsidRDefault="005477C7" w:rsidP="00CB254F">
      <w:pPr>
        <w:spacing w:line="480" w:lineRule="auto"/>
        <w:jc w:val="both"/>
        <w:rPr>
          <w:rFonts w:ascii="Calibri" w:eastAsia="Times New Roman" w:hAnsi="Calibri" w:cs="Calibri"/>
          <w:sz w:val="18"/>
          <w:szCs w:val="18"/>
        </w:rPr>
      </w:pPr>
      <w:r w:rsidRPr="00DC1980">
        <w:rPr>
          <w:rFonts w:ascii="Calibri" w:eastAsia="Times New Roman" w:hAnsi="Calibri" w:cs="Calibri"/>
          <w:sz w:val="18"/>
          <w:szCs w:val="18"/>
        </w:rPr>
        <w:br w:type="page"/>
      </w:r>
    </w:p>
    <w:p w14:paraId="7CB39AF3" w14:textId="50896710" w:rsidR="005477C7" w:rsidRPr="00F549E0" w:rsidRDefault="005477C7" w:rsidP="00CB254F">
      <w:pPr>
        <w:spacing w:line="480" w:lineRule="auto"/>
        <w:rPr>
          <w:rFonts w:ascii="Times New Roman" w:eastAsia="Times New Roman" w:hAnsi="Times New Roman" w:cs="Times New Roman"/>
          <w:b/>
          <w:bCs/>
          <w:sz w:val="28"/>
          <w:szCs w:val="28"/>
          <w:lang w:val="fr-FR"/>
        </w:rPr>
      </w:pPr>
      <w:proofErr w:type="spellStart"/>
      <w:r w:rsidRPr="00F549E0">
        <w:rPr>
          <w:rFonts w:ascii="Times New Roman" w:eastAsia="Times New Roman" w:hAnsi="Times New Roman" w:cs="Times New Roman"/>
          <w:b/>
          <w:bCs/>
          <w:sz w:val="28"/>
          <w:szCs w:val="28"/>
          <w:lang w:val="fr-FR"/>
        </w:rPr>
        <w:lastRenderedPageBreak/>
        <w:t>References</w:t>
      </w:r>
      <w:proofErr w:type="spellEnd"/>
      <w:r w:rsidRPr="00F549E0">
        <w:rPr>
          <w:rFonts w:ascii="Times New Roman" w:eastAsia="Times New Roman" w:hAnsi="Times New Roman" w:cs="Times New Roman"/>
          <w:b/>
          <w:bCs/>
          <w:sz w:val="28"/>
          <w:szCs w:val="28"/>
          <w:lang w:val="fr-FR"/>
        </w:rPr>
        <w:t xml:space="preserve"> </w:t>
      </w:r>
    </w:p>
    <w:p w14:paraId="1F666537" w14:textId="3C94754B" w:rsidR="00D8082D" w:rsidRPr="00DC1980" w:rsidRDefault="00D8082D" w:rsidP="00CB254F">
      <w:pPr>
        <w:pStyle w:val="EndNoteBibliography"/>
        <w:spacing w:after="0" w:line="480" w:lineRule="auto"/>
        <w:ind w:left="720" w:hanging="720"/>
        <w:rPr>
          <w:rFonts w:ascii="Times New Roman" w:hAnsi="Times New Roman" w:cs="Times New Roman"/>
        </w:rPr>
      </w:pPr>
      <w:r w:rsidRPr="00F549E0">
        <w:rPr>
          <w:rFonts w:ascii="Times New Roman" w:hAnsi="Times New Roman" w:cs="Times New Roman"/>
          <w:lang w:val="fr-FR"/>
        </w:rPr>
        <w:t>1.</w:t>
      </w:r>
      <w:r w:rsidRPr="00F549E0">
        <w:rPr>
          <w:rFonts w:ascii="Times New Roman" w:hAnsi="Times New Roman" w:cs="Times New Roman"/>
          <w:lang w:val="fr-FR"/>
        </w:rPr>
        <w:tab/>
        <w:t>Mangieri, A.</w:t>
      </w:r>
      <w:r w:rsidRPr="00F549E0">
        <w:rPr>
          <w:rFonts w:ascii="Times New Roman" w:hAnsi="Times New Roman" w:cs="Times New Roman"/>
          <w:i/>
          <w:lang w:val="fr-FR"/>
        </w:rPr>
        <w:t>, et al.</w:t>
      </w:r>
      <w:r w:rsidRPr="00F549E0">
        <w:rPr>
          <w:rFonts w:ascii="Times New Roman" w:hAnsi="Times New Roman" w:cs="Times New Roman"/>
          <w:lang w:val="fr-FR"/>
        </w:rPr>
        <w:t xml:space="preserve"> </w:t>
      </w:r>
      <w:r w:rsidRPr="00DC1980">
        <w:rPr>
          <w:rFonts w:ascii="Times New Roman" w:hAnsi="Times New Roman" w:cs="Times New Roman"/>
        </w:rPr>
        <w:t xml:space="preserve">Mechanism and Implications of the Tricuspid Regurgitation: From the Pathophysiology to the Current and Future Therapeutic Options. </w:t>
      </w:r>
      <w:r w:rsidRPr="00DC1980">
        <w:rPr>
          <w:rFonts w:ascii="Times New Roman" w:hAnsi="Times New Roman" w:cs="Times New Roman"/>
          <w:i/>
        </w:rPr>
        <w:t>Circ Cardiovasc Interv</w:t>
      </w:r>
      <w:r w:rsidRPr="00DC1980">
        <w:rPr>
          <w:rFonts w:ascii="Times New Roman" w:hAnsi="Times New Roman" w:cs="Times New Roman"/>
        </w:rPr>
        <w:t xml:space="preserve"> </w:t>
      </w:r>
      <w:r w:rsidRPr="00DC1980">
        <w:rPr>
          <w:rFonts w:ascii="Times New Roman" w:hAnsi="Times New Roman" w:cs="Times New Roman"/>
          <w:b/>
        </w:rPr>
        <w:t>10</w:t>
      </w:r>
      <w:r w:rsidRPr="00DC1980">
        <w:rPr>
          <w:rFonts w:ascii="Times New Roman" w:hAnsi="Times New Roman" w:cs="Times New Roman"/>
        </w:rPr>
        <w:t>(2017).</w:t>
      </w:r>
    </w:p>
    <w:p w14:paraId="083BA906"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2.</w:t>
      </w:r>
      <w:r w:rsidRPr="00DC1980">
        <w:rPr>
          <w:rFonts w:ascii="Times New Roman" w:hAnsi="Times New Roman" w:cs="Times New Roman"/>
        </w:rPr>
        <w:tab/>
        <w:t xml:space="preserve">Hahn, R.T. Tricuspid Regurgitation. </w:t>
      </w:r>
      <w:r w:rsidRPr="00DC1980">
        <w:rPr>
          <w:rFonts w:ascii="Times New Roman" w:hAnsi="Times New Roman" w:cs="Times New Roman"/>
          <w:i/>
        </w:rPr>
        <w:t>N Engl J Med</w:t>
      </w:r>
      <w:r w:rsidRPr="00DC1980">
        <w:rPr>
          <w:rFonts w:ascii="Times New Roman" w:hAnsi="Times New Roman" w:cs="Times New Roman"/>
        </w:rPr>
        <w:t xml:space="preserve"> </w:t>
      </w:r>
      <w:r w:rsidRPr="00DC1980">
        <w:rPr>
          <w:rFonts w:ascii="Times New Roman" w:hAnsi="Times New Roman" w:cs="Times New Roman"/>
          <w:b/>
        </w:rPr>
        <w:t>388</w:t>
      </w:r>
      <w:r w:rsidRPr="00DC1980">
        <w:rPr>
          <w:rFonts w:ascii="Times New Roman" w:hAnsi="Times New Roman" w:cs="Times New Roman"/>
        </w:rPr>
        <w:t>, 1876-1891 (2023).</w:t>
      </w:r>
    </w:p>
    <w:p w14:paraId="0BA31924"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3.</w:t>
      </w:r>
      <w:r w:rsidRPr="00DC1980">
        <w:rPr>
          <w:rFonts w:ascii="Times New Roman" w:hAnsi="Times New Roman" w:cs="Times New Roman"/>
        </w:rPr>
        <w:tab/>
        <w:t>Taramasso, M.</w:t>
      </w:r>
      <w:r w:rsidRPr="00DC1980">
        <w:rPr>
          <w:rFonts w:ascii="Times New Roman" w:hAnsi="Times New Roman" w:cs="Times New Roman"/>
          <w:i/>
        </w:rPr>
        <w:t>, et al.</w:t>
      </w:r>
      <w:r w:rsidRPr="00DC1980">
        <w:rPr>
          <w:rFonts w:ascii="Times New Roman" w:hAnsi="Times New Roman" w:cs="Times New Roman"/>
        </w:rPr>
        <w:t xml:space="preserve"> Transcatheter Versus Medical Treatment of Patients With Symptomatic Severe Tricuspid Regurgitation. </w:t>
      </w:r>
      <w:r w:rsidRPr="00DC1980">
        <w:rPr>
          <w:rFonts w:ascii="Times New Roman" w:hAnsi="Times New Roman" w:cs="Times New Roman"/>
          <w:i/>
        </w:rPr>
        <w:t>J Am Coll Cardiol</w:t>
      </w:r>
      <w:r w:rsidRPr="00DC1980">
        <w:rPr>
          <w:rFonts w:ascii="Times New Roman" w:hAnsi="Times New Roman" w:cs="Times New Roman"/>
        </w:rPr>
        <w:t xml:space="preserve"> </w:t>
      </w:r>
      <w:r w:rsidRPr="00DC1980">
        <w:rPr>
          <w:rFonts w:ascii="Times New Roman" w:hAnsi="Times New Roman" w:cs="Times New Roman"/>
          <w:b/>
        </w:rPr>
        <w:t>74</w:t>
      </w:r>
      <w:r w:rsidRPr="00DC1980">
        <w:rPr>
          <w:rFonts w:ascii="Times New Roman" w:hAnsi="Times New Roman" w:cs="Times New Roman"/>
        </w:rPr>
        <w:t>, 2998-3008 (2019).</w:t>
      </w:r>
    </w:p>
    <w:p w14:paraId="2E53E18E"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4.</w:t>
      </w:r>
      <w:r w:rsidRPr="00DC1980">
        <w:rPr>
          <w:rFonts w:ascii="Times New Roman" w:hAnsi="Times New Roman" w:cs="Times New Roman"/>
        </w:rPr>
        <w:tab/>
        <w:t>Arnold, S.V.</w:t>
      </w:r>
      <w:r w:rsidRPr="00DC1980">
        <w:rPr>
          <w:rFonts w:ascii="Times New Roman" w:hAnsi="Times New Roman" w:cs="Times New Roman"/>
          <w:i/>
        </w:rPr>
        <w:t>, et al.</w:t>
      </w:r>
      <w:r w:rsidRPr="00DC1980">
        <w:rPr>
          <w:rFonts w:ascii="Times New Roman" w:hAnsi="Times New Roman" w:cs="Times New Roman"/>
        </w:rPr>
        <w:t xml:space="preserve"> Quality of Life After Transcatheter Tricuspid Valve Replacement: 1-Year Results From TRISCEND II Pivotal Trial. </w:t>
      </w:r>
      <w:r w:rsidRPr="00DC1980">
        <w:rPr>
          <w:rFonts w:ascii="Times New Roman" w:hAnsi="Times New Roman" w:cs="Times New Roman"/>
          <w:i/>
        </w:rPr>
        <w:t>J Am Coll Cardiol</w:t>
      </w:r>
      <w:r w:rsidRPr="00DC1980">
        <w:rPr>
          <w:rFonts w:ascii="Times New Roman" w:hAnsi="Times New Roman" w:cs="Times New Roman"/>
        </w:rPr>
        <w:t xml:space="preserve"> </w:t>
      </w:r>
      <w:r w:rsidRPr="00DC1980">
        <w:rPr>
          <w:rFonts w:ascii="Times New Roman" w:hAnsi="Times New Roman" w:cs="Times New Roman"/>
          <w:b/>
        </w:rPr>
        <w:t>85</w:t>
      </w:r>
      <w:r w:rsidRPr="00DC1980">
        <w:rPr>
          <w:rFonts w:ascii="Times New Roman" w:hAnsi="Times New Roman" w:cs="Times New Roman"/>
        </w:rPr>
        <w:t>, 206-216 (2025).</w:t>
      </w:r>
    </w:p>
    <w:p w14:paraId="3084CE40"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5.</w:t>
      </w:r>
      <w:r w:rsidRPr="00DC1980">
        <w:rPr>
          <w:rFonts w:ascii="Times New Roman" w:hAnsi="Times New Roman" w:cs="Times New Roman"/>
        </w:rPr>
        <w:tab/>
        <w:t>Hahn, R.T.</w:t>
      </w:r>
      <w:r w:rsidRPr="00DC1980">
        <w:rPr>
          <w:rFonts w:ascii="Times New Roman" w:hAnsi="Times New Roman" w:cs="Times New Roman"/>
          <w:i/>
        </w:rPr>
        <w:t>, et al.</w:t>
      </w:r>
      <w:r w:rsidRPr="00DC1980">
        <w:rPr>
          <w:rFonts w:ascii="Times New Roman" w:hAnsi="Times New Roman" w:cs="Times New Roman"/>
        </w:rPr>
        <w:t xml:space="preserve"> Transcatheter Valve Replacement in Severe Tricuspid Regurgitation. </w:t>
      </w:r>
      <w:r w:rsidRPr="00DC1980">
        <w:rPr>
          <w:rFonts w:ascii="Times New Roman" w:hAnsi="Times New Roman" w:cs="Times New Roman"/>
          <w:i/>
        </w:rPr>
        <w:t>N Engl J Med</w:t>
      </w:r>
      <w:r w:rsidRPr="00DC1980">
        <w:rPr>
          <w:rFonts w:ascii="Times New Roman" w:hAnsi="Times New Roman" w:cs="Times New Roman"/>
        </w:rPr>
        <w:t xml:space="preserve"> </w:t>
      </w:r>
      <w:r w:rsidRPr="00DC1980">
        <w:rPr>
          <w:rFonts w:ascii="Times New Roman" w:hAnsi="Times New Roman" w:cs="Times New Roman"/>
          <w:b/>
        </w:rPr>
        <w:t>392</w:t>
      </w:r>
      <w:r w:rsidRPr="00DC1980">
        <w:rPr>
          <w:rFonts w:ascii="Times New Roman" w:hAnsi="Times New Roman" w:cs="Times New Roman"/>
        </w:rPr>
        <w:t>, 115-126 (2025).</w:t>
      </w:r>
    </w:p>
    <w:p w14:paraId="6F7139AA"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6.</w:t>
      </w:r>
      <w:r w:rsidRPr="00DC1980">
        <w:rPr>
          <w:rFonts w:ascii="Times New Roman" w:hAnsi="Times New Roman" w:cs="Times New Roman"/>
        </w:rPr>
        <w:tab/>
        <w:t>Stolz, L.</w:t>
      </w:r>
      <w:r w:rsidRPr="00DC1980">
        <w:rPr>
          <w:rFonts w:ascii="Times New Roman" w:hAnsi="Times New Roman" w:cs="Times New Roman"/>
          <w:i/>
        </w:rPr>
        <w:t>, et al.</w:t>
      </w:r>
      <w:r w:rsidRPr="00DC1980">
        <w:rPr>
          <w:rFonts w:ascii="Times New Roman" w:hAnsi="Times New Roman" w:cs="Times New Roman"/>
        </w:rPr>
        <w:t xml:space="preserve"> 2-Year Outcomes Following Transcatheter Tricuspid Valve Replacement Using the EVOQUE System. </w:t>
      </w:r>
      <w:r w:rsidRPr="00DC1980">
        <w:rPr>
          <w:rFonts w:ascii="Times New Roman" w:hAnsi="Times New Roman" w:cs="Times New Roman"/>
          <w:i/>
        </w:rPr>
        <w:t>J Am Coll Cardiol</w:t>
      </w:r>
      <w:r w:rsidRPr="00DC1980">
        <w:rPr>
          <w:rFonts w:ascii="Times New Roman" w:hAnsi="Times New Roman" w:cs="Times New Roman"/>
        </w:rPr>
        <w:t xml:space="preserve"> </w:t>
      </w:r>
      <w:r w:rsidRPr="00DC1980">
        <w:rPr>
          <w:rFonts w:ascii="Times New Roman" w:hAnsi="Times New Roman" w:cs="Times New Roman"/>
          <w:b/>
        </w:rPr>
        <w:t>81</w:t>
      </w:r>
      <w:r w:rsidRPr="00DC1980">
        <w:rPr>
          <w:rFonts w:ascii="Times New Roman" w:hAnsi="Times New Roman" w:cs="Times New Roman"/>
        </w:rPr>
        <w:t>, 2374-2376 (2023).</w:t>
      </w:r>
    </w:p>
    <w:p w14:paraId="27D52029"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7.</w:t>
      </w:r>
      <w:r w:rsidRPr="00DC1980">
        <w:rPr>
          <w:rFonts w:ascii="Times New Roman" w:hAnsi="Times New Roman" w:cs="Times New Roman"/>
        </w:rPr>
        <w:tab/>
        <w:t>Stolz, L.</w:t>
      </w:r>
      <w:r w:rsidRPr="00DC1980">
        <w:rPr>
          <w:rFonts w:ascii="Times New Roman" w:hAnsi="Times New Roman" w:cs="Times New Roman"/>
          <w:i/>
        </w:rPr>
        <w:t>, et al.</w:t>
      </w:r>
      <w:r w:rsidRPr="00DC1980">
        <w:rPr>
          <w:rFonts w:ascii="Times New Roman" w:hAnsi="Times New Roman" w:cs="Times New Roman"/>
        </w:rPr>
        <w:t xml:space="preserve"> 4-Year Follow-Up After Transcatheter Tricuspid Valve Replacement Using the EVOQUE System. </w:t>
      </w:r>
      <w:r w:rsidRPr="00DC1980">
        <w:rPr>
          <w:rFonts w:ascii="Times New Roman" w:hAnsi="Times New Roman" w:cs="Times New Roman"/>
          <w:i/>
        </w:rPr>
        <w:t>JACC Case Rep</w:t>
      </w:r>
      <w:r w:rsidRPr="00DC1980">
        <w:rPr>
          <w:rFonts w:ascii="Times New Roman" w:hAnsi="Times New Roman" w:cs="Times New Roman"/>
        </w:rPr>
        <w:t xml:space="preserve"> </w:t>
      </w:r>
      <w:r w:rsidRPr="00DC1980">
        <w:rPr>
          <w:rFonts w:ascii="Times New Roman" w:hAnsi="Times New Roman" w:cs="Times New Roman"/>
          <w:b/>
        </w:rPr>
        <w:t>29</w:t>
      </w:r>
      <w:r w:rsidRPr="00DC1980">
        <w:rPr>
          <w:rFonts w:ascii="Times New Roman" w:hAnsi="Times New Roman" w:cs="Times New Roman"/>
        </w:rPr>
        <w:t>, 102393 (2024).</w:t>
      </w:r>
    </w:p>
    <w:p w14:paraId="3F803D93" w14:textId="619C7E1F"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8.</w:t>
      </w:r>
      <w:r w:rsidRPr="00DC1980">
        <w:rPr>
          <w:rFonts w:ascii="Times New Roman" w:hAnsi="Times New Roman" w:cs="Times New Roman"/>
        </w:rPr>
        <w:tab/>
        <w:t>U.S. Food and Drug Administration. Edwards EVOQUE tricuspid valve replacement system—P230013. Accessed April 9, 2025. https://www.fda.gov/medical-devices/recently-approved-devices/edwards-evoque-tricuspidvalve-replacement-system-p230013.</w:t>
      </w:r>
    </w:p>
    <w:p w14:paraId="383BF71F"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9.</w:t>
      </w:r>
      <w:r w:rsidRPr="00DC1980">
        <w:rPr>
          <w:rFonts w:ascii="Times New Roman" w:hAnsi="Times New Roman" w:cs="Times New Roman"/>
        </w:rPr>
        <w:tab/>
        <w:t>Fam, N.P.</w:t>
      </w:r>
      <w:r w:rsidRPr="00DC1980">
        <w:rPr>
          <w:rFonts w:ascii="Times New Roman" w:hAnsi="Times New Roman" w:cs="Times New Roman"/>
          <w:i/>
        </w:rPr>
        <w:t>, et al.</w:t>
      </w:r>
      <w:r w:rsidRPr="00DC1980">
        <w:rPr>
          <w:rFonts w:ascii="Times New Roman" w:hAnsi="Times New Roman" w:cs="Times New Roman"/>
        </w:rPr>
        <w:t xml:space="preserve"> Transfemoral Transcatheter Tricuspid Valve Replacement With the EVOQUE System: A Multicenter, Observational, First-in-Human Experience. </w:t>
      </w:r>
      <w:r w:rsidRPr="00DC1980">
        <w:rPr>
          <w:rFonts w:ascii="Times New Roman" w:hAnsi="Times New Roman" w:cs="Times New Roman"/>
          <w:i/>
        </w:rPr>
        <w:t>JACC Cardiovasc Interv</w:t>
      </w:r>
      <w:r w:rsidRPr="00DC1980">
        <w:rPr>
          <w:rFonts w:ascii="Times New Roman" w:hAnsi="Times New Roman" w:cs="Times New Roman"/>
        </w:rPr>
        <w:t xml:space="preserve"> </w:t>
      </w:r>
      <w:r w:rsidRPr="00DC1980">
        <w:rPr>
          <w:rFonts w:ascii="Times New Roman" w:hAnsi="Times New Roman" w:cs="Times New Roman"/>
          <w:b/>
        </w:rPr>
        <w:t>14</w:t>
      </w:r>
      <w:r w:rsidRPr="00DC1980">
        <w:rPr>
          <w:rFonts w:ascii="Times New Roman" w:hAnsi="Times New Roman" w:cs="Times New Roman"/>
        </w:rPr>
        <w:t>, 501-511 (2021).</w:t>
      </w:r>
    </w:p>
    <w:p w14:paraId="5B047820"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lastRenderedPageBreak/>
        <w:t>10.</w:t>
      </w:r>
      <w:r w:rsidRPr="00DC1980">
        <w:rPr>
          <w:rFonts w:ascii="Times New Roman" w:hAnsi="Times New Roman" w:cs="Times New Roman"/>
        </w:rPr>
        <w:tab/>
        <w:t>Webb, J.G.</w:t>
      </w:r>
      <w:r w:rsidRPr="00DC1980">
        <w:rPr>
          <w:rFonts w:ascii="Times New Roman" w:hAnsi="Times New Roman" w:cs="Times New Roman"/>
          <w:i/>
        </w:rPr>
        <w:t>, et al.</w:t>
      </w:r>
      <w:r w:rsidRPr="00DC1980">
        <w:rPr>
          <w:rFonts w:ascii="Times New Roman" w:hAnsi="Times New Roman" w:cs="Times New Roman"/>
        </w:rPr>
        <w:t xml:space="preserve"> Transcatheter Tricuspid Valve Replacement With the EVOQUE System: 1-Year Outcomes of a Multicenter, First-in-Human Experience. </w:t>
      </w:r>
      <w:r w:rsidRPr="00DC1980">
        <w:rPr>
          <w:rFonts w:ascii="Times New Roman" w:hAnsi="Times New Roman" w:cs="Times New Roman"/>
          <w:i/>
        </w:rPr>
        <w:t>JACC Cardiovasc Interv</w:t>
      </w:r>
      <w:r w:rsidRPr="00DC1980">
        <w:rPr>
          <w:rFonts w:ascii="Times New Roman" w:hAnsi="Times New Roman" w:cs="Times New Roman"/>
        </w:rPr>
        <w:t xml:space="preserve"> </w:t>
      </w:r>
      <w:r w:rsidRPr="00DC1980">
        <w:rPr>
          <w:rFonts w:ascii="Times New Roman" w:hAnsi="Times New Roman" w:cs="Times New Roman"/>
          <w:b/>
        </w:rPr>
        <w:t>15</w:t>
      </w:r>
      <w:r w:rsidRPr="00DC1980">
        <w:rPr>
          <w:rFonts w:ascii="Times New Roman" w:hAnsi="Times New Roman" w:cs="Times New Roman"/>
        </w:rPr>
        <w:t>, 481-491 (2022).</w:t>
      </w:r>
    </w:p>
    <w:p w14:paraId="559D52EE"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11.</w:t>
      </w:r>
      <w:r w:rsidRPr="00DC1980">
        <w:rPr>
          <w:rFonts w:ascii="Times New Roman" w:hAnsi="Times New Roman" w:cs="Times New Roman"/>
        </w:rPr>
        <w:tab/>
        <w:t>Grayburn, P.A.</w:t>
      </w:r>
      <w:r w:rsidRPr="00DC1980">
        <w:rPr>
          <w:rFonts w:ascii="Times New Roman" w:hAnsi="Times New Roman" w:cs="Times New Roman"/>
          <w:i/>
        </w:rPr>
        <w:t>, et al.</w:t>
      </w:r>
      <w:r w:rsidRPr="00DC1980">
        <w:rPr>
          <w:rFonts w:ascii="Times New Roman" w:hAnsi="Times New Roman" w:cs="Times New Roman"/>
        </w:rPr>
        <w:t xml:space="preserve"> TRISCEND II: Novel Randomized Trial Design for Transcatheter Tricuspid Valve Replacement. </w:t>
      </w:r>
      <w:r w:rsidRPr="00DC1980">
        <w:rPr>
          <w:rFonts w:ascii="Times New Roman" w:hAnsi="Times New Roman" w:cs="Times New Roman"/>
          <w:i/>
        </w:rPr>
        <w:t>Am J Cardiol</w:t>
      </w:r>
      <w:r w:rsidRPr="00DC1980">
        <w:rPr>
          <w:rFonts w:ascii="Times New Roman" w:hAnsi="Times New Roman" w:cs="Times New Roman"/>
        </w:rPr>
        <w:t xml:space="preserve"> </w:t>
      </w:r>
      <w:r w:rsidRPr="00DC1980">
        <w:rPr>
          <w:rFonts w:ascii="Times New Roman" w:hAnsi="Times New Roman" w:cs="Times New Roman"/>
          <w:b/>
        </w:rPr>
        <w:t>225</w:t>
      </w:r>
      <w:r w:rsidRPr="00DC1980">
        <w:rPr>
          <w:rFonts w:ascii="Times New Roman" w:hAnsi="Times New Roman" w:cs="Times New Roman"/>
        </w:rPr>
        <w:t>, 171-177 (2024).</w:t>
      </w:r>
    </w:p>
    <w:p w14:paraId="4ACDB658"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12.</w:t>
      </w:r>
      <w:r w:rsidRPr="00DC1980">
        <w:rPr>
          <w:rFonts w:ascii="Times New Roman" w:hAnsi="Times New Roman" w:cs="Times New Roman"/>
        </w:rPr>
        <w:tab/>
        <w:t>Rudski, L.G.</w:t>
      </w:r>
      <w:r w:rsidRPr="00DC1980">
        <w:rPr>
          <w:rFonts w:ascii="Times New Roman" w:hAnsi="Times New Roman" w:cs="Times New Roman"/>
          <w:i/>
        </w:rPr>
        <w:t>, et al.</w:t>
      </w:r>
      <w:r w:rsidRPr="00DC1980">
        <w:rPr>
          <w:rFonts w:ascii="Times New Roman" w:hAnsi="Times New Roman" w:cs="Times New Roman"/>
        </w:rPr>
        <w:t xml:space="preserve"> Guidelines for the echocardiographic assessment of the right heart in adults: a report from the American Society of Echocardiography endorsed by the European Association of Echocardiography, a registered branch of the European Society of Cardiology, and the Canadian Society of Echocardiography. </w:t>
      </w:r>
      <w:r w:rsidRPr="00DC1980">
        <w:rPr>
          <w:rFonts w:ascii="Times New Roman" w:hAnsi="Times New Roman" w:cs="Times New Roman"/>
          <w:i/>
        </w:rPr>
        <w:t>J Am Soc Echocardiogr</w:t>
      </w:r>
      <w:r w:rsidRPr="00DC1980">
        <w:rPr>
          <w:rFonts w:ascii="Times New Roman" w:hAnsi="Times New Roman" w:cs="Times New Roman"/>
        </w:rPr>
        <w:t xml:space="preserve"> </w:t>
      </w:r>
      <w:r w:rsidRPr="00DC1980">
        <w:rPr>
          <w:rFonts w:ascii="Times New Roman" w:hAnsi="Times New Roman" w:cs="Times New Roman"/>
          <w:b/>
        </w:rPr>
        <w:t>23</w:t>
      </w:r>
      <w:r w:rsidRPr="00DC1980">
        <w:rPr>
          <w:rFonts w:ascii="Times New Roman" w:hAnsi="Times New Roman" w:cs="Times New Roman"/>
        </w:rPr>
        <w:t>, 685-713; quiz 786-688 (2010).</w:t>
      </w:r>
    </w:p>
    <w:p w14:paraId="06265A5E"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13.</w:t>
      </w:r>
      <w:r w:rsidRPr="00DC1980">
        <w:rPr>
          <w:rFonts w:ascii="Times New Roman" w:hAnsi="Times New Roman" w:cs="Times New Roman"/>
        </w:rPr>
        <w:tab/>
        <w:t>Stone, G.W.</w:t>
      </w:r>
      <w:r w:rsidRPr="00DC1980">
        <w:rPr>
          <w:rFonts w:ascii="Times New Roman" w:hAnsi="Times New Roman" w:cs="Times New Roman"/>
          <w:i/>
        </w:rPr>
        <w:t>, et al.</w:t>
      </w:r>
      <w:r w:rsidRPr="00DC1980">
        <w:rPr>
          <w:rFonts w:ascii="Times New Roman" w:hAnsi="Times New Roman" w:cs="Times New Roman"/>
        </w:rPr>
        <w:t xml:space="preserve"> Clinical Trial Design Principles and Endpoint Definitions for Transcatheter Mitral Valve Repair and Replacement: Part 2: Endpoint Definitions: A Consensus Document From the Mitral Valve Academic Research Consortium. </w:t>
      </w:r>
      <w:r w:rsidRPr="00DC1980">
        <w:rPr>
          <w:rFonts w:ascii="Times New Roman" w:hAnsi="Times New Roman" w:cs="Times New Roman"/>
          <w:i/>
        </w:rPr>
        <w:t>J Am Coll Cardiol</w:t>
      </w:r>
      <w:r w:rsidRPr="00DC1980">
        <w:rPr>
          <w:rFonts w:ascii="Times New Roman" w:hAnsi="Times New Roman" w:cs="Times New Roman"/>
        </w:rPr>
        <w:t xml:space="preserve"> </w:t>
      </w:r>
      <w:r w:rsidRPr="00DC1980">
        <w:rPr>
          <w:rFonts w:ascii="Times New Roman" w:hAnsi="Times New Roman" w:cs="Times New Roman"/>
          <w:b/>
        </w:rPr>
        <w:t>66</w:t>
      </w:r>
      <w:r w:rsidRPr="00DC1980">
        <w:rPr>
          <w:rFonts w:ascii="Times New Roman" w:hAnsi="Times New Roman" w:cs="Times New Roman"/>
        </w:rPr>
        <w:t>, 308-321 (2015).</w:t>
      </w:r>
    </w:p>
    <w:p w14:paraId="10CDAD38"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14.</w:t>
      </w:r>
      <w:r w:rsidRPr="00DC1980">
        <w:rPr>
          <w:rFonts w:ascii="Times New Roman" w:hAnsi="Times New Roman" w:cs="Times New Roman"/>
        </w:rPr>
        <w:tab/>
        <w:t>Stolz, L.</w:t>
      </w:r>
      <w:r w:rsidRPr="00DC1980">
        <w:rPr>
          <w:rFonts w:ascii="Times New Roman" w:hAnsi="Times New Roman" w:cs="Times New Roman"/>
          <w:i/>
        </w:rPr>
        <w:t>, et al.</w:t>
      </w:r>
      <w:r w:rsidRPr="00DC1980">
        <w:rPr>
          <w:rFonts w:ascii="Times New Roman" w:hAnsi="Times New Roman" w:cs="Times New Roman"/>
        </w:rPr>
        <w:t xml:space="preserve"> Applying the TRILUMINATE Eligibility Criteria to Real-World Patients Receiving Tricuspid Valve Transcatheter Edge-to-Edge Repair. </w:t>
      </w:r>
      <w:r w:rsidRPr="00DC1980">
        <w:rPr>
          <w:rFonts w:ascii="Times New Roman" w:hAnsi="Times New Roman" w:cs="Times New Roman"/>
          <w:i/>
        </w:rPr>
        <w:t>JACC Cardiovasc Interv</w:t>
      </w:r>
      <w:r w:rsidRPr="00DC1980">
        <w:rPr>
          <w:rFonts w:ascii="Times New Roman" w:hAnsi="Times New Roman" w:cs="Times New Roman"/>
        </w:rPr>
        <w:t xml:space="preserve"> </w:t>
      </w:r>
      <w:r w:rsidRPr="00DC1980">
        <w:rPr>
          <w:rFonts w:ascii="Times New Roman" w:hAnsi="Times New Roman" w:cs="Times New Roman"/>
          <w:b/>
        </w:rPr>
        <w:t>17</w:t>
      </w:r>
      <w:r w:rsidRPr="00DC1980">
        <w:rPr>
          <w:rFonts w:ascii="Times New Roman" w:hAnsi="Times New Roman" w:cs="Times New Roman"/>
        </w:rPr>
        <w:t>, 535-548 (2024).</w:t>
      </w:r>
    </w:p>
    <w:p w14:paraId="33440550"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15.</w:t>
      </w:r>
      <w:r w:rsidRPr="00DC1980">
        <w:rPr>
          <w:rFonts w:ascii="Times New Roman" w:hAnsi="Times New Roman" w:cs="Times New Roman"/>
        </w:rPr>
        <w:tab/>
        <w:t>Abushouk, A.</w:t>
      </w:r>
      <w:r w:rsidRPr="00DC1980">
        <w:rPr>
          <w:rFonts w:ascii="Times New Roman" w:hAnsi="Times New Roman" w:cs="Times New Roman"/>
          <w:i/>
        </w:rPr>
        <w:t>, et al.</w:t>
      </w:r>
      <w:r w:rsidRPr="00DC1980">
        <w:rPr>
          <w:rFonts w:ascii="Times New Roman" w:hAnsi="Times New Roman" w:cs="Times New Roman"/>
        </w:rPr>
        <w:t xml:space="preserve"> Real-World Patient Eligibility and Feasibility of Transcatheter Edge-to-Edge Repair or Replacement Interventions for Tricuspid Regurgitation. </w:t>
      </w:r>
      <w:r w:rsidRPr="00DC1980">
        <w:rPr>
          <w:rFonts w:ascii="Times New Roman" w:hAnsi="Times New Roman" w:cs="Times New Roman"/>
          <w:i/>
        </w:rPr>
        <w:t>J Card Fail</w:t>
      </w:r>
      <w:r w:rsidRPr="00DC1980">
        <w:rPr>
          <w:rFonts w:ascii="Times New Roman" w:hAnsi="Times New Roman" w:cs="Times New Roman"/>
        </w:rPr>
        <w:t xml:space="preserve"> </w:t>
      </w:r>
      <w:r w:rsidRPr="00DC1980">
        <w:rPr>
          <w:rFonts w:ascii="Times New Roman" w:hAnsi="Times New Roman" w:cs="Times New Roman"/>
          <w:b/>
        </w:rPr>
        <w:t>30</w:t>
      </w:r>
      <w:r w:rsidRPr="00DC1980">
        <w:rPr>
          <w:rFonts w:ascii="Times New Roman" w:hAnsi="Times New Roman" w:cs="Times New Roman"/>
        </w:rPr>
        <w:t>, 1265-1272 (2024).</w:t>
      </w:r>
    </w:p>
    <w:p w14:paraId="5354BA25"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16.</w:t>
      </w:r>
      <w:r w:rsidRPr="00DC1980">
        <w:rPr>
          <w:rFonts w:ascii="Times New Roman" w:hAnsi="Times New Roman" w:cs="Times New Roman"/>
        </w:rPr>
        <w:tab/>
        <w:t xml:space="preserve">Kolte, D. &amp; Elmariah, S. Real-World Patient Eligibility for Transcatheter Tricuspid Valve Interventions: Translating Trials to Clinical Practice. </w:t>
      </w:r>
      <w:r w:rsidRPr="00DC1980">
        <w:rPr>
          <w:rFonts w:ascii="Times New Roman" w:hAnsi="Times New Roman" w:cs="Times New Roman"/>
          <w:i/>
        </w:rPr>
        <w:t>J Card Fail</w:t>
      </w:r>
      <w:r w:rsidRPr="00DC1980">
        <w:rPr>
          <w:rFonts w:ascii="Times New Roman" w:hAnsi="Times New Roman" w:cs="Times New Roman"/>
        </w:rPr>
        <w:t xml:space="preserve"> </w:t>
      </w:r>
      <w:r w:rsidRPr="00DC1980">
        <w:rPr>
          <w:rFonts w:ascii="Times New Roman" w:hAnsi="Times New Roman" w:cs="Times New Roman"/>
          <w:b/>
        </w:rPr>
        <w:t>30</w:t>
      </w:r>
      <w:r w:rsidRPr="00DC1980">
        <w:rPr>
          <w:rFonts w:ascii="Times New Roman" w:hAnsi="Times New Roman" w:cs="Times New Roman"/>
        </w:rPr>
        <w:t>, 1273-1274 (2024).</w:t>
      </w:r>
    </w:p>
    <w:p w14:paraId="34CA0D41"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lastRenderedPageBreak/>
        <w:t>17.</w:t>
      </w:r>
      <w:r w:rsidRPr="00DC1980">
        <w:rPr>
          <w:rFonts w:ascii="Times New Roman" w:hAnsi="Times New Roman" w:cs="Times New Roman"/>
        </w:rPr>
        <w:tab/>
        <w:t>Lurz, P.</w:t>
      </w:r>
      <w:r w:rsidRPr="00DC1980">
        <w:rPr>
          <w:rFonts w:ascii="Times New Roman" w:hAnsi="Times New Roman" w:cs="Times New Roman"/>
          <w:i/>
        </w:rPr>
        <w:t>, et al.</w:t>
      </w:r>
      <w:r w:rsidRPr="00DC1980">
        <w:rPr>
          <w:rFonts w:ascii="Times New Roman" w:hAnsi="Times New Roman" w:cs="Times New Roman"/>
        </w:rPr>
        <w:t xml:space="preserve"> Real-World 1-Year Results of Tricuspid Edge-to-Edge Repair From the bRIGHT Study. </w:t>
      </w:r>
      <w:r w:rsidRPr="00DC1980">
        <w:rPr>
          <w:rFonts w:ascii="Times New Roman" w:hAnsi="Times New Roman" w:cs="Times New Roman"/>
          <w:i/>
        </w:rPr>
        <w:t>J Am Coll Cardiol</w:t>
      </w:r>
      <w:r w:rsidRPr="00DC1980">
        <w:rPr>
          <w:rFonts w:ascii="Times New Roman" w:hAnsi="Times New Roman" w:cs="Times New Roman"/>
        </w:rPr>
        <w:t xml:space="preserve"> </w:t>
      </w:r>
      <w:r w:rsidRPr="00DC1980">
        <w:rPr>
          <w:rFonts w:ascii="Times New Roman" w:hAnsi="Times New Roman" w:cs="Times New Roman"/>
          <w:b/>
        </w:rPr>
        <w:t>84</w:t>
      </w:r>
      <w:r w:rsidRPr="00DC1980">
        <w:rPr>
          <w:rFonts w:ascii="Times New Roman" w:hAnsi="Times New Roman" w:cs="Times New Roman"/>
        </w:rPr>
        <w:t>, 607-616 (2024).</w:t>
      </w:r>
    </w:p>
    <w:p w14:paraId="721FD501" w14:textId="77777777" w:rsidR="00D8082D" w:rsidRPr="00DC1980" w:rsidRDefault="00D8082D" w:rsidP="00CB254F">
      <w:pPr>
        <w:pStyle w:val="EndNoteBibliography"/>
        <w:spacing w:after="0" w:line="480" w:lineRule="auto"/>
        <w:ind w:left="720" w:hanging="720"/>
        <w:rPr>
          <w:rFonts w:ascii="Times New Roman" w:hAnsi="Times New Roman" w:cs="Times New Roman"/>
        </w:rPr>
      </w:pPr>
      <w:r w:rsidRPr="00DC1980">
        <w:rPr>
          <w:rFonts w:ascii="Times New Roman" w:hAnsi="Times New Roman" w:cs="Times New Roman"/>
        </w:rPr>
        <w:t>18.</w:t>
      </w:r>
      <w:r w:rsidRPr="00DC1980">
        <w:rPr>
          <w:rFonts w:ascii="Times New Roman" w:hAnsi="Times New Roman" w:cs="Times New Roman"/>
        </w:rPr>
        <w:tab/>
        <w:t>Kodali, S.</w:t>
      </w:r>
      <w:r w:rsidRPr="00DC1980">
        <w:rPr>
          <w:rFonts w:ascii="Times New Roman" w:hAnsi="Times New Roman" w:cs="Times New Roman"/>
          <w:i/>
        </w:rPr>
        <w:t>, et al.</w:t>
      </w:r>
      <w:r w:rsidRPr="00DC1980">
        <w:rPr>
          <w:rFonts w:ascii="Times New Roman" w:hAnsi="Times New Roman" w:cs="Times New Roman"/>
        </w:rPr>
        <w:t xml:space="preserve"> Transfemoral Tricuspid Valve Replacement in Patients With Tricuspid Regurgitation: TRISCEND Study 30-Day Results. </w:t>
      </w:r>
      <w:r w:rsidRPr="00DC1980">
        <w:rPr>
          <w:rFonts w:ascii="Times New Roman" w:hAnsi="Times New Roman" w:cs="Times New Roman"/>
          <w:i/>
        </w:rPr>
        <w:t>JACC Cardiovasc Interv</w:t>
      </w:r>
      <w:r w:rsidRPr="00DC1980">
        <w:rPr>
          <w:rFonts w:ascii="Times New Roman" w:hAnsi="Times New Roman" w:cs="Times New Roman"/>
        </w:rPr>
        <w:t xml:space="preserve"> </w:t>
      </w:r>
      <w:r w:rsidRPr="00DC1980">
        <w:rPr>
          <w:rFonts w:ascii="Times New Roman" w:hAnsi="Times New Roman" w:cs="Times New Roman"/>
          <w:b/>
        </w:rPr>
        <w:t>15</w:t>
      </w:r>
      <w:r w:rsidRPr="00DC1980">
        <w:rPr>
          <w:rFonts w:ascii="Times New Roman" w:hAnsi="Times New Roman" w:cs="Times New Roman"/>
        </w:rPr>
        <w:t>, 471-480 (2022).</w:t>
      </w:r>
    </w:p>
    <w:p w14:paraId="69CC6BD6" w14:textId="77777777" w:rsidR="00D8082D" w:rsidRPr="00585E3E" w:rsidRDefault="00D8082D" w:rsidP="00CB254F">
      <w:pPr>
        <w:pStyle w:val="EndNoteBibliography"/>
        <w:spacing w:line="480" w:lineRule="auto"/>
        <w:ind w:left="720" w:hanging="720"/>
        <w:rPr>
          <w:rFonts w:ascii="Times New Roman" w:hAnsi="Times New Roman" w:cs="Times New Roman"/>
        </w:rPr>
      </w:pPr>
      <w:r w:rsidRPr="00DC1980">
        <w:rPr>
          <w:rFonts w:ascii="Times New Roman" w:hAnsi="Times New Roman" w:cs="Times New Roman"/>
        </w:rPr>
        <w:t>19.</w:t>
      </w:r>
      <w:r w:rsidRPr="00DC1980">
        <w:rPr>
          <w:rFonts w:ascii="Times New Roman" w:hAnsi="Times New Roman" w:cs="Times New Roman"/>
        </w:rPr>
        <w:tab/>
        <w:t>Angellotti, D.</w:t>
      </w:r>
      <w:r w:rsidRPr="00DC1980">
        <w:rPr>
          <w:rFonts w:ascii="Times New Roman" w:hAnsi="Times New Roman" w:cs="Times New Roman"/>
          <w:i/>
        </w:rPr>
        <w:t>, et al.</w:t>
      </w:r>
      <w:r w:rsidRPr="00DC1980">
        <w:rPr>
          <w:rFonts w:ascii="Times New Roman" w:hAnsi="Times New Roman" w:cs="Times New Roman"/>
        </w:rPr>
        <w:t xml:space="preserve"> Early Outcomes of Real-World Transcatheter Tricuspid Valve Replacement. </w:t>
      </w:r>
      <w:r w:rsidRPr="00DC1980">
        <w:rPr>
          <w:rFonts w:ascii="Times New Roman" w:hAnsi="Times New Roman" w:cs="Times New Roman"/>
          <w:i/>
        </w:rPr>
        <w:t>JACC Cardiovasc Interv</w:t>
      </w:r>
      <w:r w:rsidRPr="00DC1980">
        <w:rPr>
          <w:rFonts w:ascii="Times New Roman" w:hAnsi="Times New Roman" w:cs="Times New Roman"/>
        </w:rPr>
        <w:t xml:space="preserve"> </w:t>
      </w:r>
      <w:r w:rsidRPr="00DC1980">
        <w:rPr>
          <w:rFonts w:ascii="Times New Roman" w:hAnsi="Times New Roman" w:cs="Times New Roman"/>
          <w:b/>
        </w:rPr>
        <w:t>18</w:t>
      </w:r>
      <w:r w:rsidRPr="00DC1980">
        <w:rPr>
          <w:rFonts w:ascii="Times New Roman" w:hAnsi="Times New Roman" w:cs="Times New Roman"/>
        </w:rPr>
        <w:t>, 1896-1909 (2025).</w:t>
      </w:r>
    </w:p>
    <w:p w14:paraId="5413177A" w14:textId="77777777" w:rsidR="00F549E0" w:rsidRDefault="00F549E0">
      <w:pPr>
        <w:rPr>
          <w:rFonts w:ascii="Calibri" w:eastAsia="Times New Roman" w:hAnsi="Calibri" w:cs="Calibri"/>
          <w:b/>
          <w:bCs/>
          <w:sz w:val="18"/>
          <w:szCs w:val="18"/>
        </w:rPr>
      </w:pPr>
      <w:r>
        <w:rPr>
          <w:rFonts w:ascii="Calibri" w:eastAsia="Times New Roman" w:hAnsi="Calibri" w:cs="Calibri"/>
          <w:b/>
          <w:bCs/>
          <w:sz w:val="18"/>
          <w:szCs w:val="18"/>
        </w:rPr>
        <w:br w:type="page"/>
      </w:r>
    </w:p>
    <w:p w14:paraId="55E7B4C2" w14:textId="0FFA5278" w:rsidR="00265C63" w:rsidRPr="007F1F69" w:rsidRDefault="00F549E0" w:rsidP="00F549E0">
      <w:pPr>
        <w:spacing w:line="480" w:lineRule="auto"/>
        <w:rPr>
          <w:rFonts w:ascii="Times New Roman" w:eastAsia="Times New Roman" w:hAnsi="Times New Roman" w:cs="Times New Roman"/>
        </w:rPr>
      </w:pPr>
      <w:r w:rsidRPr="007F1F69">
        <w:rPr>
          <w:rFonts w:ascii="Times New Roman" w:eastAsia="Times New Roman" w:hAnsi="Times New Roman" w:cs="Times New Roman"/>
          <w:b/>
          <w:bCs/>
        </w:rPr>
        <w:lastRenderedPageBreak/>
        <w:t>Central Illustration.</w:t>
      </w:r>
      <w:r w:rsidRPr="007F1F69">
        <w:rPr>
          <w:rFonts w:ascii="Times New Roman" w:eastAsia="Times New Roman" w:hAnsi="Times New Roman" w:cs="Times New Roman"/>
        </w:rPr>
        <w:t> Baseline characteristics and 30-day outcomes after transcatheter tricuspid valve replacement (TTVR) with the EVOQUE system according to TRISCEND II trial eligibility. Both eligible and non-eligible patients achieved significant tricuspid regurgitation reduction, while non-eligible patients remained more symptomatic at 30 days. </w:t>
      </w:r>
    </w:p>
    <w:p w14:paraId="25ECFCA6" w14:textId="77777777" w:rsidR="00BC7617" w:rsidRPr="007F1F69" w:rsidRDefault="00BC7617" w:rsidP="00F549E0">
      <w:pPr>
        <w:spacing w:line="480" w:lineRule="auto"/>
        <w:rPr>
          <w:rFonts w:ascii="Times New Roman" w:eastAsia="Times New Roman" w:hAnsi="Times New Roman" w:cs="Times New Roman"/>
        </w:rPr>
      </w:pPr>
    </w:p>
    <w:p w14:paraId="4EFD1397" w14:textId="0D511623" w:rsidR="00BC7617" w:rsidRPr="007F1F69" w:rsidRDefault="00BC7617" w:rsidP="00BC7617">
      <w:pPr>
        <w:spacing w:line="480" w:lineRule="auto"/>
        <w:rPr>
          <w:rFonts w:ascii="Times New Roman" w:eastAsia="Times New Roman" w:hAnsi="Times New Roman" w:cs="Times New Roman"/>
        </w:rPr>
      </w:pPr>
      <w:r w:rsidRPr="007F1F69">
        <w:rPr>
          <w:rFonts w:ascii="Times New Roman" w:eastAsia="Times New Roman" w:hAnsi="Times New Roman" w:cs="Times New Roman"/>
          <w:b/>
          <w:bCs/>
        </w:rPr>
        <w:t>Figure 1.</w:t>
      </w:r>
      <w:r w:rsidRPr="007F1F69">
        <w:rPr>
          <w:rFonts w:ascii="Times New Roman" w:eastAsia="Times New Roman" w:hAnsi="Times New Roman" w:cs="Times New Roman"/>
        </w:rPr>
        <w:t xml:space="preserve"> Eligibility Assessment for TRISCEND II Trial Among Patients with Severe Symptomatic Tricuspid Regurgitation (N=112) Flowchart demonstrating the distribution of patients assessed for eligibility in the TRISCEND II trial. Among 112 patients with severe symptomatic tricuspid regurgitation, 47 (42%) met eligibility criteria, while 65 (58%) were considered non-eligible due to various exclusion factors. All non-eligible patients had at least two exclusion criteria (most had 2–4). eGFR – Estimated Glomerular Filtration Rate; mmHg – Millimeters of Mercury; PE – Pulmonary Embolism; DVT – Deep Vein Thrombosis; GI – Gastrointestinal.</w:t>
      </w:r>
    </w:p>
    <w:p w14:paraId="4B8636CC" w14:textId="77777777" w:rsidR="008C5DD2" w:rsidRPr="007F1F69" w:rsidRDefault="008C5DD2" w:rsidP="00BC7617">
      <w:pPr>
        <w:spacing w:line="480" w:lineRule="auto"/>
        <w:rPr>
          <w:rFonts w:ascii="Times New Roman" w:eastAsia="Times New Roman" w:hAnsi="Times New Roman" w:cs="Times New Roman"/>
        </w:rPr>
      </w:pPr>
    </w:p>
    <w:p w14:paraId="17C144D5" w14:textId="6543C89D" w:rsidR="008C5DD2" w:rsidRPr="007F1F69" w:rsidRDefault="008C5DD2" w:rsidP="008C5DD2">
      <w:pPr>
        <w:spacing w:line="480" w:lineRule="auto"/>
        <w:rPr>
          <w:rFonts w:ascii="Times New Roman" w:eastAsia="Times New Roman" w:hAnsi="Times New Roman" w:cs="Times New Roman"/>
        </w:rPr>
      </w:pPr>
      <w:r w:rsidRPr="007F1F69">
        <w:rPr>
          <w:rFonts w:ascii="Times New Roman" w:eastAsia="Times New Roman" w:hAnsi="Times New Roman" w:cs="Times New Roman"/>
          <w:b/>
          <w:bCs/>
        </w:rPr>
        <w:t>Figure 2.</w:t>
      </w:r>
      <w:r w:rsidRPr="007F1F69">
        <w:rPr>
          <w:rFonts w:ascii="Times New Roman" w:eastAsia="Times New Roman" w:hAnsi="Times New Roman" w:cs="Times New Roman"/>
        </w:rPr>
        <w:t xml:space="preserve"> Tricuspid Regurgitation Severity and Clinical Improvement at 30 Days in TRISCEND II Eligible vs. Non-Eligible Patients. P-value is based on Wilcoxon signed-ranked test.</w:t>
      </w:r>
    </w:p>
    <w:p w14:paraId="06F8C12A" w14:textId="77777777" w:rsidR="00B3288F" w:rsidRPr="007F1F69" w:rsidRDefault="00B3288F" w:rsidP="008C5DD2">
      <w:pPr>
        <w:spacing w:line="480" w:lineRule="auto"/>
        <w:rPr>
          <w:rFonts w:ascii="Times New Roman" w:eastAsia="Times New Roman" w:hAnsi="Times New Roman" w:cs="Times New Roman"/>
        </w:rPr>
      </w:pPr>
    </w:p>
    <w:p w14:paraId="712E1576" w14:textId="1C371D0D" w:rsidR="00797F44" w:rsidRPr="007F1F69" w:rsidRDefault="00B3288F" w:rsidP="008E1139">
      <w:pPr>
        <w:spacing w:line="480" w:lineRule="auto"/>
        <w:rPr>
          <w:rFonts w:ascii="Times New Roman" w:eastAsia="Times New Roman" w:hAnsi="Times New Roman" w:cs="Times New Roman"/>
          <w:sz w:val="18"/>
          <w:szCs w:val="18"/>
        </w:rPr>
      </w:pPr>
      <w:r w:rsidRPr="007F1F69">
        <w:rPr>
          <w:rFonts w:ascii="Times New Roman" w:eastAsia="Times New Roman" w:hAnsi="Times New Roman" w:cs="Times New Roman"/>
          <w:b/>
          <w:bCs/>
        </w:rPr>
        <w:t>Figure 3.</w:t>
      </w:r>
      <w:r w:rsidRPr="007F1F69">
        <w:rPr>
          <w:rFonts w:ascii="Times New Roman" w:eastAsia="Times New Roman" w:hAnsi="Times New Roman" w:cs="Times New Roman"/>
        </w:rPr>
        <w:t xml:space="preserve"> Adverse Events in TRISCEND II Eligible and Non-Eligible Patients.</w:t>
      </w:r>
    </w:p>
    <w:sectPr w:rsidR="00797F44" w:rsidRPr="007F1F6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A48F5" w14:textId="77777777" w:rsidR="00F46D60" w:rsidRDefault="00F46D60" w:rsidP="00B96567">
      <w:pPr>
        <w:spacing w:after="0" w:line="240" w:lineRule="auto"/>
      </w:pPr>
      <w:r>
        <w:separator/>
      </w:r>
    </w:p>
  </w:endnote>
  <w:endnote w:type="continuationSeparator" w:id="0">
    <w:p w14:paraId="5F258061" w14:textId="77777777" w:rsidR="00F46D60" w:rsidRDefault="00F46D60" w:rsidP="00B965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97218134"/>
      <w:docPartObj>
        <w:docPartGallery w:val="Page Numbers (Bottom of Page)"/>
        <w:docPartUnique/>
      </w:docPartObj>
    </w:sdtPr>
    <w:sdtEndPr>
      <w:rPr>
        <w:noProof/>
      </w:rPr>
    </w:sdtEndPr>
    <w:sdtContent>
      <w:p w14:paraId="1395278C" w14:textId="51D4B55B" w:rsidR="00B96567" w:rsidRDefault="00B9656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1262E38" w14:textId="77777777" w:rsidR="00B96567" w:rsidRDefault="00B9656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F5DEFC" w14:textId="77777777" w:rsidR="00F46D60" w:rsidRDefault="00F46D60" w:rsidP="00B96567">
      <w:pPr>
        <w:spacing w:after="0" w:line="240" w:lineRule="auto"/>
      </w:pPr>
      <w:r>
        <w:separator/>
      </w:r>
    </w:p>
  </w:footnote>
  <w:footnote w:type="continuationSeparator" w:id="0">
    <w:p w14:paraId="3637103A" w14:textId="77777777" w:rsidR="00F46D60" w:rsidRDefault="00F46D60" w:rsidP="00B9656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360A6"/>
    <w:multiLevelType w:val="multilevel"/>
    <w:tmpl w:val="0C6C0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94079"/>
    <w:multiLevelType w:val="multilevel"/>
    <w:tmpl w:val="5EFA3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A81917"/>
    <w:multiLevelType w:val="hybridMultilevel"/>
    <w:tmpl w:val="B45CB016"/>
    <w:lvl w:ilvl="0" w:tplc="7F961C58">
      <w:start w:val="3"/>
      <w:numFmt w:val="bullet"/>
      <w:lvlText w:val="-"/>
      <w:lvlJc w:val="left"/>
      <w:pPr>
        <w:ind w:left="720" w:hanging="360"/>
      </w:pPr>
      <w:rPr>
        <w:rFonts w:ascii="Cambria Math" w:eastAsia="Times New Roman" w:hAnsi="Cambria Math" w:cs="Cambria Math"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A5E001E"/>
    <w:multiLevelType w:val="multilevel"/>
    <w:tmpl w:val="398AB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7E557F"/>
    <w:multiLevelType w:val="multilevel"/>
    <w:tmpl w:val="7E5CE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64004188">
    <w:abstractNumId w:val="3"/>
  </w:num>
  <w:num w:numId="2" w16cid:durableId="73164180">
    <w:abstractNumId w:val="4"/>
  </w:num>
  <w:num w:numId="3" w16cid:durableId="486095245">
    <w:abstractNumId w:val="0"/>
  </w:num>
  <w:num w:numId="4" w16cid:durableId="1520125023">
    <w:abstractNumId w:val="1"/>
  </w:num>
  <w:num w:numId="5" w16cid:durableId="6290216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Stroke&lt;/Style&gt;&lt;LeftDelim&gt;{&lt;/LeftDelim&gt;&lt;RightDelim&gt;}&lt;/RightDelim&gt;&lt;FontName&gt;Aptos&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29az5dwdxp0fd9eftfip2dr95petzepzwvvr&quot;&gt;My EndNote Library&lt;record-ids&gt;&lt;item&gt;1&lt;/item&gt;&lt;item&gt;2&lt;/item&gt;&lt;item&gt;4&lt;/item&gt;&lt;item&gt;5&lt;/item&gt;&lt;item&gt;10&lt;/item&gt;&lt;item&gt;13&lt;/item&gt;&lt;item&gt;15&lt;/item&gt;&lt;item&gt;17&lt;/item&gt;&lt;item&gt;21&lt;/item&gt;&lt;item&gt;23&lt;/item&gt;&lt;item&gt;25&lt;/item&gt;&lt;item&gt;28&lt;/item&gt;&lt;item&gt;30&lt;/item&gt;&lt;item&gt;52&lt;/item&gt;&lt;/record-ids&gt;&lt;/item&gt;&lt;/Libraries&gt;"/>
  </w:docVars>
  <w:rsids>
    <w:rsidRoot w:val="00797F44"/>
    <w:rsid w:val="00005DE4"/>
    <w:rsid w:val="00012F32"/>
    <w:rsid w:val="00016010"/>
    <w:rsid w:val="000171E6"/>
    <w:rsid w:val="00022DE3"/>
    <w:rsid w:val="0002564B"/>
    <w:rsid w:val="00031C80"/>
    <w:rsid w:val="0003423D"/>
    <w:rsid w:val="00034627"/>
    <w:rsid w:val="000351DC"/>
    <w:rsid w:val="000367F3"/>
    <w:rsid w:val="000505C9"/>
    <w:rsid w:val="00057423"/>
    <w:rsid w:val="00064FA7"/>
    <w:rsid w:val="0006620D"/>
    <w:rsid w:val="0006682D"/>
    <w:rsid w:val="00067129"/>
    <w:rsid w:val="00070A0D"/>
    <w:rsid w:val="00074C6B"/>
    <w:rsid w:val="00076C03"/>
    <w:rsid w:val="00077870"/>
    <w:rsid w:val="00082427"/>
    <w:rsid w:val="0008308B"/>
    <w:rsid w:val="0008786D"/>
    <w:rsid w:val="00093232"/>
    <w:rsid w:val="000936E7"/>
    <w:rsid w:val="000948D0"/>
    <w:rsid w:val="000A1C2D"/>
    <w:rsid w:val="000A2746"/>
    <w:rsid w:val="000A2ADB"/>
    <w:rsid w:val="000A49C5"/>
    <w:rsid w:val="000B561A"/>
    <w:rsid w:val="000B5DC7"/>
    <w:rsid w:val="000B7C7C"/>
    <w:rsid w:val="000C1EA6"/>
    <w:rsid w:val="000C2209"/>
    <w:rsid w:val="000C3327"/>
    <w:rsid w:val="000C4773"/>
    <w:rsid w:val="000C5022"/>
    <w:rsid w:val="000C7CB7"/>
    <w:rsid w:val="000D7C73"/>
    <w:rsid w:val="000E01C2"/>
    <w:rsid w:val="000E1DCB"/>
    <w:rsid w:val="000E25E6"/>
    <w:rsid w:val="000E6083"/>
    <w:rsid w:val="000E61A9"/>
    <w:rsid w:val="000E6D99"/>
    <w:rsid w:val="000E7D9D"/>
    <w:rsid w:val="000F4216"/>
    <w:rsid w:val="000F4DCF"/>
    <w:rsid w:val="000F4FEA"/>
    <w:rsid w:val="000F65E7"/>
    <w:rsid w:val="000F7B49"/>
    <w:rsid w:val="00101743"/>
    <w:rsid w:val="00101B65"/>
    <w:rsid w:val="00103CA0"/>
    <w:rsid w:val="00103F6A"/>
    <w:rsid w:val="00104358"/>
    <w:rsid w:val="00115876"/>
    <w:rsid w:val="00117A24"/>
    <w:rsid w:val="00121628"/>
    <w:rsid w:val="001237CC"/>
    <w:rsid w:val="0012390A"/>
    <w:rsid w:val="00136752"/>
    <w:rsid w:val="00136C8D"/>
    <w:rsid w:val="00136DD6"/>
    <w:rsid w:val="00137A37"/>
    <w:rsid w:val="00137DF3"/>
    <w:rsid w:val="00141A2A"/>
    <w:rsid w:val="00142135"/>
    <w:rsid w:val="00143882"/>
    <w:rsid w:val="00145133"/>
    <w:rsid w:val="00155437"/>
    <w:rsid w:val="00155FF4"/>
    <w:rsid w:val="001624D2"/>
    <w:rsid w:val="001625AD"/>
    <w:rsid w:val="00166544"/>
    <w:rsid w:val="001677B9"/>
    <w:rsid w:val="00170D5A"/>
    <w:rsid w:val="001765AC"/>
    <w:rsid w:val="0018022E"/>
    <w:rsid w:val="00186078"/>
    <w:rsid w:val="00197F7C"/>
    <w:rsid w:val="001A69BD"/>
    <w:rsid w:val="001A715E"/>
    <w:rsid w:val="001A7F2B"/>
    <w:rsid w:val="001B1D82"/>
    <w:rsid w:val="001B1E4C"/>
    <w:rsid w:val="001B3C6A"/>
    <w:rsid w:val="001B5EBD"/>
    <w:rsid w:val="001B64A9"/>
    <w:rsid w:val="001B78A5"/>
    <w:rsid w:val="001C33BD"/>
    <w:rsid w:val="001D2346"/>
    <w:rsid w:val="001D2B96"/>
    <w:rsid w:val="001D4161"/>
    <w:rsid w:val="001D5387"/>
    <w:rsid w:val="001E0936"/>
    <w:rsid w:val="001E2282"/>
    <w:rsid w:val="001E2E72"/>
    <w:rsid w:val="001E6888"/>
    <w:rsid w:val="001E6D31"/>
    <w:rsid w:val="001E6ED9"/>
    <w:rsid w:val="0020298B"/>
    <w:rsid w:val="0020479A"/>
    <w:rsid w:val="00204ADC"/>
    <w:rsid w:val="002053BE"/>
    <w:rsid w:val="002105F2"/>
    <w:rsid w:val="00212E6F"/>
    <w:rsid w:val="00213288"/>
    <w:rsid w:val="00214304"/>
    <w:rsid w:val="00216683"/>
    <w:rsid w:val="0021733F"/>
    <w:rsid w:val="00222464"/>
    <w:rsid w:val="00222B4F"/>
    <w:rsid w:val="00224BE1"/>
    <w:rsid w:val="00226991"/>
    <w:rsid w:val="00230558"/>
    <w:rsid w:val="0023338B"/>
    <w:rsid w:val="002353E6"/>
    <w:rsid w:val="00240D4D"/>
    <w:rsid w:val="00241372"/>
    <w:rsid w:val="0024521E"/>
    <w:rsid w:val="00247029"/>
    <w:rsid w:val="00247FF9"/>
    <w:rsid w:val="0025003B"/>
    <w:rsid w:val="00250DF8"/>
    <w:rsid w:val="0025566A"/>
    <w:rsid w:val="00255EBE"/>
    <w:rsid w:val="00255EF7"/>
    <w:rsid w:val="00257CDC"/>
    <w:rsid w:val="00261212"/>
    <w:rsid w:val="00262591"/>
    <w:rsid w:val="00262FF1"/>
    <w:rsid w:val="002642D7"/>
    <w:rsid w:val="002644A4"/>
    <w:rsid w:val="00265B84"/>
    <w:rsid w:val="00265C63"/>
    <w:rsid w:val="0027010D"/>
    <w:rsid w:val="002760ED"/>
    <w:rsid w:val="002845FA"/>
    <w:rsid w:val="00286978"/>
    <w:rsid w:val="002876C4"/>
    <w:rsid w:val="0029083F"/>
    <w:rsid w:val="00292B49"/>
    <w:rsid w:val="002A1075"/>
    <w:rsid w:val="002A1B21"/>
    <w:rsid w:val="002A6F8F"/>
    <w:rsid w:val="002A7F29"/>
    <w:rsid w:val="002B0058"/>
    <w:rsid w:val="002B6840"/>
    <w:rsid w:val="002C39FD"/>
    <w:rsid w:val="002C6FF3"/>
    <w:rsid w:val="002D1EC7"/>
    <w:rsid w:val="002D21AC"/>
    <w:rsid w:val="002D55D7"/>
    <w:rsid w:val="002D7772"/>
    <w:rsid w:val="002D7F33"/>
    <w:rsid w:val="002E2EE0"/>
    <w:rsid w:val="002E57A6"/>
    <w:rsid w:val="002E6BE2"/>
    <w:rsid w:val="002F2BAE"/>
    <w:rsid w:val="003007DB"/>
    <w:rsid w:val="00307ED3"/>
    <w:rsid w:val="00311C05"/>
    <w:rsid w:val="00312C2F"/>
    <w:rsid w:val="003172BF"/>
    <w:rsid w:val="0032666A"/>
    <w:rsid w:val="00330BC6"/>
    <w:rsid w:val="00336D2B"/>
    <w:rsid w:val="003406A0"/>
    <w:rsid w:val="00346E69"/>
    <w:rsid w:val="0035028D"/>
    <w:rsid w:val="00350D3D"/>
    <w:rsid w:val="00352089"/>
    <w:rsid w:val="003520BB"/>
    <w:rsid w:val="003530D6"/>
    <w:rsid w:val="0035665D"/>
    <w:rsid w:val="00356E54"/>
    <w:rsid w:val="00360045"/>
    <w:rsid w:val="0036082B"/>
    <w:rsid w:val="0036126C"/>
    <w:rsid w:val="003625B1"/>
    <w:rsid w:val="003647A2"/>
    <w:rsid w:val="003661F4"/>
    <w:rsid w:val="003722D5"/>
    <w:rsid w:val="003748FE"/>
    <w:rsid w:val="003752D5"/>
    <w:rsid w:val="00376ED5"/>
    <w:rsid w:val="00377AF6"/>
    <w:rsid w:val="00385122"/>
    <w:rsid w:val="00386BAB"/>
    <w:rsid w:val="00391409"/>
    <w:rsid w:val="00393ED2"/>
    <w:rsid w:val="003A6B03"/>
    <w:rsid w:val="003A6F2B"/>
    <w:rsid w:val="003B0D44"/>
    <w:rsid w:val="003B4009"/>
    <w:rsid w:val="003B4135"/>
    <w:rsid w:val="003B4988"/>
    <w:rsid w:val="003B6350"/>
    <w:rsid w:val="003B7D12"/>
    <w:rsid w:val="003C1BFC"/>
    <w:rsid w:val="003C6CB7"/>
    <w:rsid w:val="003C7837"/>
    <w:rsid w:val="003D1637"/>
    <w:rsid w:val="003D50E0"/>
    <w:rsid w:val="003D79FA"/>
    <w:rsid w:val="003E7324"/>
    <w:rsid w:val="003E7C9C"/>
    <w:rsid w:val="003F011E"/>
    <w:rsid w:val="003F1317"/>
    <w:rsid w:val="003F2FE2"/>
    <w:rsid w:val="003F3DFB"/>
    <w:rsid w:val="003F5139"/>
    <w:rsid w:val="003F5E3D"/>
    <w:rsid w:val="004037B7"/>
    <w:rsid w:val="004043E7"/>
    <w:rsid w:val="00404D88"/>
    <w:rsid w:val="00406808"/>
    <w:rsid w:val="004121E6"/>
    <w:rsid w:val="0041281A"/>
    <w:rsid w:val="00412F56"/>
    <w:rsid w:val="00421460"/>
    <w:rsid w:val="0042162E"/>
    <w:rsid w:val="00423C87"/>
    <w:rsid w:val="00430D8F"/>
    <w:rsid w:val="00434722"/>
    <w:rsid w:val="00436FE8"/>
    <w:rsid w:val="00444DF9"/>
    <w:rsid w:val="0045484A"/>
    <w:rsid w:val="00454C38"/>
    <w:rsid w:val="00460B87"/>
    <w:rsid w:val="00464AAC"/>
    <w:rsid w:val="0046540D"/>
    <w:rsid w:val="00466082"/>
    <w:rsid w:val="004705D3"/>
    <w:rsid w:val="00470BC9"/>
    <w:rsid w:val="00471423"/>
    <w:rsid w:val="004722A2"/>
    <w:rsid w:val="004734B4"/>
    <w:rsid w:val="00473BC0"/>
    <w:rsid w:val="00482638"/>
    <w:rsid w:val="00482AE7"/>
    <w:rsid w:val="00483241"/>
    <w:rsid w:val="00484949"/>
    <w:rsid w:val="00487EA5"/>
    <w:rsid w:val="00495B5E"/>
    <w:rsid w:val="00495C35"/>
    <w:rsid w:val="00496D70"/>
    <w:rsid w:val="004A0ACE"/>
    <w:rsid w:val="004A0D12"/>
    <w:rsid w:val="004A0FA8"/>
    <w:rsid w:val="004A1C66"/>
    <w:rsid w:val="004A3C15"/>
    <w:rsid w:val="004A4160"/>
    <w:rsid w:val="004B1AD8"/>
    <w:rsid w:val="004B3ACF"/>
    <w:rsid w:val="004B44C2"/>
    <w:rsid w:val="004B5545"/>
    <w:rsid w:val="004B787C"/>
    <w:rsid w:val="004D1D5D"/>
    <w:rsid w:val="004D225B"/>
    <w:rsid w:val="004D2605"/>
    <w:rsid w:val="004D41F8"/>
    <w:rsid w:val="004D5EFE"/>
    <w:rsid w:val="004D6967"/>
    <w:rsid w:val="004D7921"/>
    <w:rsid w:val="004E07CC"/>
    <w:rsid w:val="004E17F4"/>
    <w:rsid w:val="004F0A80"/>
    <w:rsid w:val="004F26E3"/>
    <w:rsid w:val="004F3C59"/>
    <w:rsid w:val="004F6F16"/>
    <w:rsid w:val="005002E2"/>
    <w:rsid w:val="00500FDC"/>
    <w:rsid w:val="00501FA7"/>
    <w:rsid w:val="005037C8"/>
    <w:rsid w:val="005038CF"/>
    <w:rsid w:val="00503A25"/>
    <w:rsid w:val="00503FC8"/>
    <w:rsid w:val="00514FEA"/>
    <w:rsid w:val="005169D7"/>
    <w:rsid w:val="005246A8"/>
    <w:rsid w:val="00527EAA"/>
    <w:rsid w:val="005319ED"/>
    <w:rsid w:val="00531EA3"/>
    <w:rsid w:val="0053587B"/>
    <w:rsid w:val="00537B8D"/>
    <w:rsid w:val="00537E6E"/>
    <w:rsid w:val="005402A9"/>
    <w:rsid w:val="00543E3F"/>
    <w:rsid w:val="005477C7"/>
    <w:rsid w:val="005479EF"/>
    <w:rsid w:val="00552DAB"/>
    <w:rsid w:val="005559D5"/>
    <w:rsid w:val="00556603"/>
    <w:rsid w:val="005604EB"/>
    <w:rsid w:val="00560727"/>
    <w:rsid w:val="005625BC"/>
    <w:rsid w:val="0056798D"/>
    <w:rsid w:val="00570F0F"/>
    <w:rsid w:val="00577257"/>
    <w:rsid w:val="00577A74"/>
    <w:rsid w:val="00584B68"/>
    <w:rsid w:val="0058571A"/>
    <w:rsid w:val="00585E3E"/>
    <w:rsid w:val="005875B9"/>
    <w:rsid w:val="00592D7C"/>
    <w:rsid w:val="00593EC9"/>
    <w:rsid w:val="00593ECF"/>
    <w:rsid w:val="0059403C"/>
    <w:rsid w:val="005A11AB"/>
    <w:rsid w:val="005A293E"/>
    <w:rsid w:val="005B0859"/>
    <w:rsid w:val="005B1F75"/>
    <w:rsid w:val="005B34C6"/>
    <w:rsid w:val="005B50FA"/>
    <w:rsid w:val="005B639C"/>
    <w:rsid w:val="005C141C"/>
    <w:rsid w:val="005C6144"/>
    <w:rsid w:val="005D4B97"/>
    <w:rsid w:val="005E3357"/>
    <w:rsid w:val="005E567E"/>
    <w:rsid w:val="005E5F57"/>
    <w:rsid w:val="005E7DB1"/>
    <w:rsid w:val="005F0934"/>
    <w:rsid w:val="005F49DF"/>
    <w:rsid w:val="0060356C"/>
    <w:rsid w:val="006046F5"/>
    <w:rsid w:val="00605435"/>
    <w:rsid w:val="006107E5"/>
    <w:rsid w:val="00610811"/>
    <w:rsid w:val="00612B71"/>
    <w:rsid w:val="00617547"/>
    <w:rsid w:val="00622EEE"/>
    <w:rsid w:val="006241FD"/>
    <w:rsid w:val="00624A3E"/>
    <w:rsid w:val="00625C09"/>
    <w:rsid w:val="006269B7"/>
    <w:rsid w:val="006269FA"/>
    <w:rsid w:val="0063580C"/>
    <w:rsid w:val="00641AC2"/>
    <w:rsid w:val="0066243D"/>
    <w:rsid w:val="006678AB"/>
    <w:rsid w:val="00670579"/>
    <w:rsid w:val="00671E8F"/>
    <w:rsid w:val="00677436"/>
    <w:rsid w:val="00680FA8"/>
    <w:rsid w:val="00684599"/>
    <w:rsid w:val="00690169"/>
    <w:rsid w:val="006942AA"/>
    <w:rsid w:val="006A05FC"/>
    <w:rsid w:val="006A22D4"/>
    <w:rsid w:val="006A504C"/>
    <w:rsid w:val="006B427A"/>
    <w:rsid w:val="006B4AEE"/>
    <w:rsid w:val="006B572E"/>
    <w:rsid w:val="006B726A"/>
    <w:rsid w:val="006C5DFD"/>
    <w:rsid w:val="006D247C"/>
    <w:rsid w:val="006D6E9D"/>
    <w:rsid w:val="006E03BE"/>
    <w:rsid w:val="006E158F"/>
    <w:rsid w:val="006E701A"/>
    <w:rsid w:val="006F04F9"/>
    <w:rsid w:val="006F2E57"/>
    <w:rsid w:val="006F3DE8"/>
    <w:rsid w:val="006F6278"/>
    <w:rsid w:val="006F62FB"/>
    <w:rsid w:val="007004D5"/>
    <w:rsid w:val="007039A1"/>
    <w:rsid w:val="00710247"/>
    <w:rsid w:val="00713716"/>
    <w:rsid w:val="00714253"/>
    <w:rsid w:val="0071445D"/>
    <w:rsid w:val="00714566"/>
    <w:rsid w:val="007201BC"/>
    <w:rsid w:val="007257ED"/>
    <w:rsid w:val="007315E5"/>
    <w:rsid w:val="00732DBB"/>
    <w:rsid w:val="00734573"/>
    <w:rsid w:val="007516F7"/>
    <w:rsid w:val="00753743"/>
    <w:rsid w:val="0075402A"/>
    <w:rsid w:val="007548E0"/>
    <w:rsid w:val="007603E4"/>
    <w:rsid w:val="00760B30"/>
    <w:rsid w:val="0076487C"/>
    <w:rsid w:val="007701BC"/>
    <w:rsid w:val="007714FC"/>
    <w:rsid w:val="00772EA2"/>
    <w:rsid w:val="00777942"/>
    <w:rsid w:val="00781405"/>
    <w:rsid w:val="00781EF3"/>
    <w:rsid w:val="007847A0"/>
    <w:rsid w:val="00786973"/>
    <w:rsid w:val="007924C5"/>
    <w:rsid w:val="00793B55"/>
    <w:rsid w:val="00793D2B"/>
    <w:rsid w:val="00794689"/>
    <w:rsid w:val="00795817"/>
    <w:rsid w:val="00797476"/>
    <w:rsid w:val="00797F44"/>
    <w:rsid w:val="007A34AD"/>
    <w:rsid w:val="007A4699"/>
    <w:rsid w:val="007A477B"/>
    <w:rsid w:val="007A487E"/>
    <w:rsid w:val="007A5446"/>
    <w:rsid w:val="007A7E69"/>
    <w:rsid w:val="007B03C5"/>
    <w:rsid w:val="007B110A"/>
    <w:rsid w:val="007B5E94"/>
    <w:rsid w:val="007B6DAA"/>
    <w:rsid w:val="007C49CF"/>
    <w:rsid w:val="007C58BE"/>
    <w:rsid w:val="007D08C9"/>
    <w:rsid w:val="007D174B"/>
    <w:rsid w:val="007D1B2E"/>
    <w:rsid w:val="007D4222"/>
    <w:rsid w:val="007D7593"/>
    <w:rsid w:val="007E379F"/>
    <w:rsid w:val="007E6C65"/>
    <w:rsid w:val="007F1938"/>
    <w:rsid w:val="007F1F69"/>
    <w:rsid w:val="007F2629"/>
    <w:rsid w:val="007F4F03"/>
    <w:rsid w:val="007F5E30"/>
    <w:rsid w:val="007F6BB4"/>
    <w:rsid w:val="007F73CC"/>
    <w:rsid w:val="007F7D22"/>
    <w:rsid w:val="008015EF"/>
    <w:rsid w:val="008017C8"/>
    <w:rsid w:val="008050B4"/>
    <w:rsid w:val="00806F7A"/>
    <w:rsid w:val="0080756B"/>
    <w:rsid w:val="00814A19"/>
    <w:rsid w:val="00814D92"/>
    <w:rsid w:val="00816BBD"/>
    <w:rsid w:val="00817A6B"/>
    <w:rsid w:val="00817C79"/>
    <w:rsid w:val="00817CE8"/>
    <w:rsid w:val="008211CC"/>
    <w:rsid w:val="008214DA"/>
    <w:rsid w:val="008217A2"/>
    <w:rsid w:val="00824277"/>
    <w:rsid w:val="008258B2"/>
    <w:rsid w:val="00826A5E"/>
    <w:rsid w:val="008316B3"/>
    <w:rsid w:val="008329C4"/>
    <w:rsid w:val="00834905"/>
    <w:rsid w:val="0083639E"/>
    <w:rsid w:val="008410D8"/>
    <w:rsid w:val="00841BC4"/>
    <w:rsid w:val="00842C3A"/>
    <w:rsid w:val="0084446A"/>
    <w:rsid w:val="008465BC"/>
    <w:rsid w:val="00850D7E"/>
    <w:rsid w:val="008544A0"/>
    <w:rsid w:val="008561E2"/>
    <w:rsid w:val="00861217"/>
    <w:rsid w:val="00867BCD"/>
    <w:rsid w:val="00867E28"/>
    <w:rsid w:val="0087008A"/>
    <w:rsid w:val="00876CAC"/>
    <w:rsid w:val="0087757B"/>
    <w:rsid w:val="00883AC1"/>
    <w:rsid w:val="008841A7"/>
    <w:rsid w:val="0088447B"/>
    <w:rsid w:val="00886C23"/>
    <w:rsid w:val="00890B2B"/>
    <w:rsid w:val="00892228"/>
    <w:rsid w:val="00895D3E"/>
    <w:rsid w:val="0089635F"/>
    <w:rsid w:val="00897390"/>
    <w:rsid w:val="00897AF3"/>
    <w:rsid w:val="008A007C"/>
    <w:rsid w:val="008A055D"/>
    <w:rsid w:val="008A06D3"/>
    <w:rsid w:val="008A12F6"/>
    <w:rsid w:val="008A1BF3"/>
    <w:rsid w:val="008A49DF"/>
    <w:rsid w:val="008A5FB0"/>
    <w:rsid w:val="008B0913"/>
    <w:rsid w:val="008B6A01"/>
    <w:rsid w:val="008B76A9"/>
    <w:rsid w:val="008C2055"/>
    <w:rsid w:val="008C3871"/>
    <w:rsid w:val="008C575A"/>
    <w:rsid w:val="008C5DD2"/>
    <w:rsid w:val="008C5F0D"/>
    <w:rsid w:val="008D047A"/>
    <w:rsid w:val="008E1139"/>
    <w:rsid w:val="008E228F"/>
    <w:rsid w:val="008E2B1E"/>
    <w:rsid w:val="008E353C"/>
    <w:rsid w:val="008E4712"/>
    <w:rsid w:val="008F396A"/>
    <w:rsid w:val="008F4FC8"/>
    <w:rsid w:val="008F6393"/>
    <w:rsid w:val="008F7FB2"/>
    <w:rsid w:val="00901850"/>
    <w:rsid w:val="009049B3"/>
    <w:rsid w:val="00906091"/>
    <w:rsid w:val="009062E2"/>
    <w:rsid w:val="00910A8D"/>
    <w:rsid w:val="0091173D"/>
    <w:rsid w:val="009128E0"/>
    <w:rsid w:val="00913AE5"/>
    <w:rsid w:val="00915001"/>
    <w:rsid w:val="0092451F"/>
    <w:rsid w:val="00927C6A"/>
    <w:rsid w:val="009305E1"/>
    <w:rsid w:val="00934E18"/>
    <w:rsid w:val="00936670"/>
    <w:rsid w:val="00942813"/>
    <w:rsid w:val="00942F5E"/>
    <w:rsid w:val="0094457A"/>
    <w:rsid w:val="00945C1D"/>
    <w:rsid w:val="0095275E"/>
    <w:rsid w:val="00953A2A"/>
    <w:rsid w:val="00954BE0"/>
    <w:rsid w:val="009563B1"/>
    <w:rsid w:val="00961A34"/>
    <w:rsid w:val="00966769"/>
    <w:rsid w:val="009717C3"/>
    <w:rsid w:val="00973A91"/>
    <w:rsid w:val="00974167"/>
    <w:rsid w:val="009763A4"/>
    <w:rsid w:val="00980D2C"/>
    <w:rsid w:val="00982273"/>
    <w:rsid w:val="009875D4"/>
    <w:rsid w:val="009879A0"/>
    <w:rsid w:val="00987ABC"/>
    <w:rsid w:val="009927DE"/>
    <w:rsid w:val="00995CE1"/>
    <w:rsid w:val="009A048F"/>
    <w:rsid w:val="009A1FBE"/>
    <w:rsid w:val="009A49E7"/>
    <w:rsid w:val="009A6888"/>
    <w:rsid w:val="009A740C"/>
    <w:rsid w:val="009A7D2F"/>
    <w:rsid w:val="009B1342"/>
    <w:rsid w:val="009B2575"/>
    <w:rsid w:val="009B32FA"/>
    <w:rsid w:val="009B39A9"/>
    <w:rsid w:val="009C1EAD"/>
    <w:rsid w:val="009C36D0"/>
    <w:rsid w:val="009C7C80"/>
    <w:rsid w:val="009D073F"/>
    <w:rsid w:val="009D1C90"/>
    <w:rsid w:val="009E0472"/>
    <w:rsid w:val="009E15A8"/>
    <w:rsid w:val="009E4966"/>
    <w:rsid w:val="009E6ACD"/>
    <w:rsid w:val="009F0579"/>
    <w:rsid w:val="009F0AA3"/>
    <w:rsid w:val="009F1292"/>
    <w:rsid w:val="009F151E"/>
    <w:rsid w:val="00A02752"/>
    <w:rsid w:val="00A04C41"/>
    <w:rsid w:val="00A05D19"/>
    <w:rsid w:val="00A10083"/>
    <w:rsid w:val="00A10F0F"/>
    <w:rsid w:val="00A12DF5"/>
    <w:rsid w:val="00A1410C"/>
    <w:rsid w:val="00A162ED"/>
    <w:rsid w:val="00A17E08"/>
    <w:rsid w:val="00A20799"/>
    <w:rsid w:val="00A20859"/>
    <w:rsid w:val="00A24FDA"/>
    <w:rsid w:val="00A276D4"/>
    <w:rsid w:val="00A30DC2"/>
    <w:rsid w:val="00A30F68"/>
    <w:rsid w:val="00A31614"/>
    <w:rsid w:val="00A3553A"/>
    <w:rsid w:val="00A36581"/>
    <w:rsid w:val="00A41BF9"/>
    <w:rsid w:val="00A43BB9"/>
    <w:rsid w:val="00A4544E"/>
    <w:rsid w:val="00A45E10"/>
    <w:rsid w:val="00A4690A"/>
    <w:rsid w:val="00A47C4A"/>
    <w:rsid w:val="00A50C02"/>
    <w:rsid w:val="00A5189D"/>
    <w:rsid w:val="00A52335"/>
    <w:rsid w:val="00A57CFB"/>
    <w:rsid w:val="00A60FCE"/>
    <w:rsid w:val="00A619EB"/>
    <w:rsid w:val="00A62348"/>
    <w:rsid w:val="00A65C94"/>
    <w:rsid w:val="00A65FBB"/>
    <w:rsid w:val="00A66C86"/>
    <w:rsid w:val="00A707FB"/>
    <w:rsid w:val="00A75B36"/>
    <w:rsid w:val="00A75E42"/>
    <w:rsid w:val="00A83279"/>
    <w:rsid w:val="00A8430E"/>
    <w:rsid w:val="00A86878"/>
    <w:rsid w:val="00A8699A"/>
    <w:rsid w:val="00A90296"/>
    <w:rsid w:val="00A90A40"/>
    <w:rsid w:val="00A91CF3"/>
    <w:rsid w:val="00A929D0"/>
    <w:rsid w:val="00A93248"/>
    <w:rsid w:val="00A976EA"/>
    <w:rsid w:val="00AA7FFC"/>
    <w:rsid w:val="00AB0719"/>
    <w:rsid w:val="00AB1D5E"/>
    <w:rsid w:val="00AB1D76"/>
    <w:rsid w:val="00AC0247"/>
    <w:rsid w:val="00AC0F48"/>
    <w:rsid w:val="00AC3455"/>
    <w:rsid w:val="00AC7803"/>
    <w:rsid w:val="00AD10CE"/>
    <w:rsid w:val="00AD2EF2"/>
    <w:rsid w:val="00AD3838"/>
    <w:rsid w:val="00AD4BEF"/>
    <w:rsid w:val="00AF1B2A"/>
    <w:rsid w:val="00AF6E56"/>
    <w:rsid w:val="00AF7025"/>
    <w:rsid w:val="00B051A4"/>
    <w:rsid w:val="00B13861"/>
    <w:rsid w:val="00B158FF"/>
    <w:rsid w:val="00B169E9"/>
    <w:rsid w:val="00B1733A"/>
    <w:rsid w:val="00B214CF"/>
    <w:rsid w:val="00B23562"/>
    <w:rsid w:val="00B27347"/>
    <w:rsid w:val="00B27DA4"/>
    <w:rsid w:val="00B319DA"/>
    <w:rsid w:val="00B32588"/>
    <w:rsid w:val="00B3288F"/>
    <w:rsid w:val="00B356EA"/>
    <w:rsid w:val="00B36F40"/>
    <w:rsid w:val="00B37DDB"/>
    <w:rsid w:val="00B42B30"/>
    <w:rsid w:val="00B430FC"/>
    <w:rsid w:val="00B46072"/>
    <w:rsid w:val="00B526E0"/>
    <w:rsid w:val="00B53ADE"/>
    <w:rsid w:val="00B53C21"/>
    <w:rsid w:val="00B53E5C"/>
    <w:rsid w:val="00B540BB"/>
    <w:rsid w:val="00B5467F"/>
    <w:rsid w:val="00B57196"/>
    <w:rsid w:val="00B579AC"/>
    <w:rsid w:val="00B57BBA"/>
    <w:rsid w:val="00B57BF7"/>
    <w:rsid w:val="00B64307"/>
    <w:rsid w:val="00B67EE9"/>
    <w:rsid w:val="00B7223E"/>
    <w:rsid w:val="00B75C7A"/>
    <w:rsid w:val="00B76132"/>
    <w:rsid w:val="00B77FF6"/>
    <w:rsid w:val="00B815F3"/>
    <w:rsid w:val="00B8379F"/>
    <w:rsid w:val="00B839DD"/>
    <w:rsid w:val="00B86777"/>
    <w:rsid w:val="00B92028"/>
    <w:rsid w:val="00B92652"/>
    <w:rsid w:val="00B92C29"/>
    <w:rsid w:val="00B9450D"/>
    <w:rsid w:val="00B94DDD"/>
    <w:rsid w:val="00B96567"/>
    <w:rsid w:val="00B9657D"/>
    <w:rsid w:val="00B9677E"/>
    <w:rsid w:val="00B97510"/>
    <w:rsid w:val="00BA4B6C"/>
    <w:rsid w:val="00BA4E84"/>
    <w:rsid w:val="00BA6F07"/>
    <w:rsid w:val="00BB48B9"/>
    <w:rsid w:val="00BC2FBF"/>
    <w:rsid w:val="00BC5272"/>
    <w:rsid w:val="00BC7617"/>
    <w:rsid w:val="00BC76B5"/>
    <w:rsid w:val="00BC7D2B"/>
    <w:rsid w:val="00BD1878"/>
    <w:rsid w:val="00BD1968"/>
    <w:rsid w:val="00BD21FE"/>
    <w:rsid w:val="00BD4B0E"/>
    <w:rsid w:val="00BD53C0"/>
    <w:rsid w:val="00BE468C"/>
    <w:rsid w:val="00BE52BA"/>
    <w:rsid w:val="00BE58F7"/>
    <w:rsid w:val="00BE7B82"/>
    <w:rsid w:val="00BE7FB3"/>
    <w:rsid w:val="00C019EE"/>
    <w:rsid w:val="00C06105"/>
    <w:rsid w:val="00C064C4"/>
    <w:rsid w:val="00C10830"/>
    <w:rsid w:val="00C10D67"/>
    <w:rsid w:val="00C11408"/>
    <w:rsid w:val="00C134FD"/>
    <w:rsid w:val="00C156E0"/>
    <w:rsid w:val="00C222B9"/>
    <w:rsid w:val="00C23108"/>
    <w:rsid w:val="00C26440"/>
    <w:rsid w:val="00C26D34"/>
    <w:rsid w:val="00C320E1"/>
    <w:rsid w:val="00C33734"/>
    <w:rsid w:val="00C35B69"/>
    <w:rsid w:val="00C36270"/>
    <w:rsid w:val="00C410CA"/>
    <w:rsid w:val="00C45FC0"/>
    <w:rsid w:val="00C465DB"/>
    <w:rsid w:val="00C46CF2"/>
    <w:rsid w:val="00C51E81"/>
    <w:rsid w:val="00C520C8"/>
    <w:rsid w:val="00C54E4D"/>
    <w:rsid w:val="00C61131"/>
    <w:rsid w:val="00C61699"/>
    <w:rsid w:val="00C61C11"/>
    <w:rsid w:val="00C61D89"/>
    <w:rsid w:val="00C64B6E"/>
    <w:rsid w:val="00C65BE9"/>
    <w:rsid w:val="00C65E0F"/>
    <w:rsid w:val="00C737D9"/>
    <w:rsid w:val="00C804C9"/>
    <w:rsid w:val="00C84947"/>
    <w:rsid w:val="00C8658E"/>
    <w:rsid w:val="00C86970"/>
    <w:rsid w:val="00C874CC"/>
    <w:rsid w:val="00C87B65"/>
    <w:rsid w:val="00C90635"/>
    <w:rsid w:val="00C9166C"/>
    <w:rsid w:val="00C93318"/>
    <w:rsid w:val="00C93E16"/>
    <w:rsid w:val="00C9555D"/>
    <w:rsid w:val="00CA38A7"/>
    <w:rsid w:val="00CA4488"/>
    <w:rsid w:val="00CA65F8"/>
    <w:rsid w:val="00CB1015"/>
    <w:rsid w:val="00CB254F"/>
    <w:rsid w:val="00CC00BE"/>
    <w:rsid w:val="00CC3BBE"/>
    <w:rsid w:val="00CC4160"/>
    <w:rsid w:val="00CD664A"/>
    <w:rsid w:val="00CE0C0C"/>
    <w:rsid w:val="00CE5A3F"/>
    <w:rsid w:val="00CE5E64"/>
    <w:rsid w:val="00CE74AE"/>
    <w:rsid w:val="00CF22F2"/>
    <w:rsid w:val="00CF33F0"/>
    <w:rsid w:val="00CF4A96"/>
    <w:rsid w:val="00CF641D"/>
    <w:rsid w:val="00D00807"/>
    <w:rsid w:val="00D01685"/>
    <w:rsid w:val="00D01BDD"/>
    <w:rsid w:val="00D02293"/>
    <w:rsid w:val="00D0392F"/>
    <w:rsid w:val="00D04171"/>
    <w:rsid w:val="00D05254"/>
    <w:rsid w:val="00D06D20"/>
    <w:rsid w:val="00D133B7"/>
    <w:rsid w:val="00D13742"/>
    <w:rsid w:val="00D13F49"/>
    <w:rsid w:val="00D2173B"/>
    <w:rsid w:val="00D23445"/>
    <w:rsid w:val="00D321DA"/>
    <w:rsid w:val="00D3440B"/>
    <w:rsid w:val="00D36A50"/>
    <w:rsid w:val="00D40DB1"/>
    <w:rsid w:val="00D546CE"/>
    <w:rsid w:val="00D54DCB"/>
    <w:rsid w:val="00D602CB"/>
    <w:rsid w:val="00D65290"/>
    <w:rsid w:val="00D661E3"/>
    <w:rsid w:val="00D66609"/>
    <w:rsid w:val="00D67328"/>
    <w:rsid w:val="00D71758"/>
    <w:rsid w:val="00D73573"/>
    <w:rsid w:val="00D7533E"/>
    <w:rsid w:val="00D76209"/>
    <w:rsid w:val="00D76945"/>
    <w:rsid w:val="00D8082D"/>
    <w:rsid w:val="00D80BA4"/>
    <w:rsid w:val="00D810A3"/>
    <w:rsid w:val="00D8194F"/>
    <w:rsid w:val="00D8297E"/>
    <w:rsid w:val="00D859B2"/>
    <w:rsid w:val="00D91171"/>
    <w:rsid w:val="00D91CFB"/>
    <w:rsid w:val="00D94153"/>
    <w:rsid w:val="00D945BD"/>
    <w:rsid w:val="00D96CC7"/>
    <w:rsid w:val="00DA21A7"/>
    <w:rsid w:val="00DA57E4"/>
    <w:rsid w:val="00DB5CD8"/>
    <w:rsid w:val="00DB646D"/>
    <w:rsid w:val="00DC0502"/>
    <w:rsid w:val="00DC1980"/>
    <w:rsid w:val="00DC5C45"/>
    <w:rsid w:val="00DC7659"/>
    <w:rsid w:val="00DD7B0B"/>
    <w:rsid w:val="00DE044B"/>
    <w:rsid w:val="00DE7960"/>
    <w:rsid w:val="00DF29E1"/>
    <w:rsid w:val="00DF4F16"/>
    <w:rsid w:val="00DF640A"/>
    <w:rsid w:val="00DF7AC9"/>
    <w:rsid w:val="00DF7BB8"/>
    <w:rsid w:val="00E01752"/>
    <w:rsid w:val="00E0354F"/>
    <w:rsid w:val="00E04A45"/>
    <w:rsid w:val="00E05041"/>
    <w:rsid w:val="00E1204E"/>
    <w:rsid w:val="00E12797"/>
    <w:rsid w:val="00E2247D"/>
    <w:rsid w:val="00E22AEA"/>
    <w:rsid w:val="00E2335F"/>
    <w:rsid w:val="00E243A6"/>
    <w:rsid w:val="00E248A4"/>
    <w:rsid w:val="00E254E6"/>
    <w:rsid w:val="00E26965"/>
    <w:rsid w:val="00E3204A"/>
    <w:rsid w:val="00E36F14"/>
    <w:rsid w:val="00E42736"/>
    <w:rsid w:val="00E44564"/>
    <w:rsid w:val="00E45B7F"/>
    <w:rsid w:val="00E462C8"/>
    <w:rsid w:val="00E51B04"/>
    <w:rsid w:val="00E545F0"/>
    <w:rsid w:val="00E54745"/>
    <w:rsid w:val="00E54F13"/>
    <w:rsid w:val="00E5510A"/>
    <w:rsid w:val="00E63926"/>
    <w:rsid w:val="00E65F69"/>
    <w:rsid w:val="00E71F98"/>
    <w:rsid w:val="00E72C78"/>
    <w:rsid w:val="00E75284"/>
    <w:rsid w:val="00E76811"/>
    <w:rsid w:val="00E77485"/>
    <w:rsid w:val="00E80F65"/>
    <w:rsid w:val="00E81942"/>
    <w:rsid w:val="00E82478"/>
    <w:rsid w:val="00E83EF3"/>
    <w:rsid w:val="00E84028"/>
    <w:rsid w:val="00E844C7"/>
    <w:rsid w:val="00E8508B"/>
    <w:rsid w:val="00E861DF"/>
    <w:rsid w:val="00E8734F"/>
    <w:rsid w:val="00E8777E"/>
    <w:rsid w:val="00E91EFF"/>
    <w:rsid w:val="00E922EF"/>
    <w:rsid w:val="00E97184"/>
    <w:rsid w:val="00E97835"/>
    <w:rsid w:val="00EA3F29"/>
    <w:rsid w:val="00EA598A"/>
    <w:rsid w:val="00EA627E"/>
    <w:rsid w:val="00EA66F0"/>
    <w:rsid w:val="00EA7EB1"/>
    <w:rsid w:val="00EA7EB4"/>
    <w:rsid w:val="00EB0E8F"/>
    <w:rsid w:val="00EB11BC"/>
    <w:rsid w:val="00EB306B"/>
    <w:rsid w:val="00EB5BA9"/>
    <w:rsid w:val="00EC25C6"/>
    <w:rsid w:val="00EC6805"/>
    <w:rsid w:val="00EC6AA7"/>
    <w:rsid w:val="00ED51C1"/>
    <w:rsid w:val="00EE02C9"/>
    <w:rsid w:val="00EE132D"/>
    <w:rsid w:val="00EE26A1"/>
    <w:rsid w:val="00EE4557"/>
    <w:rsid w:val="00EE5F5D"/>
    <w:rsid w:val="00EF0B30"/>
    <w:rsid w:val="00EF2A66"/>
    <w:rsid w:val="00EF336D"/>
    <w:rsid w:val="00EF3F78"/>
    <w:rsid w:val="00EF538D"/>
    <w:rsid w:val="00EF7648"/>
    <w:rsid w:val="00EF7A91"/>
    <w:rsid w:val="00F027DF"/>
    <w:rsid w:val="00F03BF9"/>
    <w:rsid w:val="00F06CF6"/>
    <w:rsid w:val="00F108FF"/>
    <w:rsid w:val="00F172B0"/>
    <w:rsid w:val="00F20485"/>
    <w:rsid w:val="00F2134B"/>
    <w:rsid w:val="00F246E4"/>
    <w:rsid w:val="00F269E7"/>
    <w:rsid w:val="00F33C2C"/>
    <w:rsid w:val="00F34B30"/>
    <w:rsid w:val="00F35B77"/>
    <w:rsid w:val="00F404A3"/>
    <w:rsid w:val="00F40D67"/>
    <w:rsid w:val="00F443CC"/>
    <w:rsid w:val="00F46D60"/>
    <w:rsid w:val="00F505EF"/>
    <w:rsid w:val="00F505FB"/>
    <w:rsid w:val="00F51BAD"/>
    <w:rsid w:val="00F52203"/>
    <w:rsid w:val="00F52A62"/>
    <w:rsid w:val="00F549E0"/>
    <w:rsid w:val="00F60266"/>
    <w:rsid w:val="00F72088"/>
    <w:rsid w:val="00F72396"/>
    <w:rsid w:val="00F779F5"/>
    <w:rsid w:val="00F77E05"/>
    <w:rsid w:val="00F807C8"/>
    <w:rsid w:val="00F82A6E"/>
    <w:rsid w:val="00F8361F"/>
    <w:rsid w:val="00F84A88"/>
    <w:rsid w:val="00F87463"/>
    <w:rsid w:val="00F95E2A"/>
    <w:rsid w:val="00F96867"/>
    <w:rsid w:val="00FA19B8"/>
    <w:rsid w:val="00FB1B48"/>
    <w:rsid w:val="00FB33DC"/>
    <w:rsid w:val="00FC182B"/>
    <w:rsid w:val="00FC4296"/>
    <w:rsid w:val="00FC4A83"/>
    <w:rsid w:val="00FC65F9"/>
    <w:rsid w:val="00FD0AC9"/>
    <w:rsid w:val="00FD4A3D"/>
    <w:rsid w:val="00FD6237"/>
    <w:rsid w:val="00FD651B"/>
    <w:rsid w:val="00FE0413"/>
    <w:rsid w:val="00FE1D44"/>
    <w:rsid w:val="00FF1545"/>
    <w:rsid w:val="00FF5B4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495AD4"/>
  <w15:chartTrackingRefBased/>
  <w15:docId w15:val="{3D0F7CA6-6667-46D4-B9EC-F91B7DC98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7F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7F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7F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7F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7F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7F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7F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7F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7F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7F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7F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7F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7F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7F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7F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7F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7F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7F44"/>
    <w:rPr>
      <w:rFonts w:eastAsiaTheme="majorEastAsia" w:cstheme="majorBidi"/>
      <w:color w:val="272727" w:themeColor="text1" w:themeTint="D8"/>
    </w:rPr>
  </w:style>
  <w:style w:type="paragraph" w:styleId="Title">
    <w:name w:val="Title"/>
    <w:basedOn w:val="Normal"/>
    <w:next w:val="Normal"/>
    <w:link w:val="TitleChar"/>
    <w:uiPriority w:val="10"/>
    <w:qFormat/>
    <w:rsid w:val="00797F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7F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7F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7F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7F44"/>
    <w:pPr>
      <w:spacing w:before="160"/>
      <w:jc w:val="center"/>
    </w:pPr>
    <w:rPr>
      <w:i/>
      <w:iCs/>
      <w:color w:val="404040" w:themeColor="text1" w:themeTint="BF"/>
    </w:rPr>
  </w:style>
  <w:style w:type="character" w:customStyle="1" w:styleId="QuoteChar">
    <w:name w:val="Quote Char"/>
    <w:basedOn w:val="DefaultParagraphFont"/>
    <w:link w:val="Quote"/>
    <w:uiPriority w:val="29"/>
    <w:rsid w:val="00797F44"/>
    <w:rPr>
      <w:i/>
      <w:iCs/>
      <w:color w:val="404040" w:themeColor="text1" w:themeTint="BF"/>
    </w:rPr>
  </w:style>
  <w:style w:type="paragraph" w:styleId="ListParagraph">
    <w:name w:val="List Paragraph"/>
    <w:basedOn w:val="Normal"/>
    <w:uiPriority w:val="34"/>
    <w:qFormat/>
    <w:rsid w:val="00797F44"/>
    <w:pPr>
      <w:ind w:left="720"/>
      <w:contextualSpacing/>
    </w:pPr>
  </w:style>
  <w:style w:type="character" w:styleId="IntenseEmphasis">
    <w:name w:val="Intense Emphasis"/>
    <w:basedOn w:val="DefaultParagraphFont"/>
    <w:uiPriority w:val="21"/>
    <w:qFormat/>
    <w:rsid w:val="00797F44"/>
    <w:rPr>
      <w:i/>
      <w:iCs/>
      <w:color w:val="0F4761" w:themeColor="accent1" w:themeShade="BF"/>
    </w:rPr>
  </w:style>
  <w:style w:type="paragraph" w:styleId="IntenseQuote">
    <w:name w:val="Intense Quote"/>
    <w:basedOn w:val="Normal"/>
    <w:next w:val="Normal"/>
    <w:link w:val="IntenseQuoteChar"/>
    <w:uiPriority w:val="30"/>
    <w:qFormat/>
    <w:rsid w:val="00797F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7F44"/>
    <w:rPr>
      <w:i/>
      <w:iCs/>
      <w:color w:val="0F4761" w:themeColor="accent1" w:themeShade="BF"/>
    </w:rPr>
  </w:style>
  <w:style w:type="character" w:styleId="IntenseReference">
    <w:name w:val="Intense Reference"/>
    <w:basedOn w:val="DefaultParagraphFont"/>
    <w:uiPriority w:val="32"/>
    <w:qFormat/>
    <w:rsid w:val="00797F44"/>
    <w:rPr>
      <w:b/>
      <w:bCs/>
      <w:smallCaps/>
      <w:color w:val="0F4761" w:themeColor="accent1" w:themeShade="BF"/>
      <w:spacing w:val="5"/>
    </w:rPr>
  </w:style>
  <w:style w:type="paragraph" w:customStyle="1" w:styleId="EndNoteBibliographyTitle">
    <w:name w:val="EndNote Bibliography Title"/>
    <w:basedOn w:val="Normal"/>
    <w:link w:val="EndNoteBibliographyTitleChar"/>
    <w:rsid w:val="008211CC"/>
    <w:pPr>
      <w:spacing w:after="0"/>
      <w:jc w:val="center"/>
    </w:pPr>
    <w:rPr>
      <w:rFonts w:ascii="Aptos" w:hAnsi="Aptos"/>
      <w:noProof/>
    </w:rPr>
  </w:style>
  <w:style w:type="character" w:customStyle="1" w:styleId="EndNoteBibliographyTitleChar">
    <w:name w:val="EndNote Bibliography Title Char"/>
    <w:basedOn w:val="DefaultParagraphFont"/>
    <w:link w:val="EndNoteBibliographyTitle"/>
    <w:rsid w:val="008211CC"/>
    <w:rPr>
      <w:rFonts w:ascii="Aptos" w:hAnsi="Aptos"/>
      <w:noProof/>
    </w:rPr>
  </w:style>
  <w:style w:type="paragraph" w:customStyle="1" w:styleId="EndNoteBibliography">
    <w:name w:val="EndNote Bibliography"/>
    <w:basedOn w:val="Normal"/>
    <w:link w:val="EndNoteBibliographyChar"/>
    <w:rsid w:val="008211CC"/>
    <w:pPr>
      <w:spacing w:line="240" w:lineRule="auto"/>
    </w:pPr>
    <w:rPr>
      <w:rFonts w:ascii="Aptos" w:hAnsi="Aptos"/>
      <w:noProof/>
    </w:rPr>
  </w:style>
  <w:style w:type="character" w:customStyle="1" w:styleId="EndNoteBibliographyChar">
    <w:name w:val="EndNote Bibliography Char"/>
    <w:basedOn w:val="DefaultParagraphFont"/>
    <w:link w:val="EndNoteBibliography"/>
    <w:rsid w:val="008211CC"/>
    <w:rPr>
      <w:rFonts w:ascii="Aptos" w:hAnsi="Aptos"/>
      <w:noProof/>
    </w:rPr>
  </w:style>
  <w:style w:type="character" w:styleId="Hyperlink">
    <w:name w:val="Hyperlink"/>
    <w:basedOn w:val="DefaultParagraphFont"/>
    <w:uiPriority w:val="99"/>
    <w:unhideWhenUsed/>
    <w:rsid w:val="00064FA7"/>
    <w:rPr>
      <w:color w:val="467886" w:themeColor="hyperlink"/>
      <w:u w:val="single"/>
    </w:rPr>
  </w:style>
  <w:style w:type="character" w:customStyle="1" w:styleId="UnresolvedMention1">
    <w:name w:val="Unresolved Mention1"/>
    <w:basedOn w:val="DefaultParagraphFont"/>
    <w:uiPriority w:val="99"/>
    <w:semiHidden/>
    <w:unhideWhenUsed/>
    <w:rsid w:val="00064FA7"/>
    <w:rPr>
      <w:color w:val="605E5C"/>
      <w:shd w:val="clear" w:color="auto" w:fill="E1DFDD"/>
    </w:rPr>
  </w:style>
  <w:style w:type="character" w:customStyle="1" w:styleId="normaltextrun">
    <w:name w:val="normaltextrun"/>
    <w:basedOn w:val="DefaultParagraphFont"/>
    <w:rsid w:val="00D661E3"/>
  </w:style>
  <w:style w:type="character" w:customStyle="1" w:styleId="eop">
    <w:name w:val="eop"/>
    <w:basedOn w:val="DefaultParagraphFont"/>
    <w:rsid w:val="00D661E3"/>
  </w:style>
  <w:style w:type="character" w:styleId="CommentReference">
    <w:name w:val="annotation reference"/>
    <w:basedOn w:val="DefaultParagraphFont"/>
    <w:uiPriority w:val="99"/>
    <w:semiHidden/>
    <w:unhideWhenUsed/>
    <w:rsid w:val="008E353C"/>
    <w:rPr>
      <w:sz w:val="16"/>
      <w:szCs w:val="16"/>
    </w:rPr>
  </w:style>
  <w:style w:type="paragraph" w:styleId="CommentText">
    <w:name w:val="annotation text"/>
    <w:basedOn w:val="Normal"/>
    <w:link w:val="CommentTextChar"/>
    <w:uiPriority w:val="99"/>
    <w:unhideWhenUsed/>
    <w:rsid w:val="008E353C"/>
    <w:pPr>
      <w:spacing w:line="240" w:lineRule="auto"/>
    </w:pPr>
    <w:rPr>
      <w:sz w:val="20"/>
      <w:szCs w:val="20"/>
    </w:rPr>
  </w:style>
  <w:style w:type="character" w:customStyle="1" w:styleId="CommentTextChar">
    <w:name w:val="Comment Text Char"/>
    <w:basedOn w:val="DefaultParagraphFont"/>
    <w:link w:val="CommentText"/>
    <w:uiPriority w:val="99"/>
    <w:rsid w:val="008E353C"/>
    <w:rPr>
      <w:sz w:val="20"/>
      <w:szCs w:val="20"/>
    </w:rPr>
  </w:style>
  <w:style w:type="paragraph" w:styleId="CommentSubject">
    <w:name w:val="annotation subject"/>
    <w:basedOn w:val="CommentText"/>
    <w:next w:val="CommentText"/>
    <w:link w:val="CommentSubjectChar"/>
    <w:uiPriority w:val="99"/>
    <w:semiHidden/>
    <w:unhideWhenUsed/>
    <w:rsid w:val="008E353C"/>
    <w:rPr>
      <w:b/>
      <w:bCs/>
    </w:rPr>
  </w:style>
  <w:style w:type="character" w:customStyle="1" w:styleId="CommentSubjectChar">
    <w:name w:val="Comment Subject Char"/>
    <w:basedOn w:val="CommentTextChar"/>
    <w:link w:val="CommentSubject"/>
    <w:uiPriority w:val="99"/>
    <w:semiHidden/>
    <w:rsid w:val="008E353C"/>
    <w:rPr>
      <w:b/>
      <w:bCs/>
      <w:sz w:val="20"/>
      <w:szCs w:val="20"/>
    </w:rPr>
  </w:style>
  <w:style w:type="paragraph" w:styleId="BalloonText">
    <w:name w:val="Balloon Text"/>
    <w:basedOn w:val="Normal"/>
    <w:link w:val="BalloonTextChar"/>
    <w:uiPriority w:val="99"/>
    <w:semiHidden/>
    <w:unhideWhenUsed/>
    <w:rsid w:val="008E353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E353C"/>
    <w:rPr>
      <w:rFonts w:ascii="Segoe UI" w:hAnsi="Segoe UI" w:cs="Segoe UI"/>
      <w:sz w:val="18"/>
      <w:szCs w:val="18"/>
    </w:rPr>
  </w:style>
  <w:style w:type="paragraph" w:styleId="Revision">
    <w:name w:val="Revision"/>
    <w:hidden/>
    <w:uiPriority w:val="99"/>
    <w:semiHidden/>
    <w:rsid w:val="000505C9"/>
    <w:pPr>
      <w:spacing w:after="0" w:line="240" w:lineRule="auto"/>
    </w:pPr>
  </w:style>
  <w:style w:type="character" w:customStyle="1" w:styleId="UnresolvedMention2">
    <w:name w:val="Unresolved Mention2"/>
    <w:basedOn w:val="DefaultParagraphFont"/>
    <w:uiPriority w:val="99"/>
    <w:semiHidden/>
    <w:unhideWhenUsed/>
    <w:rsid w:val="002E6BE2"/>
    <w:rPr>
      <w:color w:val="605E5C"/>
      <w:shd w:val="clear" w:color="auto" w:fill="E1DFDD"/>
    </w:rPr>
  </w:style>
  <w:style w:type="paragraph" w:styleId="Header">
    <w:name w:val="header"/>
    <w:basedOn w:val="Normal"/>
    <w:link w:val="HeaderChar"/>
    <w:uiPriority w:val="99"/>
    <w:unhideWhenUsed/>
    <w:rsid w:val="00B965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6567"/>
  </w:style>
  <w:style w:type="paragraph" w:styleId="Footer">
    <w:name w:val="footer"/>
    <w:basedOn w:val="Normal"/>
    <w:link w:val="FooterChar"/>
    <w:uiPriority w:val="99"/>
    <w:unhideWhenUsed/>
    <w:rsid w:val="00B965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65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29949">
      <w:bodyDiv w:val="1"/>
      <w:marLeft w:val="0"/>
      <w:marRight w:val="0"/>
      <w:marTop w:val="0"/>
      <w:marBottom w:val="0"/>
      <w:divBdr>
        <w:top w:val="none" w:sz="0" w:space="0" w:color="auto"/>
        <w:left w:val="none" w:sz="0" w:space="0" w:color="auto"/>
        <w:bottom w:val="none" w:sz="0" w:space="0" w:color="auto"/>
        <w:right w:val="none" w:sz="0" w:space="0" w:color="auto"/>
      </w:divBdr>
      <w:divsChild>
        <w:div w:id="185365971">
          <w:marLeft w:val="0"/>
          <w:marRight w:val="0"/>
          <w:marTop w:val="0"/>
          <w:marBottom w:val="0"/>
          <w:divBdr>
            <w:top w:val="none" w:sz="0" w:space="0" w:color="auto"/>
            <w:left w:val="none" w:sz="0" w:space="0" w:color="auto"/>
            <w:bottom w:val="none" w:sz="0" w:space="0" w:color="auto"/>
            <w:right w:val="none" w:sz="0" w:space="0" w:color="auto"/>
          </w:divBdr>
          <w:divsChild>
            <w:div w:id="1819762948">
              <w:marLeft w:val="0"/>
              <w:marRight w:val="0"/>
              <w:marTop w:val="0"/>
              <w:marBottom w:val="0"/>
              <w:divBdr>
                <w:top w:val="none" w:sz="0" w:space="0" w:color="auto"/>
                <w:left w:val="none" w:sz="0" w:space="0" w:color="auto"/>
                <w:bottom w:val="none" w:sz="0" w:space="0" w:color="auto"/>
                <w:right w:val="none" w:sz="0" w:space="0" w:color="auto"/>
              </w:divBdr>
            </w:div>
          </w:divsChild>
        </w:div>
        <w:div w:id="2093621017">
          <w:marLeft w:val="0"/>
          <w:marRight w:val="0"/>
          <w:marTop w:val="0"/>
          <w:marBottom w:val="0"/>
          <w:divBdr>
            <w:top w:val="none" w:sz="0" w:space="0" w:color="auto"/>
            <w:left w:val="none" w:sz="0" w:space="0" w:color="auto"/>
            <w:bottom w:val="none" w:sz="0" w:space="0" w:color="auto"/>
            <w:right w:val="none" w:sz="0" w:space="0" w:color="auto"/>
          </w:divBdr>
          <w:divsChild>
            <w:div w:id="1394085645">
              <w:marLeft w:val="0"/>
              <w:marRight w:val="0"/>
              <w:marTop w:val="0"/>
              <w:marBottom w:val="0"/>
              <w:divBdr>
                <w:top w:val="none" w:sz="0" w:space="0" w:color="auto"/>
                <w:left w:val="none" w:sz="0" w:space="0" w:color="auto"/>
                <w:bottom w:val="none" w:sz="0" w:space="0" w:color="auto"/>
                <w:right w:val="none" w:sz="0" w:space="0" w:color="auto"/>
              </w:divBdr>
            </w:div>
          </w:divsChild>
        </w:div>
        <w:div w:id="584651575">
          <w:marLeft w:val="0"/>
          <w:marRight w:val="0"/>
          <w:marTop w:val="0"/>
          <w:marBottom w:val="0"/>
          <w:divBdr>
            <w:top w:val="none" w:sz="0" w:space="0" w:color="auto"/>
            <w:left w:val="none" w:sz="0" w:space="0" w:color="auto"/>
            <w:bottom w:val="none" w:sz="0" w:space="0" w:color="auto"/>
            <w:right w:val="none" w:sz="0" w:space="0" w:color="auto"/>
          </w:divBdr>
          <w:divsChild>
            <w:div w:id="310913578">
              <w:marLeft w:val="0"/>
              <w:marRight w:val="0"/>
              <w:marTop w:val="0"/>
              <w:marBottom w:val="0"/>
              <w:divBdr>
                <w:top w:val="none" w:sz="0" w:space="0" w:color="auto"/>
                <w:left w:val="none" w:sz="0" w:space="0" w:color="auto"/>
                <w:bottom w:val="none" w:sz="0" w:space="0" w:color="auto"/>
                <w:right w:val="none" w:sz="0" w:space="0" w:color="auto"/>
              </w:divBdr>
            </w:div>
          </w:divsChild>
        </w:div>
        <w:div w:id="654259717">
          <w:marLeft w:val="0"/>
          <w:marRight w:val="0"/>
          <w:marTop w:val="0"/>
          <w:marBottom w:val="0"/>
          <w:divBdr>
            <w:top w:val="none" w:sz="0" w:space="0" w:color="auto"/>
            <w:left w:val="none" w:sz="0" w:space="0" w:color="auto"/>
            <w:bottom w:val="none" w:sz="0" w:space="0" w:color="auto"/>
            <w:right w:val="none" w:sz="0" w:space="0" w:color="auto"/>
          </w:divBdr>
          <w:divsChild>
            <w:div w:id="858395437">
              <w:marLeft w:val="0"/>
              <w:marRight w:val="0"/>
              <w:marTop w:val="0"/>
              <w:marBottom w:val="0"/>
              <w:divBdr>
                <w:top w:val="none" w:sz="0" w:space="0" w:color="auto"/>
                <w:left w:val="none" w:sz="0" w:space="0" w:color="auto"/>
                <w:bottom w:val="none" w:sz="0" w:space="0" w:color="auto"/>
                <w:right w:val="none" w:sz="0" w:space="0" w:color="auto"/>
              </w:divBdr>
            </w:div>
          </w:divsChild>
        </w:div>
        <w:div w:id="2048674024">
          <w:marLeft w:val="0"/>
          <w:marRight w:val="0"/>
          <w:marTop w:val="0"/>
          <w:marBottom w:val="0"/>
          <w:divBdr>
            <w:top w:val="none" w:sz="0" w:space="0" w:color="auto"/>
            <w:left w:val="none" w:sz="0" w:space="0" w:color="auto"/>
            <w:bottom w:val="none" w:sz="0" w:space="0" w:color="auto"/>
            <w:right w:val="none" w:sz="0" w:space="0" w:color="auto"/>
          </w:divBdr>
          <w:divsChild>
            <w:div w:id="1709645012">
              <w:marLeft w:val="0"/>
              <w:marRight w:val="0"/>
              <w:marTop w:val="0"/>
              <w:marBottom w:val="0"/>
              <w:divBdr>
                <w:top w:val="none" w:sz="0" w:space="0" w:color="auto"/>
                <w:left w:val="none" w:sz="0" w:space="0" w:color="auto"/>
                <w:bottom w:val="none" w:sz="0" w:space="0" w:color="auto"/>
                <w:right w:val="none" w:sz="0" w:space="0" w:color="auto"/>
              </w:divBdr>
            </w:div>
          </w:divsChild>
        </w:div>
        <w:div w:id="1110705161">
          <w:marLeft w:val="0"/>
          <w:marRight w:val="0"/>
          <w:marTop w:val="0"/>
          <w:marBottom w:val="0"/>
          <w:divBdr>
            <w:top w:val="none" w:sz="0" w:space="0" w:color="auto"/>
            <w:left w:val="none" w:sz="0" w:space="0" w:color="auto"/>
            <w:bottom w:val="none" w:sz="0" w:space="0" w:color="auto"/>
            <w:right w:val="none" w:sz="0" w:space="0" w:color="auto"/>
          </w:divBdr>
          <w:divsChild>
            <w:div w:id="37265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061056">
      <w:bodyDiv w:val="1"/>
      <w:marLeft w:val="0"/>
      <w:marRight w:val="0"/>
      <w:marTop w:val="0"/>
      <w:marBottom w:val="0"/>
      <w:divBdr>
        <w:top w:val="none" w:sz="0" w:space="0" w:color="auto"/>
        <w:left w:val="none" w:sz="0" w:space="0" w:color="auto"/>
        <w:bottom w:val="none" w:sz="0" w:space="0" w:color="auto"/>
        <w:right w:val="none" w:sz="0" w:space="0" w:color="auto"/>
      </w:divBdr>
    </w:div>
    <w:div w:id="90931014">
      <w:bodyDiv w:val="1"/>
      <w:marLeft w:val="0"/>
      <w:marRight w:val="0"/>
      <w:marTop w:val="0"/>
      <w:marBottom w:val="0"/>
      <w:divBdr>
        <w:top w:val="none" w:sz="0" w:space="0" w:color="auto"/>
        <w:left w:val="none" w:sz="0" w:space="0" w:color="auto"/>
        <w:bottom w:val="none" w:sz="0" w:space="0" w:color="auto"/>
        <w:right w:val="none" w:sz="0" w:space="0" w:color="auto"/>
      </w:divBdr>
    </w:div>
    <w:div w:id="102193887">
      <w:bodyDiv w:val="1"/>
      <w:marLeft w:val="0"/>
      <w:marRight w:val="0"/>
      <w:marTop w:val="0"/>
      <w:marBottom w:val="0"/>
      <w:divBdr>
        <w:top w:val="none" w:sz="0" w:space="0" w:color="auto"/>
        <w:left w:val="none" w:sz="0" w:space="0" w:color="auto"/>
        <w:bottom w:val="none" w:sz="0" w:space="0" w:color="auto"/>
        <w:right w:val="none" w:sz="0" w:space="0" w:color="auto"/>
      </w:divBdr>
    </w:div>
    <w:div w:id="104540369">
      <w:bodyDiv w:val="1"/>
      <w:marLeft w:val="0"/>
      <w:marRight w:val="0"/>
      <w:marTop w:val="0"/>
      <w:marBottom w:val="0"/>
      <w:divBdr>
        <w:top w:val="none" w:sz="0" w:space="0" w:color="auto"/>
        <w:left w:val="none" w:sz="0" w:space="0" w:color="auto"/>
        <w:bottom w:val="none" w:sz="0" w:space="0" w:color="auto"/>
        <w:right w:val="none" w:sz="0" w:space="0" w:color="auto"/>
      </w:divBdr>
    </w:div>
    <w:div w:id="163472221">
      <w:bodyDiv w:val="1"/>
      <w:marLeft w:val="0"/>
      <w:marRight w:val="0"/>
      <w:marTop w:val="0"/>
      <w:marBottom w:val="0"/>
      <w:divBdr>
        <w:top w:val="none" w:sz="0" w:space="0" w:color="auto"/>
        <w:left w:val="none" w:sz="0" w:space="0" w:color="auto"/>
        <w:bottom w:val="none" w:sz="0" w:space="0" w:color="auto"/>
        <w:right w:val="none" w:sz="0" w:space="0" w:color="auto"/>
      </w:divBdr>
    </w:div>
    <w:div w:id="239604149">
      <w:bodyDiv w:val="1"/>
      <w:marLeft w:val="0"/>
      <w:marRight w:val="0"/>
      <w:marTop w:val="0"/>
      <w:marBottom w:val="0"/>
      <w:divBdr>
        <w:top w:val="none" w:sz="0" w:space="0" w:color="auto"/>
        <w:left w:val="none" w:sz="0" w:space="0" w:color="auto"/>
        <w:bottom w:val="none" w:sz="0" w:space="0" w:color="auto"/>
        <w:right w:val="none" w:sz="0" w:space="0" w:color="auto"/>
      </w:divBdr>
    </w:div>
    <w:div w:id="240025104">
      <w:bodyDiv w:val="1"/>
      <w:marLeft w:val="0"/>
      <w:marRight w:val="0"/>
      <w:marTop w:val="0"/>
      <w:marBottom w:val="0"/>
      <w:divBdr>
        <w:top w:val="none" w:sz="0" w:space="0" w:color="auto"/>
        <w:left w:val="none" w:sz="0" w:space="0" w:color="auto"/>
        <w:bottom w:val="none" w:sz="0" w:space="0" w:color="auto"/>
        <w:right w:val="none" w:sz="0" w:space="0" w:color="auto"/>
      </w:divBdr>
    </w:div>
    <w:div w:id="301616522">
      <w:bodyDiv w:val="1"/>
      <w:marLeft w:val="0"/>
      <w:marRight w:val="0"/>
      <w:marTop w:val="0"/>
      <w:marBottom w:val="0"/>
      <w:divBdr>
        <w:top w:val="none" w:sz="0" w:space="0" w:color="auto"/>
        <w:left w:val="none" w:sz="0" w:space="0" w:color="auto"/>
        <w:bottom w:val="none" w:sz="0" w:space="0" w:color="auto"/>
        <w:right w:val="none" w:sz="0" w:space="0" w:color="auto"/>
      </w:divBdr>
    </w:div>
    <w:div w:id="301694430">
      <w:bodyDiv w:val="1"/>
      <w:marLeft w:val="0"/>
      <w:marRight w:val="0"/>
      <w:marTop w:val="0"/>
      <w:marBottom w:val="0"/>
      <w:divBdr>
        <w:top w:val="none" w:sz="0" w:space="0" w:color="auto"/>
        <w:left w:val="none" w:sz="0" w:space="0" w:color="auto"/>
        <w:bottom w:val="none" w:sz="0" w:space="0" w:color="auto"/>
        <w:right w:val="none" w:sz="0" w:space="0" w:color="auto"/>
      </w:divBdr>
    </w:div>
    <w:div w:id="383529153">
      <w:bodyDiv w:val="1"/>
      <w:marLeft w:val="0"/>
      <w:marRight w:val="0"/>
      <w:marTop w:val="0"/>
      <w:marBottom w:val="0"/>
      <w:divBdr>
        <w:top w:val="none" w:sz="0" w:space="0" w:color="auto"/>
        <w:left w:val="none" w:sz="0" w:space="0" w:color="auto"/>
        <w:bottom w:val="none" w:sz="0" w:space="0" w:color="auto"/>
        <w:right w:val="none" w:sz="0" w:space="0" w:color="auto"/>
      </w:divBdr>
    </w:div>
    <w:div w:id="389882349">
      <w:bodyDiv w:val="1"/>
      <w:marLeft w:val="0"/>
      <w:marRight w:val="0"/>
      <w:marTop w:val="0"/>
      <w:marBottom w:val="0"/>
      <w:divBdr>
        <w:top w:val="none" w:sz="0" w:space="0" w:color="auto"/>
        <w:left w:val="none" w:sz="0" w:space="0" w:color="auto"/>
        <w:bottom w:val="none" w:sz="0" w:space="0" w:color="auto"/>
        <w:right w:val="none" w:sz="0" w:space="0" w:color="auto"/>
      </w:divBdr>
      <w:divsChild>
        <w:div w:id="1497839986">
          <w:marLeft w:val="0"/>
          <w:marRight w:val="0"/>
          <w:marTop w:val="0"/>
          <w:marBottom w:val="0"/>
          <w:divBdr>
            <w:top w:val="none" w:sz="0" w:space="0" w:color="auto"/>
            <w:left w:val="none" w:sz="0" w:space="0" w:color="auto"/>
            <w:bottom w:val="none" w:sz="0" w:space="0" w:color="auto"/>
            <w:right w:val="none" w:sz="0" w:space="0" w:color="auto"/>
          </w:divBdr>
          <w:divsChild>
            <w:div w:id="1456673332">
              <w:marLeft w:val="0"/>
              <w:marRight w:val="0"/>
              <w:marTop w:val="0"/>
              <w:marBottom w:val="0"/>
              <w:divBdr>
                <w:top w:val="none" w:sz="0" w:space="0" w:color="auto"/>
                <w:left w:val="none" w:sz="0" w:space="0" w:color="auto"/>
                <w:bottom w:val="none" w:sz="0" w:space="0" w:color="auto"/>
                <w:right w:val="none" w:sz="0" w:space="0" w:color="auto"/>
              </w:divBdr>
            </w:div>
          </w:divsChild>
        </w:div>
        <w:div w:id="485315978">
          <w:marLeft w:val="0"/>
          <w:marRight w:val="0"/>
          <w:marTop w:val="0"/>
          <w:marBottom w:val="0"/>
          <w:divBdr>
            <w:top w:val="none" w:sz="0" w:space="0" w:color="auto"/>
            <w:left w:val="none" w:sz="0" w:space="0" w:color="auto"/>
            <w:bottom w:val="none" w:sz="0" w:space="0" w:color="auto"/>
            <w:right w:val="none" w:sz="0" w:space="0" w:color="auto"/>
          </w:divBdr>
          <w:divsChild>
            <w:div w:id="187664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659807">
      <w:bodyDiv w:val="1"/>
      <w:marLeft w:val="0"/>
      <w:marRight w:val="0"/>
      <w:marTop w:val="0"/>
      <w:marBottom w:val="0"/>
      <w:divBdr>
        <w:top w:val="none" w:sz="0" w:space="0" w:color="auto"/>
        <w:left w:val="none" w:sz="0" w:space="0" w:color="auto"/>
        <w:bottom w:val="none" w:sz="0" w:space="0" w:color="auto"/>
        <w:right w:val="none" w:sz="0" w:space="0" w:color="auto"/>
      </w:divBdr>
      <w:divsChild>
        <w:div w:id="1757550258">
          <w:marLeft w:val="0"/>
          <w:marRight w:val="0"/>
          <w:marTop w:val="0"/>
          <w:marBottom w:val="0"/>
          <w:divBdr>
            <w:top w:val="none" w:sz="0" w:space="0" w:color="auto"/>
            <w:left w:val="none" w:sz="0" w:space="0" w:color="auto"/>
            <w:bottom w:val="none" w:sz="0" w:space="0" w:color="auto"/>
            <w:right w:val="none" w:sz="0" w:space="0" w:color="auto"/>
          </w:divBdr>
          <w:divsChild>
            <w:div w:id="1251695955">
              <w:marLeft w:val="0"/>
              <w:marRight w:val="0"/>
              <w:marTop w:val="0"/>
              <w:marBottom w:val="0"/>
              <w:divBdr>
                <w:top w:val="none" w:sz="0" w:space="0" w:color="auto"/>
                <w:left w:val="none" w:sz="0" w:space="0" w:color="auto"/>
                <w:bottom w:val="none" w:sz="0" w:space="0" w:color="auto"/>
                <w:right w:val="none" w:sz="0" w:space="0" w:color="auto"/>
              </w:divBdr>
            </w:div>
          </w:divsChild>
        </w:div>
        <w:div w:id="1591621486">
          <w:marLeft w:val="0"/>
          <w:marRight w:val="0"/>
          <w:marTop w:val="0"/>
          <w:marBottom w:val="0"/>
          <w:divBdr>
            <w:top w:val="none" w:sz="0" w:space="0" w:color="auto"/>
            <w:left w:val="none" w:sz="0" w:space="0" w:color="auto"/>
            <w:bottom w:val="none" w:sz="0" w:space="0" w:color="auto"/>
            <w:right w:val="none" w:sz="0" w:space="0" w:color="auto"/>
          </w:divBdr>
          <w:divsChild>
            <w:div w:id="64404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2185379">
      <w:bodyDiv w:val="1"/>
      <w:marLeft w:val="0"/>
      <w:marRight w:val="0"/>
      <w:marTop w:val="0"/>
      <w:marBottom w:val="0"/>
      <w:divBdr>
        <w:top w:val="none" w:sz="0" w:space="0" w:color="auto"/>
        <w:left w:val="none" w:sz="0" w:space="0" w:color="auto"/>
        <w:bottom w:val="none" w:sz="0" w:space="0" w:color="auto"/>
        <w:right w:val="none" w:sz="0" w:space="0" w:color="auto"/>
      </w:divBdr>
    </w:div>
    <w:div w:id="517550945">
      <w:bodyDiv w:val="1"/>
      <w:marLeft w:val="0"/>
      <w:marRight w:val="0"/>
      <w:marTop w:val="0"/>
      <w:marBottom w:val="0"/>
      <w:divBdr>
        <w:top w:val="none" w:sz="0" w:space="0" w:color="auto"/>
        <w:left w:val="none" w:sz="0" w:space="0" w:color="auto"/>
        <w:bottom w:val="none" w:sz="0" w:space="0" w:color="auto"/>
        <w:right w:val="none" w:sz="0" w:space="0" w:color="auto"/>
      </w:divBdr>
    </w:div>
    <w:div w:id="518737357">
      <w:bodyDiv w:val="1"/>
      <w:marLeft w:val="0"/>
      <w:marRight w:val="0"/>
      <w:marTop w:val="0"/>
      <w:marBottom w:val="0"/>
      <w:divBdr>
        <w:top w:val="none" w:sz="0" w:space="0" w:color="auto"/>
        <w:left w:val="none" w:sz="0" w:space="0" w:color="auto"/>
        <w:bottom w:val="none" w:sz="0" w:space="0" w:color="auto"/>
        <w:right w:val="none" w:sz="0" w:space="0" w:color="auto"/>
      </w:divBdr>
    </w:div>
    <w:div w:id="586772700">
      <w:bodyDiv w:val="1"/>
      <w:marLeft w:val="0"/>
      <w:marRight w:val="0"/>
      <w:marTop w:val="0"/>
      <w:marBottom w:val="0"/>
      <w:divBdr>
        <w:top w:val="none" w:sz="0" w:space="0" w:color="auto"/>
        <w:left w:val="none" w:sz="0" w:space="0" w:color="auto"/>
        <w:bottom w:val="none" w:sz="0" w:space="0" w:color="auto"/>
        <w:right w:val="none" w:sz="0" w:space="0" w:color="auto"/>
      </w:divBdr>
    </w:div>
    <w:div w:id="604074616">
      <w:bodyDiv w:val="1"/>
      <w:marLeft w:val="0"/>
      <w:marRight w:val="0"/>
      <w:marTop w:val="0"/>
      <w:marBottom w:val="0"/>
      <w:divBdr>
        <w:top w:val="none" w:sz="0" w:space="0" w:color="auto"/>
        <w:left w:val="none" w:sz="0" w:space="0" w:color="auto"/>
        <w:bottom w:val="none" w:sz="0" w:space="0" w:color="auto"/>
        <w:right w:val="none" w:sz="0" w:space="0" w:color="auto"/>
      </w:divBdr>
      <w:divsChild>
        <w:div w:id="884175300">
          <w:marLeft w:val="0"/>
          <w:marRight w:val="0"/>
          <w:marTop w:val="0"/>
          <w:marBottom w:val="0"/>
          <w:divBdr>
            <w:top w:val="none" w:sz="0" w:space="0" w:color="auto"/>
            <w:left w:val="none" w:sz="0" w:space="0" w:color="auto"/>
            <w:bottom w:val="none" w:sz="0" w:space="0" w:color="auto"/>
            <w:right w:val="none" w:sz="0" w:space="0" w:color="auto"/>
          </w:divBdr>
          <w:divsChild>
            <w:div w:id="384837496">
              <w:marLeft w:val="0"/>
              <w:marRight w:val="0"/>
              <w:marTop w:val="0"/>
              <w:marBottom w:val="0"/>
              <w:divBdr>
                <w:top w:val="none" w:sz="0" w:space="0" w:color="auto"/>
                <w:left w:val="none" w:sz="0" w:space="0" w:color="auto"/>
                <w:bottom w:val="none" w:sz="0" w:space="0" w:color="auto"/>
                <w:right w:val="none" w:sz="0" w:space="0" w:color="auto"/>
              </w:divBdr>
              <w:divsChild>
                <w:div w:id="2068338237">
                  <w:marLeft w:val="0"/>
                  <w:marRight w:val="0"/>
                  <w:marTop w:val="0"/>
                  <w:marBottom w:val="0"/>
                  <w:divBdr>
                    <w:top w:val="none" w:sz="0" w:space="0" w:color="auto"/>
                    <w:left w:val="none" w:sz="0" w:space="0" w:color="auto"/>
                    <w:bottom w:val="none" w:sz="0" w:space="0" w:color="auto"/>
                    <w:right w:val="none" w:sz="0" w:space="0" w:color="auto"/>
                  </w:divBdr>
                  <w:divsChild>
                    <w:div w:id="1438213954">
                      <w:marLeft w:val="0"/>
                      <w:marRight w:val="0"/>
                      <w:marTop w:val="0"/>
                      <w:marBottom w:val="0"/>
                      <w:divBdr>
                        <w:top w:val="none" w:sz="0" w:space="0" w:color="auto"/>
                        <w:left w:val="none" w:sz="0" w:space="0" w:color="auto"/>
                        <w:bottom w:val="none" w:sz="0" w:space="0" w:color="auto"/>
                        <w:right w:val="none" w:sz="0" w:space="0" w:color="auto"/>
                      </w:divBdr>
                      <w:divsChild>
                        <w:div w:id="811749547">
                          <w:marLeft w:val="0"/>
                          <w:marRight w:val="0"/>
                          <w:marTop w:val="0"/>
                          <w:marBottom w:val="0"/>
                          <w:divBdr>
                            <w:top w:val="none" w:sz="0" w:space="0" w:color="auto"/>
                            <w:left w:val="none" w:sz="0" w:space="0" w:color="auto"/>
                            <w:bottom w:val="none" w:sz="0" w:space="0" w:color="auto"/>
                            <w:right w:val="none" w:sz="0" w:space="0" w:color="auto"/>
                          </w:divBdr>
                          <w:divsChild>
                            <w:div w:id="561597640">
                              <w:marLeft w:val="0"/>
                              <w:marRight w:val="0"/>
                              <w:marTop w:val="0"/>
                              <w:marBottom w:val="0"/>
                              <w:divBdr>
                                <w:top w:val="none" w:sz="0" w:space="0" w:color="auto"/>
                                <w:left w:val="none" w:sz="0" w:space="0" w:color="auto"/>
                                <w:bottom w:val="none" w:sz="0" w:space="0" w:color="auto"/>
                                <w:right w:val="none" w:sz="0" w:space="0" w:color="auto"/>
                              </w:divBdr>
                              <w:divsChild>
                                <w:div w:id="293219258">
                                  <w:marLeft w:val="0"/>
                                  <w:marRight w:val="0"/>
                                  <w:marTop w:val="0"/>
                                  <w:marBottom w:val="0"/>
                                  <w:divBdr>
                                    <w:top w:val="none" w:sz="0" w:space="0" w:color="auto"/>
                                    <w:left w:val="none" w:sz="0" w:space="0" w:color="auto"/>
                                    <w:bottom w:val="none" w:sz="0" w:space="0" w:color="auto"/>
                                    <w:right w:val="none" w:sz="0" w:space="0" w:color="auto"/>
                                  </w:divBdr>
                                  <w:divsChild>
                                    <w:div w:id="549341259">
                                      <w:marLeft w:val="0"/>
                                      <w:marRight w:val="0"/>
                                      <w:marTop w:val="0"/>
                                      <w:marBottom w:val="0"/>
                                      <w:divBdr>
                                        <w:top w:val="none" w:sz="0" w:space="0" w:color="auto"/>
                                        <w:left w:val="none" w:sz="0" w:space="0" w:color="auto"/>
                                        <w:bottom w:val="none" w:sz="0" w:space="0" w:color="auto"/>
                                        <w:right w:val="none" w:sz="0" w:space="0" w:color="auto"/>
                                      </w:divBdr>
                                      <w:divsChild>
                                        <w:div w:id="2094621253">
                                          <w:marLeft w:val="0"/>
                                          <w:marRight w:val="0"/>
                                          <w:marTop w:val="0"/>
                                          <w:marBottom w:val="0"/>
                                          <w:divBdr>
                                            <w:top w:val="none" w:sz="0" w:space="0" w:color="auto"/>
                                            <w:left w:val="none" w:sz="0" w:space="0" w:color="auto"/>
                                            <w:bottom w:val="none" w:sz="0" w:space="0" w:color="auto"/>
                                            <w:right w:val="none" w:sz="0" w:space="0" w:color="auto"/>
                                          </w:divBdr>
                                          <w:divsChild>
                                            <w:div w:id="26642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5587117">
          <w:marLeft w:val="0"/>
          <w:marRight w:val="0"/>
          <w:marTop w:val="0"/>
          <w:marBottom w:val="0"/>
          <w:divBdr>
            <w:top w:val="none" w:sz="0" w:space="0" w:color="auto"/>
            <w:left w:val="none" w:sz="0" w:space="0" w:color="auto"/>
            <w:bottom w:val="none" w:sz="0" w:space="0" w:color="auto"/>
            <w:right w:val="none" w:sz="0" w:space="0" w:color="auto"/>
          </w:divBdr>
          <w:divsChild>
            <w:div w:id="1616325094">
              <w:marLeft w:val="0"/>
              <w:marRight w:val="0"/>
              <w:marTop w:val="0"/>
              <w:marBottom w:val="0"/>
              <w:divBdr>
                <w:top w:val="none" w:sz="0" w:space="0" w:color="auto"/>
                <w:left w:val="none" w:sz="0" w:space="0" w:color="auto"/>
                <w:bottom w:val="none" w:sz="0" w:space="0" w:color="auto"/>
                <w:right w:val="none" w:sz="0" w:space="0" w:color="auto"/>
              </w:divBdr>
              <w:divsChild>
                <w:div w:id="160051292">
                  <w:marLeft w:val="0"/>
                  <w:marRight w:val="0"/>
                  <w:marTop w:val="0"/>
                  <w:marBottom w:val="0"/>
                  <w:divBdr>
                    <w:top w:val="none" w:sz="0" w:space="0" w:color="auto"/>
                    <w:left w:val="none" w:sz="0" w:space="0" w:color="auto"/>
                    <w:bottom w:val="none" w:sz="0" w:space="0" w:color="auto"/>
                    <w:right w:val="none" w:sz="0" w:space="0" w:color="auto"/>
                  </w:divBdr>
                  <w:divsChild>
                    <w:div w:id="903688359">
                      <w:marLeft w:val="0"/>
                      <w:marRight w:val="0"/>
                      <w:marTop w:val="0"/>
                      <w:marBottom w:val="0"/>
                      <w:divBdr>
                        <w:top w:val="none" w:sz="0" w:space="0" w:color="auto"/>
                        <w:left w:val="none" w:sz="0" w:space="0" w:color="auto"/>
                        <w:bottom w:val="none" w:sz="0" w:space="0" w:color="auto"/>
                        <w:right w:val="none" w:sz="0" w:space="0" w:color="auto"/>
                      </w:divBdr>
                      <w:divsChild>
                        <w:div w:id="1639649873">
                          <w:marLeft w:val="0"/>
                          <w:marRight w:val="0"/>
                          <w:marTop w:val="0"/>
                          <w:marBottom w:val="0"/>
                          <w:divBdr>
                            <w:top w:val="none" w:sz="0" w:space="0" w:color="auto"/>
                            <w:left w:val="none" w:sz="0" w:space="0" w:color="auto"/>
                            <w:bottom w:val="none" w:sz="0" w:space="0" w:color="auto"/>
                            <w:right w:val="none" w:sz="0" w:space="0" w:color="auto"/>
                          </w:divBdr>
                          <w:divsChild>
                            <w:div w:id="673530957">
                              <w:marLeft w:val="0"/>
                              <w:marRight w:val="0"/>
                              <w:marTop w:val="0"/>
                              <w:marBottom w:val="0"/>
                              <w:divBdr>
                                <w:top w:val="none" w:sz="0" w:space="0" w:color="auto"/>
                                <w:left w:val="none" w:sz="0" w:space="0" w:color="auto"/>
                                <w:bottom w:val="none" w:sz="0" w:space="0" w:color="auto"/>
                                <w:right w:val="none" w:sz="0" w:space="0" w:color="auto"/>
                              </w:divBdr>
                              <w:divsChild>
                                <w:div w:id="251088826">
                                  <w:marLeft w:val="0"/>
                                  <w:marRight w:val="0"/>
                                  <w:marTop w:val="0"/>
                                  <w:marBottom w:val="0"/>
                                  <w:divBdr>
                                    <w:top w:val="none" w:sz="0" w:space="0" w:color="auto"/>
                                    <w:left w:val="none" w:sz="0" w:space="0" w:color="auto"/>
                                    <w:bottom w:val="none" w:sz="0" w:space="0" w:color="auto"/>
                                    <w:right w:val="none" w:sz="0" w:space="0" w:color="auto"/>
                                  </w:divBdr>
                                  <w:divsChild>
                                    <w:div w:id="1080295721">
                                      <w:marLeft w:val="0"/>
                                      <w:marRight w:val="0"/>
                                      <w:marTop w:val="0"/>
                                      <w:marBottom w:val="0"/>
                                      <w:divBdr>
                                        <w:top w:val="none" w:sz="0" w:space="0" w:color="auto"/>
                                        <w:left w:val="none" w:sz="0" w:space="0" w:color="auto"/>
                                        <w:bottom w:val="none" w:sz="0" w:space="0" w:color="auto"/>
                                        <w:right w:val="none" w:sz="0" w:space="0" w:color="auto"/>
                                      </w:divBdr>
                                      <w:divsChild>
                                        <w:div w:id="1752779252">
                                          <w:marLeft w:val="0"/>
                                          <w:marRight w:val="0"/>
                                          <w:marTop w:val="0"/>
                                          <w:marBottom w:val="0"/>
                                          <w:divBdr>
                                            <w:top w:val="none" w:sz="0" w:space="0" w:color="auto"/>
                                            <w:left w:val="none" w:sz="0" w:space="0" w:color="auto"/>
                                            <w:bottom w:val="none" w:sz="0" w:space="0" w:color="auto"/>
                                            <w:right w:val="none" w:sz="0" w:space="0" w:color="auto"/>
                                          </w:divBdr>
                                          <w:divsChild>
                                            <w:div w:id="369916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71693">
                                      <w:marLeft w:val="0"/>
                                      <w:marRight w:val="0"/>
                                      <w:marTop w:val="0"/>
                                      <w:marBottom w:val="0"/>
                                      <w:divBdr>
                                        <w:top w:val="none" w:sz="0" w:space="0" w:color="auto"/>
                                        <w:left w:val="none" w:sz="0" w:space="0" w:color="auto"/>
                                        <w:bottom w:val="none" w:sz="0" w:space="0" w:color="auto"/>
                                        <w:right w:val="none" w:sz="0" w:space="0" w:color="auto"/>
                                      </w:divBdr>
                                      <w:divsChild>
                                        <w:div w:id="181208265">
                                          <w:marLeft w:val="0"/>
                                          <w:marRight w:val="0"/>
                                          <w:marTop w:val="0"/>
                                          <w:marBottom w:val="0"/>
                                          <w:divBdr>
                                            <w:top w:val="none" w:sz="0" w:space="0" w:color="auto"/>
                                            <w:left w:val="none" w:sz="0" w:space="0" w:color="auto"/>
                                            <w:bottom w:val="none" w:sz="0" w:space="0" w:color="auto"/>
                                            <w:right w:val="none" w:sz="0" w:space="0" w:color="auto"/>
                                          </w:divBdr>
                                          <w:divsChild>
                                            <w:div w:id="1775711763">
                                              <w:marLeft w:val="0"/>
                                              <w:marRight w:val="0"/>
                                              <w:marTop w:val="0"/>
                                              <w:marBottom w:val="0"/>
                                              <w:divBdr>
                                                <w:top w:val="none" w:sz="0" w:space="0" w:color="auto"/>
                                                <w:left w:val="none" w:sz="0" w:space="0" w:color="auto"/>
                                                <w:bottom w:val="none" w:sz="0" w:space="0" w:color="auto"/>
                                                <w:right w:val="none" w:sz="0" w:space="0" w:color="auto"/>
                                              </w:divBdr>
                                              <w:divsChild>
                                                <w:div w:id="408112563">
                                                  <w:marLeft w:val="0"/>
                                                  <w:marRight w:val="0"/>
                                                  <w:marTop w:val="0"/>
                                                  <w:marBottom w:val="0"/>
                                                  <w:divBdr>
                                                    <w:top w:val="none" w:sz="0" w:space="0" w:color="auto"/>
                                                    <w:left w:val="none" w:sz="0" w:space="0" w:color="auto"/>
                                                    <w:bottom w:val="none" w:sz="0" w:space="0" w:color="auto"/>
                                                    <w:right w:val="none" w:sz="0" w:space="0" w:color="auto"/>
                                                  </w:divBdr>
                                                  <w:divsChild>
                                                    <w:div w:id="21720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4157">
                                              <w:marLeft w:val="0"/>
                                              <w:marRight w:val="0"/>
                                              <w:marTop w:val="0"/>
                                              <w:marBottom w:val="0"/>
                                              <w:divBdr>
                                                <w:top w:val="none" w:sz="0" w:space="0" w:color="auto"/>
                                                <w:left w:val="none" w:sz="0" w:space="0" w:color="auto"/>
                                                <w:bottom w:val="none" w:sz="0" w:space="0" w:color="auto"/>
                                                <w:right w:val="none" w:sz="0" w:space="0" w:color="auto"/>
                                              </w:divBdr>
                                              <w:divsChild>
                                                <w:div w:id="78719933">
                                                  <w:marLeft w:val="0"/>
                                                  <w:marRight w:val="0"/>
                                                  <w:marTop w:val="0"/>
                                                  <w:marBottom w:val="0"/>
                                                  <w:divBdr>
                                                    <w:top w:val="none" w:sz="0" w:space="0" w:color="auto"/>
                                                    <w:left w:val="none" w:sz="0" w:space="0" w:color="auto"/>
                                                    <w:bottom w:val="none" w:sz="0" w:space="0" w:color="auto"/>
                                                    <w:right w:val="none" w:sz="0" w:space="0" w:color="auto"/>
                                                  </w:divBdr>
                                                  <w:divsChild>
                                                    <w:div w:id="2071221851">
                                                      <w:marLeft w:val="0"/>
                                                      <w:marRight w:val="0"/>
                                                      <w:marTop w:val="0"/>
                                                      <w:marBottom w:val="0"/>
                                                      <w:divBdr>
                                                        <w:top w:val="none" w:sz="0" w:space="0" w:color="auto"/>
                                                        <w:left w:val="none" w:sz="0" w:space="0" w:color="auto"/>
                                                        <w:bottom w:val="none" w:sz="0" w:space="0" w:color="auto"/>
                                                        <w:right w:val="none" w:sz="0" w:space="0" w:color="auto"/>
                                                      </w:divBdr>
                                                      <w:divsChild>
                                                        <w:div w:id="10644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9374030">
                                              <w:marLeft w:val="0"/>
                                              <w:marRight w:val="0"/>
                                              <w:marTop w:val="0"/>
                                              <w:marBottom w:val="0"/>
                                              <w:divBdr>
                                                <w:top w:val="none" w:sz="0" w:space="0" w:color="auto"/>
                                                <w:left w:val="none" w:sz="0" w:space="0" w:color="auto"/>
                                                <w:bottom w:val="none" w:sz="0" w:space="0" w:color="auto"/>
                                                <w:right w:val="none" w:sz="0" w:space="0" w:color="auto"/>
                                              </w:divBdr>
                                              <w:divsChild>
                                                <w:div w:id="90086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062120">
                                      <w:marLeft w:val="0"/>
                                      <w:marRight w:val="0"/>
                                      <w:marTop w:val="0"/>
                                      <w:marBottom w:val="0"/>
                                      <w:divBdr>
                                        <w:top w:val="none" w:sz="0" w:space="0" w:color="auto"/>
                                        <w:left w:val="none" w:sz="0" w:space="0" w:color="auto"/>
                                        <w:bottom w:val="none" w:sz="0" w:space="0" w:color="auto"/>
                                        <w:right w:val="none" w:sz="0" w:space="0" w:color="auto"/>
                                      </w:divBdr>
                                      <w:divsChild>
                                        <w:div w:id="1370304088">
                                          <w:marLeft w:val="0"/>
                                          <w:marRight w:val="0"/>
                                          <w:marTop w:val="0"/>
                                          <w:marBottom w:val="0"/>
                                          <w:divBdr>
                                            <w:top w:val="none" w:sz="0" w:space="0" w:color="auto"/>
                                            <w:left w:val="none" w:sz="0" w:space="0" w:color="auto"/>
                                            <w:bottom w:val="none" w:sz="0" w:space="0" w:color="auto"/>
                                            <w:right w:val="none" w:sz="0" w:space="0" w:color="auto"/>
                                          </w:divBdr>
                                          <w:divsChild>
                                            <w:div w:id="2070301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4956034">
              <w:marLeft w:val="0"/>
              <w:marRight w:val="0"/>
              <w:marTop w:val="0"/>
              <w:marBottom w:val="0"/>
              <w:divBdr>
                <w:top w:val="none" w:sz="0" w:space="0" w:color="auto"/>
                <w:left w:val="none" w:sz="0" w:space="0" w:color="auto"/>
                <w:bottom w:val="none" w:sz="0" w:space="0" w:color="auto"/>
                <w:right w:val="none" w:sz="0" w:space="0" w:color="auto"/>
              </w:divBdr>
              <w:divsChild>
                <w:div w:id="207966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9429505">
      <w:bodyDiv w:val="1"/>
      <w:marLeft w:val="0"/>
      <w:marRight w:val="0"/>
      <w:marTop w:val="0"/>
      <w:marBottom w:val="0"/>
      <w:divBdr>
        <w:top w:val="none" w:sz="0" w:space="0" w:color="auto"/>
        <w:left w:val="none" w:sz="0" w:space="0" w:color="auto"/>
        <w:bottom w:val="none" w:sz="0" w:space="0" w:color="auto"/>
        <w:right w:val="none" w:sz="0" w:space="0" w:color="auto"/>
      </w:divBdr>
    </w:div>
    <w:div w:id="682128986">
      <w:bodyDiv w:val="1"/>
      <w:marLeft w:val="0"/>
      <w:marRight w:val="0"/>
      <w:marTop w:val="0"/>
      <w:marBottom w:val="0"/>
      <w:divBdr>
        <w:top w:val="none" w:sz="0" w:space="0" w:color="auto"/>
        <w:left w:val="none" w:sz="0" w:space="0" w:color="auto"/>
        <w:bottom w:val="none" w:sz="0" w:space="0" w:color="auto"/>
        <w:right w:val="none" w:sz="0" w:space="0" w:color="auto"/>
      </w:divBdr>
    </w:div>
    <w:div w:id="702746920">
      <w:bodyDiv w:val="1"/>
      <w:marLeft w:val="0"/>
      <w:marRight w:val="0"/>
      <w:marTop w:val="0"/>
      <w:marBottom w:val="0"/>
      <w:divBdr>
        <w:top w:val="none" w:sz="0" w:space="0" w:color="auto"/>
        <w:left w:val="none" w:sz="0" w:space="0" w:color="auto"/>
        <w:bottom w:val="none" w:sz="0" w:space="0" w:color="auto"/>
        <w:right w:val="none" w:sz="0" w:space="0" w:color="auto"/>
      </w:divBdr>
    </w:div>
    <w:div w:id="782185744">
      <w:bodyDiv w:val="1"/>
      <w:marLeft w:val="0"/>
      <w:marRight w:val="0"/>
      <w:marTop w:val="0"/>
      <w:marBottom w:val="0"/>
      <w:divBdr>
        <w:top w:val="none" w:sz="0" w:space="0" w:color="auto"/>
        <w:left w:val="none" w:sz="0" w:space="0" w:color="auto"/>
        <w:bottom w:val="none" w:sz="0" w:space="0" w:color="auto"/>
        <w:right w:val="none" w:sz="0" w:space="0" w:color="auto"/>
      </w:divBdr>
      <w:divsChild>
        <w:div w:id="77866826">
          <w:marLeft w:val="0"/>
          <w:marRight w:val="0"/>
          <w:marTop w:val="0"/>
          <w:marBottom w:val="0"/>
          <w:divBdr>
            <w:top w:val="none" w:sz="0" w:space="0" w:color="auto"/>
            <w:left w:val="none" w:sz="0" w:space="0" w:color="auto"/>
            <w:bottom w:val="none" w:sz="0" w:space="0" w:color="auto"/>
            <w:right w:val="none" w:sz="0" w:space="0" w:color="auto"/>
          </w:divBdr>
          <w:divsChild>
            <w:div w:id="99298931">
              <w:marLeft w:val="0"/>
              <w:marRight w:val="0"/>
              <w:marTop w:val="0"/>
              <w:marBottom w:val="0"/>
              <w:divBdr>
                <w:top w:val="none" w:sz="0" w:space="0" w:color="auto"/>
                <w:left w:val="none" w:sz="0" w:space="0" w:color="auto"/>
                <w:bottom w:val="none" w:sz="0" w:space="0" w:color="auto"/>
                <w:right w:val="none" w:sz="0" w:space="0" w:color="auto"/>
              </w:divBdr>
              <w:divsChild>
                <w:div w:id="1319381038">
                  <w:marLeft w:val="0"/>
                  <w:marRight w:val="0"/>
                  <w:marTop w:val="0"/>
                  <w:marBottom w:val="0"/>
                  <w:divBdr>
                    <w:top w:val="none" w:sz="0" w:space="0" w:color="auto"/>
                    <w:left w:val="none" w:sz="0" w:space="0" w:color="auto"/>
                    <w:bottom w:val="none" w:sz="0" w:space="0" w:color="auto"/>
                    <w:right w:val="none" w:sz="0" w:space="0" w:color="auto"/>
                  </w:divBdr>
                  <w:divsChild>
                    <w:div w:id="753012385">
                      <w:marLeft w:val="0"/>
                      <w:marRight w:val="0"/>
                      <w:marTop w:val="0"/>
                      <w:marBottom w:val="0"/>
                      <w:divBdr>
                        <w:top w:val="none" w:sz="0" w:space="0" w:color="auto"/>
                        <w:left w:val="none" w:sz="0" w:space="0" w:color="auto"/>
                        <w:bottom w:val="none" w:sz="0" w:space="0" w:color="auto"/>
                        <w:right w:val="none" w:sz="0" w:space="0" w:color="auto"/>
                      </w:divBdr>
                      <w:divsChild>
                        <w:div w:id="228922367">
                          <w:marLeft w:val="0"/>
                          <w:marRight w:val="0"/>
                          <w:marTop w:val="0"/>
                          <w:marBottom w:val="0"/>
                          <w:divBdr>
                            <w:top w:val="none" w:sz="0" w:space="0" w:color="auto"/>
                            <w:left w:val="none" w:sz="0" w:space="0" w:color="auto"/>
                            <w:bottom w:val="none" w:sz="0" w:space="0" w:color="auto"/>
                            <w:right w:val="none" w:sz="0" w:space="0" w:color="auto"/>
                          </w:divBdr>
                          <w:divsChild>
                            <w:div w:id="193546562">
                              <w:marLeft w:val="0"/>
                              <w:marRight w:val="0"/>
                              <w:marTop w:val="0"/>
                              <w:marBottom w:val="0"/>
                              <w:divBdr>
                                <w:top w:val="none" w:sz="0" w:space="0" w:color="auto"/>
                                <w:left w:val="none" w:sz="0" w:space="0" w:color="auto"/>
                                <w:bottom w:val="none" w:sz="0" w:space="0" w:color="auto"/>
                                <w:right w:val="none" w:sz="0" w:space="0" w:color="auto"/>
                              </w:divBdr>
                              <w:divsChild>
                                <w:div w:id="421336009">
                                  <w:marLeft w:val="0"/>
                                  <w:marRight w:val="0"/>
                                  <w:marTop w:val="0"/>
                                  <w:marBottom w:val="0"/>
                                  <w:divBdr>
                                    <w:top w:val="none" w:sz="0" w:space="0" w:color="auto"/>
                                    <w:left w:val="none" w:sz="0" w:space="0" w:color="auto"/>
                                    <w:bottom w:val="none" w:sz="0" w:space="0" w:color="auto"/>
                                    <w:right w:val="none" w:sz="0" w:space="0" w:color="auto"/>
                                  </w:divBdr>
                                  <w:divsChild>
                                    <w:div w:id="1946887515">
                                      <w:marLeft w:val="0"/>
                                      <w:marRight w:val="0"/>
                                      <w:marTop w:val="0"/>
                                      <w:marBottom w:val="0"/>
                                      <w:divBdr>
                                        <w:top w:val="none" w:sz="0" w:space="0" w:color="auto"/>
                                        <w:left w:val="none" w:sz="0" w:space="0" w:color="auto"/>
                                        <w:bottom w:val="none" w:sz="0" w:space="0" w:color="auto"/>
                                        <w:right w:val="none" w:sz="0" w:space="0" w:color="auto"/>
                                      </w:divBdr>
                                      <w:divsChild>
                                        <w:div w:id="1737901457">
                                          <w:marLeft w:val="0"/>
                                          <w:marRight w:val="0"/>
                                          <w:marTop w:val="0"/>
                                          <w:marBottom w:val="0"/>
                                          <w:divBdr>
                                            <w:top w:val="none" w:sz="0" w:space="0" w:color="auto"/>
                                            <w:left w:val="none" w:sz="0" w:space="0" w:color="auto"/>
                                            <w:bottom w:val="none" w:sz="0" w:space="0" w:color="auto"/>
                                            <w:right w:val="none" w:sz="0" w:space="0" w:color="auto"/>
                                          </w:divBdr>
                                          <w:divsChild>
                                            <w:div w:id="1373262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7208797">
          <w:marLeft w:val="0"/>
          <w:marRight w:val="0"/>
          <w:marTop w:val="0"/>
          <w:marBottom w:val="0"/>
          <w:divBdr>
            <w:top w:val="none" w:sz="0" w:space="0" w:color="auto"/>
            <w:left w:val="none" w:sz="0" w:space="0" w:color="auto"/>
            <w:bottom w:val="none" w:sz="0" w:space="0" w:color="auto"/>
            <w:right w:val="none" w:sz="0" w:space="0" w:color="auto"/>
          </w:divBdr>
          <w:divsChild>
            <w:div w:id="986472021">
              <w:marLeft w:val="0"/>
              <w:marRight w:val="0"/>
              <w:marTop w:val="0"/>
              <w:marBottom w:val="0"/>
              <w:divBdr>
                <w:top w:val="none" w:sz="0" w:space="0" w:color="auto"/>
                <w:left w:val="none" w:sz="0" w:space="0" w:color="auto"/>
                <w:bottom w:val="none" w:sz="0" w:space="0" w:color="auto"/>
                <w:right w:val="none" w:sz="0" w:space="0" w:color="auto"/>
              </w:divBdr>
              <w:divsChild>
                <w:div w:id="1879273208">
                  <w:marLeft w:val="0"/>
                  <w:marRight w:val="0"/>
                  <w:marTop w:val="0"/>
                  <w:marBottom w:val="0"/>
                  <w:divBdr>
                    <w:top w:val="none" w:sz="0" w:space="0" w:color="auto"/>
                    <w:left w:val="none" w:sz="0" w:space="0" w:color="auto"/>
                    <w:bottom w:val="none" w:sz="0" w:space="0" w:color="auto"/>
                    <w:right w:val="none" w:sz="0" w:space="0" w:color="auto"/>
                  </w:divBdr>
                  <w:divsChild>
                    <w:div w:id="338168182">
                      <w:marLeft w:val="0"/>
                      <w:marRight w:val="0"/>
                      <w:marTop w:val="0"/>
                      <w:marBottom w:val="0"/>
                      <w:divBdr>
                        <w:top w:val="none" w:sz="0" w:space="0" w:color="auto"/>
                        <w:left w:val="none" w:sz="0" w:space="0" w:color="auto"/>
                        <w:bottom w:val="none" w:sz="0" w:space="0" w:color="auto"/>
                        <w:right w:val="none" w:sz="0" w:space="0" w:color="auto"/>
                      </w:divBdr>
                      <w:divsChild>
                        <w:div w:id="984504857">
                          <w:marLeft w:val="0"/>
                          <w:marRight w:val="0"/>
                          <w:marTop w:val="0"/>
                          <w:marBottom w:val="0"/>
                          <w:divBdr>
                            <w:top w:val="none" w:sz="0" w:space="0" w:color="auto"/>
                            <w:left w:val="none" w:sz="0" w:space="0" w:color="auto"/>
                            <w:bottom w:val="none" w:sz="0" w:space="0" w:color="auto"/>
                            <w:right w:val="none" w:sz="0" w:space="0" w:color="auto"/>
                          </w:divBdr>
                          <w:divsChild>
                            <w:div w:id="1288050854">
                              <w:marLeft w:val="0"/>
                              <w:marRight w:val="0"/>
                              <w:marTop w:val="0"/>
                              <w:marBottom w:val="0"/>
                              <w:divBdr>
                                <w:top w:val="none" w:sz="0" w:space="0" w:color="auto"/>
                                <w:left w:val="none" w:sz="0" w:space="0" w:color="auto"/>
                                <w:bottom w:val="none" w:sz="0" w:space="0" w:color="auto"/>
                                <w:right w:val="none" w:sz="0" w:space="0" w:color="auto"/>
                              </w:divBdr>
                              <w:divsChild>
                                <w:div w:id="684786410">
                                  <w:marLeft w:val="0"/>
                                  <w:marRight w:val="0"/>
                                  <w:marTop w:val="0"/>
                                  <w:marBottom w:val="0"/>
                                  <w:divBdr>
                                    <w:top w:val="none" w:sz="0" w:space="0" w:color="auto"/>
                                    <w:left w:val="none" w:sz="0" w:space="0" w:color="auto"/>
                                    <w:bottom w:val="none" w:sz="0" w:space="0" w:color="auto"/>
                                    <w:right w:val="none" w:sz="0" w:space="0" w:color="auto"/>
                                  </w:divBdr>
                                  <w:divsChild>
                                    <w:div w:id="1843470311">
                                      <w:marLeft w:val="0"/>
                                      <w:marRight w:val="0"/>
                                      <w:marTop w:val="0"/>
                                      <w:marBottom w:val="0"/>
                                      <w:divBdr>
                                        <w:top w:val="none" w:sz="0" w:space="0" w:color="auto"/>
                                        <w:left w:val="none" w:sz="0" w:space="0" w:color="auto"/>
                                        <w:bottom w:val="none" w:sz="0" w:space="0" w:color="auto"/>
                                        <w:right w:val="none" w:sz="0" w:space="0" w:color="auto"/>
                                      </w:divBdr>
                                      <w:divsChild>
                                        <w:div w:id="1157186180">
                                          <w:marLeft w:val="0"/>
                                          <w:marRight w:val="0"/>
                                          <w:marTop w:val="0"/>
                                          <w:marBottom w:val="0"/>
                                          <w:divBdr>
                                            <w:top w:val="none" w:sz="0" w:space="0" w:color="auto"/>
                                            <w:left w:val="none" w:sz="0" w:space="0" w:color="auto"/>
                                            <w:bottom w:val="none" w:sz="0" w:space="0" w:color="auto"/>
                                            <w:right w:val="none" w:sz="0" w:space="0" w:color="auto"/>
                                          </w:divBdr>
                                          <w:divsChild>
                                            <w:div w:id="145575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0561">
                                      <w:marLeft w:val="0"/>
                                      <w:marRight w:val="0"/>
                                      <w:marTop w:val="0"/>
                                      <w:marBottom w:val="0"/>
                                      <w:divBdr>
                                        <w:top w:val="none" w:sz="0" w:space="0" w:color="auto"/>
                                        <w:left w:val="none" w:sz="0" w:space="0" w:color="auto"/>
                                        <w:bottom w:val="none" w:sz="0" w:space="0" w:color="auto"/>
                                        <w:right w:val="none" w:sz="0" w:space="0" w:color="auto"/>
                                      </w:divBdr>
                                      <w:divsChild>
                                        <w:div w:id="55511818">
                                          <w:marLeft w:val="0"/>
                                          <w:marRight w:val="0"/>
                                          <w:marTop w:val="0"/>
                                          <w:marBottom w:val="0"/>
                                          <w:divBdr>
                                            <w:top w:val="none" w:sz="0" w:space="0" w:color="auto"/>
                                            <w:left w:val="none" w:sz="0" w:space="0" w:color="auto"/>
                                            <w:bottom w:val="none" w:sz="0" w:space="0" w:color="auto"/>
                                            <w:right w:val="none" w:sz="0" w:space="0" w:color="auto"/>
                                          </w:divBdr>
                                          <w:divsChild>
                                            <w:div w:id="413402984">
                                              <w:marLeft w:val="0"/>
                                              <w:marRight w:val="0"/>
                                              <w:marTop w:val="0"/>
                                              <w:marBottom w:val="0"/>
                                              <w:divBdr>
                                                <w:top w:val="none" w:sz="0" w:space="0" w:color="auto"/>
                                                <w:left w:val="none" w:sz="0" w:space="0" w:color="auto"/>
                                                <w:bottom w:val="none" w:sz="0" w:space="0" w:color="auto"/>
                                                <w:right w:val="none" w:sz="0" w:space="0" w:color="auto"/>
                                              </w:divBdr>
                                              <w:divsChild>
                                                <w:div w:id="569123326">
                                                  <w:marLeft w:val="0"/>
                                                  <w:marRight w:val="0"/>
                                                  <w:marTop w:val="0"/>
                                                  <w:marBottom w:val="0"/>
                                                  <w:divBdr>
                                                    <w:top w:val="none" w:sz="0" w:space="0" w:color="auto"/>
                                                    <w:left w:val="none" w:sz="0" w:space="0" w:color="auto"/>
                                                    <w:bottom w:val="none" w:sz="0" w:space="0" w:color="auto"/>
                                                    <w:right w:val="none" w:sz="0" w:space="0" w:color="auto"/>
                                                  </w:divBdr>
                                                  <w:divsChild>
                                                    <w:div w:id="205947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5369">
                                              <w:marLeft w:val="0"/>
                                              <w:marRight w:val="0"/>
                                              <w:marTop w:val="0"/>
                                              <w:marBottom w:val="0"/>
                                              <w:divBdr>
                                                <w:top w:val="none" w:sz="0" w:space="0" w:color="auto"/>
                                                <w:left w:val="none" w:sz="0" w:space="0" w:color="auto"/>
                                                <w:bottom w:val="none" w:sz="0" w:space="0" w:color="auto"/>
                                                <w:right w:val="none" w:sz="0" w:space="0" w:color="auto"/>
                                              </w:divBdr>
                                              <w:divsChild>
                                                <w:div w:id="22101691">
                                                  <w:marLeft w:val="0"/>
                                                  <w:marRight w:val="0"/>
                                                  <w:marTop w:val="0"/>
                                                  <w:marBottom w:val="0"/>
                                                  <w:divBdr>
                                                    <w:top w:val="none" w:sz="0" w:space="0" w:color="auto"/>
                                                    <w:left w:val="none" w:sz="0" w:space="0" w:color="auto"/>
                                                    <w:bottom w:val="none" w:sz="0" w:space="0" w:color="auto"/>
                                                    <w:right w:val="none" w:sz="0" w:space="0" w:color="auto"/>
                                                  </w:divBdr>
                                                  <w:divsChild>
                                                    <w:div w:id="312101846">
                                                      <w:marLeft w:val="0"/>
                                                      <w:marRight w:val="0"/>
                                                      <w:marTop w:val="0"/>
                                                      <w:marBottom w:val="0"/>
                                                      <w:divBdr>
                                                        <w:top w:val="none" w:sz="0" w:space="0" w:color="auto"/>
                                                        <w:left w:val="none" w:sz="0" w:space="0" w:color="auto"/>
                                                        <w:bottom w:val="none" w:sz="0" w:space="0" w:color="auto"/>
                                                        <w:right w:val="none" w:sz="0" w:space="0" w:color="auto"/>
                                                      </w:divBdr>
                                                      <w:divsChild>
                                                        <w:div w:id="84898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446582">
                                              <w:marLeft w:val="0"/>
                                              <w:marRight w:val="0"/>
                                              <w:marTop w:val="0"/>
                                              <w:marBottom w:val="0"/>
                                              <w:divBdr>
                                                <w:top w:val="none" w:sz="0" w:space="0" w:color="auto"/>
                                                <w:left w:val="none" w:sz="0" w:space="0" w:color="auto"/>
                                                <w:bottom w:val="none" w:sz="0" w:space="0" w:color="auto"/>
                                                <w:right w:val="none" w:sz="0" w:space="0" w:color="auto"/>
                                              </w:divBdr>
                                              <w:divsChild>
                                                <w:div w:id="94561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252108">
                                      <w:marLeft w:val="0"/>
                                      <w:marRight w:val="0"/>
                                      <w:marTop w:val="0"/>
                                      <w:marBottom w:val="0"/>
                                      <w:divBdr>
                                        <w:top w:val="none" w:sz="0" w:space="0" w:color="auto"/>
                                        <w:left w:val="none" w:sz="0" w:space="0" w:color="auto"/>
                                        <w:bottom w:val="none" w:sz="0" w:space="0" w:color="auto"/>
                                        <w:right w:val="none" w:sz="0" w:space="0" w:color="auto"/>
                                      </w:divBdr>
                                      <w:divsChild>
                                        <w:div w:id="1480268582">
                                          <w:marLeft w:val="0"/>
                                          <w:marRight w:val="0"/>
                                          <w:marTop w:val="0"/>
                                          <w:marBottom w:val="0"/>
                                          <w:divBdr>
                                            <w:top w:val="none" w:sz="0" w:space="0" w:color="auto"/>
                                            <w:left w:val="none" w:sz="0" w:space="0" w:color="auto"/>
                                            <w:bottom w:val="none" w:sz="0" w:space="0" w:color="auto"/>
                                            <w:right w:val="none" w:sz="0" w:space="0" w:color="auto"/>
                                          </w:divBdr>
                                          <w:divsChild>
                                            <w:div w:id="790974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651796">
              <w:marLeft w:val="0"/>
              <w:marRight w:val="0"/>
              <w:marTop w:val="0"/>
              <w:marBottom w:val="0"/>
              <w:divBdr>
                <w:top w:val="none" w:sz="0" w:space="0" w:color="auto"/>
                <w:left w:val="none" w:sz="0" w:space="0" w:color="auto"/>
                <w:bottom w:val="none" w:sz="0" w:space="0" w:color="auto"/>
                <w:right w:val="none" w:sz="0" w:space="0" w:color="auto"/>
              </w:divBdr>
              <w:divsChild>
                <w:div w:id="1999645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0243352">
      <w:bodyDiv w:val="1"/>
      <w:marLeft w:val="0"/>
      <w:marRight w:val="0"/>
      <w:marTop w:val="0"/>
      <w:marBottom w:val="0"/>
      <w:divBdr>
        <w:top w:val="none" w:sz="0" w:space="0" w:color="auto"/>
        <w:left w:val="none" w:sz="0" w:space="0" w:color="auto"/>
        <w:bottom w:val="none" w:sz="0" w:space="0" w:color="auto"/>
        <w:right w:val="none" w:sz="0" w:space="0" w:color="auto"/>
      </w:divBdr>
    </w:div>
    <w:div w:id="979842831">
      <w:bodyDiv w:val="1"/>
      <w:marLeft w:val="0"/>
      <w:marRight w:val="0"/>
      <w:marTop w:val="0"/>
      <w:marBottom w:val="0"/>
      <w:divBdr>
        <w:top w:val="none" w:sz="0" w:space="0" w:color="auto"/>
        <w:left w:val="none" w:sz="0" w:space="0" w:color="auto"/>
        <w:bottom w:val="none" w:sz="0" w:space="0" w:color="auto"/>
        <w:right w:val="none" w:sz="0" w:space="0" w:color="auto"/>
      </w:divBdr>
    </w:div>
    <w:div w:id="1003704418">
      <w:bodyDiv w:val="1"/>
      <w:marLeft w:val="0"/>
      <w:marRight w:val="0"/>
      <w:marTop w:val="0"/>
      <w:marBottom w:val="0"/>
      <w:divBdr>
        <w:top w:val="none" w:sz="0" w:space="0" w:color="auto"/>
        <w:left w:val="none" w:sz="0" w:space="0" w:color="auto"/>
        <w:bottom w:val="none" w:sz="0" w:space="0" w:color="auto"/>
        <w:right w:val="none" w:sz="0" w:space="0" w:color="auto"/>
      </w:divBdr>
    </w:div>
    <w:div w:id="1010106517">
      <w:bodyDiv w:val="1"/>
      <w:marLeft w:val="0"/>
      <w:marRight w:val="0"/>
      <w:marTop w:val="0"/>
      <w:marBottom w:val="0"/>
      <w:divBdr>
        <w:top w:val="none" w:sz="0" w:space="0" w:color="auto"/>
        <w:left w:val="none" w:sz="0" w:space="0" w:color="auto"/>
        <w:bottom w:val="none" w:sz="0" w:space="0" w:color="auto"/>
        <w:right w:val="none" w:sz="0" w:space="0" w:color="auto"/>
      </w:divBdr>
    </w:div>
    <w:div w:id="1052583551">
      <w:bodyDiv w:val="1"/>
      <w:marLeft w:val="0"/>
      <w:marRight w:val="0"/>
      <w:marTop w:val="0"/>
      <w:marBottom w:val="0"/>
      <w:divBdr>
        <w:top w:val="none" w:sz="0" w:space="0" w:color="auto"/>
        <w:left w:val="none" w:sz="0" w:space="0" w:color="auto"/>
        <w:bottom w:val="none" w:sz="0" w:space="0" w:color="auto"/>
        <w:right w:val="none" w:sz="0" w:space="0" w:color="auto"/>
      </w:divBdr>
    </w:div>
    <w:div w:id="1073890849">
      <w:bodyDiv w:val="1"/>
      <w:marLeft w:val="0"/>
      <w:marRight w:val="0"/>
      <w:marTop w:val="0"/>
      <w:marBottom w:val="0"/>
      <w:divBdr>
        <w:top w:val="none" w:sz="0" w:space="0" w:color="auto"/>
        <w:left w:val="none" w:sz="0" w:space="0" w:color="auto"/>
        <w:bottom w:val="none" w:sz="0" w:space="0" w:color="auto"/>
        <w:right w:val="none" w:sz="0" w:space="0" w:color="auto"/>
      </w:divBdr>
    </w:div>
    <w:div w:id="1082797582">
      <w:bodyDiv w:val="1"/>
      <w:marLeft w:val="0"/>
      <w:marRight w:val="0"/>
      <w:marTop w:val="0"/>
      <w:marBottom w:val="0"/>
      <w:divBdr>
        <w:top w:val="none" w:sz="0" w:space="0" w:color="auto"/>
        <w:left w:val="none" w:sz="0" w:space="0" w:color="auto"/>
        <w:bottom w:val="none" w:sz="0" w:space="0" w:color="auto"/>
        <w:right w:val="none" w:sz="0" w:space="0" w:color="auto"/>
      </w:divBdr>
    </w:div>
    <w:div w:id="1120027299">
      <w:bodyDiv w:val="1"/>
      <w:marLeft w:val="0"/>
      <w:marRight w:val="0"/>
      <w:marTop w:val="0"/>
      <w:marBottom w:val="0"/>
      <w:divBdr>
        <w:top w:val="none" w:sz="0" w:space="0" w:color="auto"/>
        <w:left w:val="none" w:sz="0" w:space="0" w:color="auto"/>
        <w:bottom w:val="none" w:sz="0" w:space="0" w:color="auto"/>
        <w:right w:val="none" w:sz="0" w:space="0" w:color="auto"/>
      </w:divBdr>
    </w:div>
    <w:div w:id="1189374307">
      <w:bodyDiv w:val="1"/>
      <w:marLeft w:val="0"/>
      <w:marRight w:val="0"/>
      <w:marTop w:val="0"/>
      <w:marBottom w:val="0"/>
      <w:divBdr>
        <w:top w:val="none" w:sz="0" w:space="0" w:color="auto"/>
        <w:left w:val="none" w:sz="0" w:space="0" w:color="auto"/>
        <w:bottom w:val="none" w:sz="0" w:space="0" w:color="auto"/>
        <w:right w:val="none" w:sz="0" w:space="0" w:color="auto"/>
      </w:divBdr>
    </w:div>
    <w:div w:id="1212233666">
      <w:bodyDiv w:val="1"/>
      <w:marLeft w:val="0"/>
      <w:marRight w:val="0"/>
      <w:marTop w:val="0"/>
      <w:marBottom w:val="0"/>
      <w:divBdr>
        <w:top w:val="none" w:sz="0" w:space="0" w:color="auto"/>
        <w:left w:val="none" w:sz="0" w:space="0" w:color="auto"/>
        <w:bottom w:val="none" w:sz="0" w:space="0" w:color="auto"/>
        <w:right w:val="none" w:sz="0" w:space="0" w:color="auto"/>
      </w:divBdr>
    </w:div>
    <w:div w:id="1225682528">
      <w:bodyDiv w:val="1"/>
      <w:marLeft w:val="0"/>
      <w:marRight w:val="0"/>
      <w:marTop w:val="0"/>
      <w:marBottom w:val="0"/>
      <w:divBdr>
        <w:top w:val="none" w:sz="0" w:space="0" w:color="auto"/>
        <w:left w:val="none" w:sz="0" w:space="0" w:color="auto"/>
        <w:bottom w:val="none" w:sz="0" w:space="0" w:color="auto"/>
        <w:right w:val="none" w:sz="0" w:space="0" w:color="auto"/>
      </w:divBdr>
    </w:div>
    <w:div w:id="1227229534">
      <w:bodyDiv w:val="1"/>
      <w:marLeft w:val="0"/>
      <w:marRight w:val="0"/>
      <w:marTop w:val="0"/>
      <w:marBottom w:val="0"/>
      <w:divBdr>
        <w:top w:val="none" w:sz="0" w:space="0" w:color="auto"/>
        <w:left w:val="none" w:sz="0" w:space="0" w:color="auto"/>
        <w:bottom w:val="none" w:sz="0" w:space="0" w:color="auto"/>
        <w:right w:val="none" w:sz="0" w:space="0" w:color="auto"/>
      </w:divBdr>
    </w:div>
    <w:div w:id="1270119687">
      <w:bodyDiv w:val="1"/>
      <w:marLeft w:val="0"/>
      <w:marRight w:val="0"/>
      <w:marTop w:val="0"/>
      <w:marBottom w:val="0"/>
      <w:divBdr>
        <w:top w:val="none" w:sz="0" w:space="0" w:color="auto"/>
        <w:left w:val="none" w:sz="0" w:space="0" w:color="auto"/>
        <w:bottom w:val="none" w:sz="0" w:space="0" w:color="auto"/>
        <w:right w:val="none" w:sz="0" w:space="0" w:color="auto"/>
      </w:divBdr>
    </w:div>
    <w:div w:id="1290552228">
      <w:bodyDiv w:val="1"/>
      <w:marLeft w:val="0"/>
      <w:marRight w:val="0"/>
      <w:marTop w:val="0"/>
      <w:marBottom w:val="0"/>
      <w:divBdr>
        <w:top w:val="none" w:sz="0" w:space="0" w:color="auto"/>
        <w:left w:val="none" w:sz="0" w:space="0" w:color="auto"/>
        <w:bottom w:val="none" w:sz="0" w:space="0" w:color="auto"/>
        <w:right w:val="none" w:sz="0" w:space="0" w:color="auto"/>
      </w:divBdr>
    </w:div>
    <w:div w:id="1291015896">
      <w:bodyDiv w:val="1"/>
      <w:marLeft w:val="0"/>
      <w:marRight w:val="0"/>
      <w:marTop w:val="0"/>
      <w:marBottom w:val="0"/>
      <w:divBdr>
        <w:top w:val="none" w:sz="0" w:space="0" w:color="auto"/>
        <w:left w:val="none" w:sz="0" w:space="0" w:color="auto"/>
        <w:bottom w:val="none" w:sz="0" w:space="0" w:color="auto"/>
        <w:right w:val="none" w:sz="0" w:space="0" w:color="auto"/>
      </w:divBdr>
    </w:div>
    <w:div w:id="1357997347">
      <w:bodyDiv w:val="1"/>
      <w:marLeft w:val="0"/>
      <w:marRight w:val="0"/>
      <w:marTop w:val="0"/>
      <w:marBottom w:val="0"/>
      <w:divBdr>
        <w:top w:val="none" w:sz="0" w:space="0" w:color="auto"/>
        <w:left w:val="none" w:sz="0" w:space="0" w:color="auto"/>
        <w:bottom w:val="none" w:sz="0" w:space="0" w:color="auto"/>
        <w:right w:val="none" w:sz="0" w:space="0" w:color="auto"/>
      </w:divBdr>
    </w:div>
    <w:div w:id="1391809641">
      <w:bodyDiv w:val="1"/>
      <w:marLeft w:val="0"/>
      <w:marRight w:val="0"/>
      <w:marTop w:val="0"/>
      <w:marBottom w:val="0"/>
      <w:divBdr>
        <w:top w:val="none" w:sz="0" w:space="0" w:color="auto"/>
        <w:left w:val="none" w:sz="0" w:space="0" w:color="auto"/>
        <w:bottom w:val="none" w:sz="0" w:space="0" w:color="auto"/>
        <w:right w:val="none" w:sz="0" w:space="0" w:color="auto"/>
      </w:divBdr>
    </w:div>
    <w:div w:id="1420103475">
      <w:bodyDiv w:val="1"/>
      <w:marLeft w:val="0"/>
      <w:marRight w:val="0"/>
      <w:marTop w:val="0"/>
      <w:marBottom w:val="0"/>
      <w:divBdr>
        <w:top w:val="none" w:sz="0" w:space="0" w:color="auto"/>
        <w:left w:val="none" w:sz="0" w:space="0" w:color="auto"/>
        <w:bottom w:val="none" w:sz="0" w:space="0" w:color="auto"/>
        <w:right w:val="none" w:sz="0" w:space="0" w:color="auto"/>
      </w:divBdr>
    </w:div>
    <w:div w:id="1437598247">
      <w:bodyDiv w:val="1"/>
      <w:marLeft w:val="0"/>
      <w:marRight w:val="0"/>
      <w:marTop w:val="0"/>
      <w:marBottom w:val="0"/>
      <w:divBdr>
        <w:top w:val="none" w:sz="0" w:space="0" w:color="auto"/>
        <w:left w:val="none" w:sz="0" w:space="0" w:color="auto"/>
        <w:bottom w:val="none" w:sz="0" w:space="0" w:color="auto"/>
        <w:right w:val="none" w:sz="0" w:space="0" w:color="auto"/>
      </w:divBdr>
    </w:div>
    <w:div w:id="1439135547">
      <w:bodyDiv w:val="1"/>
      <w:marLeft w:val="0"/>
      <w:marRight w:val="0"/>
      <w:marTop w:val="0"/>
      <w:marBottom w:val="0"/>
      <w:divBdr>
        <w:top w:val="none" w:sz="0" w:space="0" w:color="auto"/>
        <w:left w:val="none" w:sz="0" w:space="0" w:color="auto"/>
        <w:bottom w:val="none" w:sz="0" w:space="0" w:color="auto"/>
        <w:right w:val="none" w:sz="0" w:space="0" w:color="auto"/>
      </w:divBdr>
    </w:div>
    <w:div w:id="1504315008">
      <w:bodyDiv w:val="1"/>
      <w:marLeft w:val="0"/>
      <w:marRight w:val="0"/>
      <w:marTop w:val="0"/>
      <w:marBottom w:val="0"/>
      <w:divBdr>
        <w:top w:val="none" w:sz="0" w:space="0" w:color="auto"/>
        <w:left w:val="none" w:sz="0" w:space="0" w:color="auto"/>
        <w:bottom w:val="none" w:sz="0" w:space="0" w:color="auto"/>
        <w:right w:val="none" w:sz="0" w:space="0" w:color="auto"/>
      </w:divBdr>
    </w:div>
    <w:div w:id="1563328493">
      <w:bodyDiv w:val="1"/>
      <w:marLeft w:val="0"/>
      <w:marRight w:val="0"/>
      <w:marTop w:val="0"/>
      <w:marBottom w:val="0"/>
      <w:divBdr>
        <w:top w:val="none" w:sz="0" w:space="0" w:color="auto"/>
        <w:left w:val="none" w:sz="0" w:space="0" w:color="auto"/>
        <w:bottom w:val="none" w:sz="0" w:space="0" w:color="auto"/>
        <w:right w:val="none" w:sz="0" w:space="0" w:color="auto"/>
      </w:divBdr>
    </w:div>
    <w:div w:id="1580096382">
      <w:bodyDiv w:val="1"/>
      <w:marLeft w:val="0"/>
      <w:marRight w:val="0"/>
      <w:marTop w:val="0"/>
      <w:marBottom w:val="0"/>
      <w:divBdr>
        <w:top w:val="none" w:sz="0" w:space="0" w:color="auto"/>
        <w:left w:val="none" w:sz="0" w:space="0" w:color="auto"/>
        <w:bottom w:val="none" w:sz="0" w:space="0" w:color="auto"/>
        <w:right w:val="none" w:sz="0" w:space="0" w:color="auto"/>
      </w:divBdr>
    </w:div>
    <w:div w:id="1701054558">
      <w:bodyDiv w:val="1"/>
      <w:marLeft w:val="0"/>
      <w:marRight w:val="0"/>
      <w:marTop w:val="0"/>
      <w:marBottom w:val="0"/>
      <w:divBdr>
        <w:top w:val="none" w:sz="0" w:space="0" w:color="auto"/>
        <w:left w:val="none" w:sz="0" w:space="0" w:color="auto"/>
        <w:bottom w:val="none" w:sz="0" w:space="0" w:color="auto"/>
        <w:right w:val="none" w:sz="0" w:space="0" w:color="auto"/>
      </w:divBdr>
    </w:div>
    <w:div w:id="1708748899">
      <w:bodyDiv w:val="1"/>
      <w:marLeft w:val="0"/>
      <w:marRight w:val="0"/>
      <w:marTop w:val="0"/>
      <w:marBottom w:val="0"/>
      <w:divBdr>
        <w:top w:val="none" w:sz="0" w:space="0" w:color="auto"/>
        <w:left w:val="none" w:sz="0" w:space="0" w:color="auto"/>
        <w:bottom w:val="none" w:sz="0" w:space="0" w:color="auto"/>
        <w:right w:val="none" w:sz="0" w:space="0" w:color="auto"/>
      </w:divBdr>
    </w:div>
    <w:div w:id="1708875805">
      <w:bodyDiv w:val="1"/>
      <w:marLeft w:val="0"/>
      <w:marRight w:val="0"/>
      <w:marTop w:val="0"/>
      <w:marBottom w:val="0"/>
      <w:divBdr>
        <w:top w:val="none" w:sz="0" w:space="0" w:color="auto"/>
        <w:left w:val="none" w:sz="0" w:space="0" w:color="auto"/>
        <w:bottom w:val="none" w:sz="0" w:space="0" w:color="auto"/>
        <w:right w:val="none" w:sz="0" w:space="0" w:color="auto"/>
      </w:divBdr>
    </w:div>
    <w:div w:id="1724331627">
      <w:bodyDiv w:val="1"/>
      <w:marLeft w:val="0"/>
      <w:marRight w:val="0"/>
      <w:marTop w:val="0"/>
      <w:marBottom w:val="0"/>
      <w:divBdr>
        <w:top w:val="none" w:sz="0" w:space="0" w:color="auto"/>
        <w:left w:val="none" w:sz="0" w:space="0" w:color="auto"/>
        <w:bottom w:val="none" w:sz="0" w:space="0" w:color="auto"/>
        <w:right w:val="none" w:sz="0" w:space="0" w:color="auto"/>
      </w:divBdr>
    </w:div>
    <w:div w:id="1753548669">
      <w:bodyDiv w:val="1"/>
      <w:marLeft w:val="0"/>
      <w:marRight w:val="0"/>
      <w:marTop w:val="0"/>
      <w:marBottom w:val="0"/>
      <w:divBdr>
        <w:top w:val="none" w:sz="0" w:space="0" w:color="auto"/>
        <w:left w:val="none" w:sz="0" w:space="0" w:color="auto"/>
        <w:bottom w:val="none" w:sz="0" w:space="0" w:color="auto"/>
        <w:right w:val="none" w:sz="0" w:space="0" w:color="auto"/>
      </w:divBdr>
    </w:div>
    <w:div w:id="1784180888">
      <w:bodyDiv w:val="1"/>
      <w:marLeft w:val="0"/>
      <w:marRight w:val="0"/>
      <w:marTop w:val="0"/>
      <w:marBottom w:val="0"/>
      <w:divBdr>
        <w:top w:val="none" w:sz="0" w:space="0" w:color="auto"/>
        <w:left w:val="none" w:sz="0" w:space="0" w:color="auto"/>
        <w:bottom w:val="none" w:sz="0" w:space="0" w:color="auto"/>
        <w:right w:val="none" w:sz="0" w:space="0" w:color="auto"/>
      </w:divBdr>
    </w:div>
    <w:div w:id="1823424385">
      <w:bodyDiv w:val="1"/>
      <w:marLeft w:val="0"/>
      <w:marRight w:val="0"/>
      <w:marTop w:val="0"/>
      <w:marBottom w:val="0"/>
      <w:divBdr>
        <w:top w:val="none" w:sz="0" w:space="0" w:color="auto"/>
        <w:left w:val="none" w:sz="0" w:space="0" w:color="auto"/>
        <w:bottom w:val="none" w:sz="0" w:space="0" w:color="auto"/>
        <w:right w:val="none" w:sz="0" w:space="0" w:color="auto"/>
      </w:divBdr>
    </w:div>
    <w:div w:id="1898972178">
      <w:bodyDiv w:val="1"/>
      <w:marLeft w:val="0"/>
      <w:marRight w:val="0"/>
      <w:marTop w:val="0"/>
      <w:marBottom w:val="0"/>
      <w:divBdr>
        <w:top w:val="none" w:sz="0" w:space="0" w:color="auto"/>
        <w:left w:val="none" w:sz="0" w:space="0" w:color="auto"/>
        <w:bottom w:val="none" w:sz="0" w:space="0" w:color="auto"/>
        <w:right w:val="none" w:sz="0" w:space="0" w:color="auto"/>
      </w:divBdr>
    </w:div>
    <w:div w:id="1966429084">
      <w:bodyDiv w:val="1"/>
      <w:marLeft w:val="0"/>
      <w:marRight w:val="0"/>
      <w:marTop w:val="0"/>
      <w:marBottom w:val="0"/>
      <w:divBdr>
        <w:top w:val="none" w:sz="0" w:space="0" w:color="auto"/>
        <w:left w:val="none" w:sz="0" w:space="0" w:color="auto"/>
        <w:bottom w:val="none" w:sz="0" w:space="0" w:color="auto"/>
        <w:right w:val="none" w:sz="0" w:space="0" w:color="auto"/>
      </w:divBdr>
    </w:div>
    <w:div w:id="1967855688">
      <w:bodyDiv w:val="1"/>
      <w:marLeft w:val="0"/>
      <w:marRight w:val="0"/>
      <w:marTop w:val="0"/>
      <w:marBottom w:val="0"/>
      <w:divBdr>
        <w:top w:val="none" w:sz="0" w:space="0" w:color="auto"/>
        <w:left w:val="none" w:sz="0" w:space="0" w:color="auto"/>
        <w:bottom w:val="none" w:sz="0" w:space="0" w:color="auto"/>
        <w:right w:val="none" w:sz="0" w:space="0" w:color="auto"/>
      </w:divBdr>
    </w:div>
    <w:div w:id="1979608346">
      <w:bodyDiv w:val="1"/>
      <w:marLeft w:val="0"/>
      <w:marRight w:val="0"/>
      <w:marTop w:val="0"/>
      <w:marBottom w:val="0"/>
      <w:divBdr>
        <w:top w:val="none" w:sz="0" w:space="0" w:color="auto"/>
        <w:left w:val="none" w:sz="0" w:space="0" w:color="auto"/>
        <w:bottom w:val="none" w:sz="0" w:space="0" w:color="auto"/>
        <w:right w:val="none" w:sz="0" w:space="0" w:color="auto"/>
      </w:divBdr>
    </w:div>
    <w:div w:id="2073504347">
      <w:bodyDiv w:val="1"/>
      <w:marLeft w:val="0"/>
      <w:marRight w:val="0"/>
      <w:marTop w:val="0"/>
      <w:marBottom w:val="0"/>
      <w:divBdr>
        <w:top w:val="none" w:sz="0" w:space="0" w:color="auto"/>
        <w:left w:val="none" w:sz="0" w:space="0" w:color="auto"/>
        <w:bottom w:val="none" w:sz="0" w:space="0" w:color="auto"/>
        <w:right w:val="none" w:sz="0" w:space="0" w:color="auto"/>
      </w:divBdr>
    </w:div>
    <w:div w:id="2093963367">
      <w:bodyDiv w:val="1"/>
      <w:marLeft w:val="0"/>
      <w:marRight w:val="0"/>
      <w:marTop w:val="0"/>
      <w:marBottom w:val="0"/>
      <w:divBdr>
        <w:top w:val="none" w:sz="0" w:space="0" w:color="auto"/>
        <w:left w:val="none" w:sz="0" w:space="0" w:color="auto"/>
        <w:bottom w:val="none" w:sz="0" w:space="0" w:color="auto"/>
        <w:right w:val="none" w:sz="0" w:space="0" w:color="auto"/>
      </w:divBdr>
      <w:divsChild>
        <w:div w:id="1390108622">
          <w:marLeft w:val="0"/>
          <w:marRight w:val="0"/>
          <w:marTop w:val="0"/>
          <w:marBottom w:val="0"/>
          <w:divBdr>
            <w:top w:val="none" w:sz="0" w:space="0" w:color="auto"/>
            <w:left w:val="none" w:sz="0" w:space="0" w:color="auto"/>
            <w:bottom w:val="none" w:sz="0" w:space="0" w:color="auto"/>
            <w:right w:val="none" w:sz="0" w:space="0" w:color="auto"/>
          </w:divBdr>
          <w:divsChild>
            <w:div w:id="322972664">
              <w:marLeft w:val="0"/>
              <w:marRight w:val="0"/>
              <w:marTop w:val="0"/>
              <w:marBottom w:val="0"/>
              <w:divBdr>
                <w:top w:val="none" w:sz="0" w:space="0" w:color="auto"/>
                <w:left w:val="none" w:sz="0" w:space="0" w:color="auto"/>
                <w:bottom w:val="none" w:sz="0" w:space="0" w:color="auto"/>
                <w:right w:val="none" w:sz="0" w:space="0" w:color="auto"/>
              </w:divBdr>
            </w:div>
          </w:divsChild>
        </w:div>
        <w:div w:id="171649067">
          <w:marLeft w:val="0"/>
          <w:marRight w:val="0"/>
          <w:marTop w:val="0"/>
          <w:marBottom w:val="0"/>
          <w:divBdr>
            <w:top w:val="none" w:sz="0" w:space="0" w:color="auto"/>
            <w:left w:val="none" w:sz="0" w:space="0" w:color="auto"/>
            <w:bottom w:val="none" w:sz="0" w:space="0" w:color="auto"/>
            <w:right w:val="none" w:sz="0" w:space="0" w:color="auto"/>
          </w:divBdr>
          <w:divsChild>
            <w:div w:id="202423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mailto:pengel1@hfhs.or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18</Pages>
  <Words>4498</Words>
  <Characters>25641</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Razmjou, Sahar</dc:creator>
  <cp:keywords/>
  <dc:description/>
  <cp:lastModifiedBy>Sahar Razmjou</cp:lastModifiedBy>
  <cp:revision>11</cp:revision>
  <dcterms:created xsi:type="dcterms:W3CDTF">2026-01-09T02:54:00Z</dcterms:created>
  <dcterms:modified xsi:type="dcterms:W3CDTF">2026-01-09T03:12:00Z</dcterms:modified>
</cp:coreProperties>
</file>