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0B5D57" w:val="clear"/>
            <w:tcMar>
              <w:top w:type="dxa" w:w="500"/>
              <w:left w:type="dxa" w:w="500"/>
              <w:bottom w:type="dxa" w:w="500"/>
              <w:right w:type="dxa" w:w="500"/>
            </w:tcMar>
            <w:vAlign w:val="center"/>
          </w:tcPr>
          <w:p>
            <w:pPr>
              <w:spacing w:after="220"/>
              <w:jc w:val="center"/>
            </w:pPr>
            <w:r>
              <w:rPr>
                <w:rFonts w:ascii="Cambria" w:cs="Cambria" w:eastAsia="Cambria" w:hAnsi="Cambria"/>
                <w:b/>
                <w:bCs/>
                <w:color w:val="D4A017"/>
                <w:spacing w:val="20"/>
                <w:sz w:val="22"/>
                <w:szCs w:val="22"/>
              </w:rPr>
              <w:t xml:space="preserve">LOGISTICS ANALYTICS</w:t>
            </w:r>
          </w:p>
          <w:p>
            <w:pPr>
              <w:spacing w:after="260"/>
              <w:jc w:val="center"/>
            </w:pPr>
            <w:r>
              <w:rPr>
                <w:rFonts w:ascii="Cambria" w:cs="Cambria" w:eastAsia="Cambria" w:hAnsi="Cambria"/>
                <w:b/>
                <w:bCs/>
                <w:color w:val="FFFFFF"/>
                <w:sz w:val="48"/>
                <w:szCs w:val="48"/>
              </w:rPr>
              <w:t xml:space="preserve">Advanced Data Analysis and Visualization in Logistics</w:t>
            </w:r>
          </w:p>
          <w:p>
            <w:pPr>
              <w:jc w:val="center"/>
            </w:pPr>
            <w:r>
              <w:rPr>
                <w:rFonts w:ascii="Cambria" w:cs="Cambria" w:eastAsia="Cambria" w:hAnsi="Cambria"/>
                <w:i/>
                <w:iCs/>
                <w:color w:val="D4A017"/>
                <w:sz w:val="26"/>
                <w:szCs w:val="26"/>
              </w:rPr>
              <w:t xml:space="preserve">Week 3 Analytical Report</w:t>
            </w:r>
          </w:p>
        </w:tc>
      </w:tr>
    </w:tbl>
    <w:p>
      <w:pPr>
        <w:spacing w:after="500" w:before="700"/>
        <w:jc w:val="center"/>
      </w:pPr>
      <w:r>
        <w:rPr>
          <w:rFonts w:ascii="Calibri" w:cs="Calibri" w:eastAsia="Calibri" w:hAnsi="Calibri"/>
          <w:i/>
          <w:iCs/>
          <w:color w:val="5C6B6B"/>
          <w:sz w:val="23"/>
          <w:szCs w:val="23"/>
        </w:rPr>
        <w:t xml:space="preserve">Exploratory Analysis, Visualization, and Operational Insights from a Simulated Logistics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BF7EE" w:val="clear"/>
            <w:tcMar>
              <w:top w:type="dxa" w:w="500"/>
              <w:left w:type="dxa" w:w="500"/>
              <w:bottom w:type="dxa" w:w="500"/>
              <w:right w:type="dxa" w:w="500"/>
            </w:tcMar>
            <w:vAlign w:val="center"/>
          </w:tcPr>
          <w:p>
            <w:pPr>
              <w:spacing w:after="90"/>
              <w:jc w:val="center"/>
            </w:pPr>
            <w:r>
              <w:rPr>
                <w:rFonts w:ascii="Cambria" w:cs="Cambria" w:eastAsia="Cambria" w:hAnsi="Cambria"/>
                <w:b/>
                <w:bCs/>
                <w:color w:val="E2725B"/>
                <w:spacing w:val="16"/>
                <w:sz w:val="18"/>
                <w:szCs w:val="18"/>
              </w:rPr>
              <w:t xml:space="preserve">PREPARED WITH</w:t>
            </w:r>
          </w:p>
          <w:p>
            <w:pPr>
              <w:jc w:val="center"/>
            </w:pPr>
            <w:r>
              <w:rPr>
                <w:rFonts w:ascii="Calibri" w:cs="Calibri" w:eastAsia="Calibri" w:hAnsi="Calibri"/>
                <w:b/>
                <w:bCs/>
                <w:color w:val="1B3A4B"/>
                <w:sz w:val="22"/>
                <w:szCs w:val="22"/>
              </w:rPr>
              <w:t xml:space="preserve">Python · pandas · NumPy · matplotlib · seaborn</w:t>
            </w:r>
          </w:p>
        </w:tc>
      </w:tr>
    </w:tbl>
    <w:p>
      <w:r>
        <w:br w:type="page"/>
      </w:r>
    </w:p>
    <w:p>
      <w:pPr>
        <w:pStyle w:val="Heading1"/>
        <w:pBdr>
          <w:bottom w:val="single" w:color="D4A017" w:sz="12" w:space="6"/>
        </w:pBdr>
        <w:spacing w:after="200" w:before="480"/>
      </w:pPr>
      <w:r>
        <w:rPr>
          <w:rFonts w:ascii="Cambria" w:cs="Cambria" w:eastAsia="Cambria" w:hAnsi="Cambria"/>
          <w:b/>
          <w:bCs/>
          <w:color w:val="D4A017"/>
          <w:sz w:val="32"/>
          <w:szCs w:val="32"/>
        </w:rPr>
        <w:t xml:space="preserve">1.  </w:t>
      </w:r>
      <w:r>
        <w:rPr>
          <w:rFonts w:ascii="Cambria" w:cs="Cambria" w:eastAsia="Cambria" w:hAnsi="Cambria"/>
          <w:b/>
          <w:bCs/>
          <w:color w:val="0B5D57"/>
          <w:sz w:val="32"/>
          <w:szCs w:val="32"/>
        </w:rPr>
        <w:t xml:space="preserve">Executive Summary</w:t>
      </w:r>
    </w:p>
    <w:p>
      <w:pPr>
        <w:spacing w:after="160" w:line="276"/>
      </w:pPr>
      <w:r>
        <w:rPr>
          <w:rFonts w:ascii="Calibri" w:cs="Calibri" w:eastAsia="Calibri" w:hAnsi="Calibri"/>
          <w:color w:val="222B2B"/>
          <w:sz w:val="22"/>
          <w:szCs w:val="22"/>
        </w:rPr>
        <w:t xml:space="preserve">This report analyzes a simulated logistics dataset of 1,500 shipments across five regions, four carriers, and four transport modes (Road, Rail, Air, Sea) over a full calendar year. The objective is to demonstrate an end-to-end analytical workflow — data simulation, exploratory data analysis (EDA), visualization, and interpretation — applied to core logistics performance metrics: delivery time, cost, volume, and reliability.</w:t>
      </w:r>
    </w:p>
    <w:p>
      <w:pPr>
        <w:spacing w:after="160" w:line="276"/>
      </w:pPr>
      <w:r>
        <w:rPr>
          <w:rFonts w:ascii="Calibri" w:cs="Calibri" w:eastAsia="Calibri" w:hAnsi="Calibri"/>
          <w:color w:val="222B2B"/>
          <w:sz w:val="22"/>
          <w:szCs w:val="22"/>
        </w:rPr>
        <w:t xml:space="preserve">The analysis finds that overall on-time delivery performance sits at 52.9%, masking wide variation by mode (Air: 81.8% on-time vs. Road: 42.9%) and a severe seasonal bottleneck in November–December, when on-time performance collapses to roughly 22%. Cost analysis shows Air freight costs nearly 6x more per kilometer than Sea freight, while Road — the most heavily used mode — is also the least reliable. These findings translate into concrete recommendations on mode allocation, peak-season capacity planning, and carrier performance management, detailed in Section 6.</w:t>
      </w:r>
    </w:p>
    <w:p>
      <w:pPr>
        <w:pStyle w:val="Heading1"/>
        <w:pBdr>
          <w:bottom w:val="single" w:color="D4A017" w:sz="12" w:space="6"/>
        </w:pBdr>
        <w:spacing w:after="200" w:before="480"/>
      </w:pPr>
      <w:r>
        <w:rPr>
          <w:rFonts w:ascii="Cambria" w:cs="Cambria" w:eastAsia="Cambria" w:hAnsi="Cambria"/>
          <w:b/>
          <w:bCs/>
          <w:color w:val="D4A017"/>
          <w:sz w:val="32"/>
          <w:szCs w:val="32"/>
        </w:rPr>
        <w:t xml:space="preserve">2.  </w:t>
      </w:r>
      <w:r>
        <w:rPr>
          <w:rFonts w:ascii="Cambria" w:cs="Cambria" w:eastAsia="Cambria" w:hAnsi="Cambria"/>
          <w:b/>
          <w:bCs/>
          <w:color w:val="0B5D57"/>
          <w:sz w:val="32"/>
          <w:szCs w:val="32"/>
        </w:rPr>
        <w:t xml:space="preserve">Objective and Methodology</w:t>
      </w:r>
    </w:p>
    <w:p>
      <w:pPr>
        <w:spacing w:after="160" w:line="276"/>
      </w:pPr>
      <w:r>
        <w:rPr>
          <w:rFonts w:ascii="Calibri" w:cs="Calibri" w:eastAsia="Calibri" w:hAnsi="Calibri"/>
          <w:color w:val="222B2B"/>
          <w:sz w:val="22"/>
          <w:szCs w:val="22"/>
        </w:rPr>
        <w:t xml:space="preserve">The task was to explore, analyze, and visualize logistics data using Python, drawing insights that support data-driven decision-making. The methodology followed five stages:</w:t>
      </w:r>
    </w:p>
    <w:p>
      <w:pPr>
        <w:pStyle w:val="ListParagraph"/>
        <w:numPr>
          <w:ilvl w:val="0"/>
          <w:numId w:val="2"/>
        </w:numPr>
        <w:spacing w:after="100"/>
      </w:pPr>
      <w:r>
        <w:rPr>
          <w:rFonts w:ascii="Calibri" w:cs="Calibri" w:eastAsia="Calibri" w:hAnsi="Calibri"/>
          <w:color w:val="222B2B"/>
          <w:sz w:val="22"/>
          <w:szCs w:val="22"/>
        </w:rPr>
        <w:t xml:space="preserve">Data Simulation: construct a realistic logistics dataset with interdependent variables (distance, mode, and season driving cost and delivery time).</w:t>
      </w:r>
    </w:p>
    <w:p>
      <w:pPr>
        <w:pStyle w:val="ListParagraph"/>
        <w:numPr>
          <w:ilvl w:val="0"/>
          <w:numId w:val="2"/>
        </w:numPr>
        <w:spacing w:after="100"/>
      </w:pPr>
      <w:r>
        <w:rPr>
          <w:rFonts w:ascii="Calibri" w:cs="Calibri" w:eastAsia="Calibri" w:hAnsi="Calibri"/>
          <w:color w:val="222B2B"/>
          <w:sz w:val="22"/>
          <w:szCs w:val="22"/>
        </w:rPr>
        <w:t xml:space="preserve">Exploratory Data Analysis: compute descriptive statistics, distributions, and correlations using pandas.</w:t>
      </w:r>
    </w:p>
    <w:p>
      <w:pPr>
        <w:pStyle w:val="ListParagraph"/>
        <w:numPr>
          <w:ilvl w:val="0"/>
          <w:numId w:val="2"/>
        </w:numPr>
        <w:spacing w:after="100"/>
      </w:pPr>
      <w:r>
        <w:rPr>
          <w:rFonts w:ascii="Calibri" w:cs="Calibri" w:eastAsia="Calibri" w:hAnsi="Calibri"/>
          <w:color w:val="222B2B"/>
          <w:sz w:val="22"/>
          <w:szCs w:val="22"/>
        </w:rPr>
        <w:t xml:space="preserve">Visualization: build seven charts using matplotlib and seaborn, each chosen to answer a specific operational question.</w:t>
      </w:r>
    </w:p>
    <w:p>
      <w:pPr>
        <w:pStyle w:val="ListParagraph"/>
        <w:numPr>
          <w:ilvl w:val="0"/>
          <w:numId w:val="2"/>
        </w:numPr>
        <w:spacing w:after="100"/>
      </w:pPr>
      <w:r>
        <w:rPr>
          <w:rFonts w:ascii="Calibri" w:cs="Calibri" w:eastAsia="Calibri" w:hAnsi="Calibri"/>
          <w:color w:val="222B2B"/>
          <w:sz w:val="22"/>
          <w:szCs w:val="22"/>
        </w:rPr>
        <w:t xml:space="preserve">Insight extraction: interpret each visualization in terms of operational efficiency, cost drivers, and bottlenecks.</w:t>
      </w:r>
    </w:p>
    <w:p>
      <w:pPr>
        <w:pStyle w:val="ListParagraph"/>
        <w:numPr>
          <w:ilvl w:val="0"/>
          <w:numId w:val="2"/>
        </w:numPr>
        <w:spacing w:after="100"/>
      </w:pPr>
      <w:r>
        <w:rPr>
          <w:rFonts w:ascii="Calibri" w:cs="Calibri" w:eastAsia="Calibri" w:hAnsi="Calibri"/>
          <w:color w:val="222B2B"/>
          <w:sz w:val="22"/>
          <w:szCs w:val="22"/>
        </w:rPr>
        <w:t xml:space="preserve">Documentation: consolidate methodology, code, and findings into this report.</w:t>
      </w:r>
    </w:p>
    <w:p>
      <w:pPr>
        <w:spacing w:after="160" w:line="276"/>
      </w:pPr>
      <w:r>
        <w:rPr>
          <w:rFonts w:ascii="Calibri" w:cs="Calibri" w:eastAsia="Calibri" w:hAnsi="Calibri"/>
          <w:color w:val="222B2B"/>
          <w:sz w:val="22"/>
          <w:szCs w:val="22"/>
        </w:rPr>
        <w:t xml:space="preserve">All code was written in Python 3 and executed in a reproducible script-based pipeline (01_simulate_data.py → 02_eda.py → 03_visualize.py).</w:t>
      </w:r>
    </w:p>
    <w:p>
      <w:pPr>
        <w:pStyle w:val="Heading1"/>
        <w:pBdr>
          <w:bottom w:val="single" w:color="D4A017" w:sz="12" w:space="6"/>
        </w:pBdr>
        <w:spacing w:after="200" w:before="480"/>
      </w:pPr>
      <w:r>
        <w:rPr>
          <w:rFonts w:ascii="Cambria" w:cs="Cambria" w:eastAsia="Cambria" w:hAnsi="Cambria"/>
          <w:b/>
          <w:bCs/>
          <w:color w:val="D4A017"/>
          <w:sz w:val="32"/>
          <w:szCs w:val="32"/>
        </w:rPr>
        <w:t xml:space="preserve">3.  </w:t>
      </w:r>
      <w:r>
        <w:rPr>
          <w:rFonts w:ascii="Cambria" w:cs="Cambria" w:eastAsia="Cambria" w:hAnsi="Cambria"/>
          <w:b/>
          <w:bCs/>
          <w:color w:val="0B5D57"/>
          <w:sz w:val="32"/>
          <w:szCs w:val="32"/>
        </w:rPr>
        <w:t xml:space="preserve">Data Simulation</w:t>
      </w:r>
    </w:p>
    <w:p>
      <w:pPr>
        <w:spacing w:after="160" w:line="276"/>
      </w:pPr>
      <w:r>
        <w:rPr>
          <w:rFonts w:ascii="Calibri" w:cs="Calibri" w:eastAsia="Calibri" w:hAnsi="Calibri"/>
          <w:color w:val="222B2B"/>
          <w:sz w:val="22"/>
          <w:szCs w:val="22"/>
        </w:rPr>
        <w:t xml:space="preserve">Because a live company dataset was not available, a hypothetical but statistically realistic dataset of 1,500 shipments was generated for calendar year 2025. Costs and delivery times were derived from each shipment's distance, transport mode, and volume, with added random noise and a deliberate peak-season congestion effect (November–December) to mimic real operational behavior.</w:t>
      </w:r>
    </w:p>
    <w:p>
      <w:pPr>
        <w:pStyle w:val="Heading2"/>
        <w:pBdr>
          <w:left w:val="single" w:color="E2725B" w:sz="18" w:space="8"/>
        </w:pBdr>
        <w:spacing w:after="150" w:before="320"/>
        <w:ind w:left="130"/>
      </w:pPr>
      <w:r>
        <w:rPr>
          <w:rFonts w:ascii="Cambria" w:cs="Cambria" w:eastAsia="Cambria" w:hAnsi="Cambria"/>
          <w:b/>
          <w:bCs/>
          <w:color w:val="1B3A4B"/>
          <w:sz w:val="25"/>
          <w:szCs w:val="25"/>
        </w:rPr>
        <w:t xml:space="preserve">3.1 Dataset Structure</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6300"/>
      </w:tblGrid>
      <w:tr>
        <w:trPr>
          <w:tblHeader/>
        </w:trPr>
        <w:tc>
          <w:tcPr>
            <w:tcW w:type="dxa" w:w="2600"/>
            <w:shd w:fill="0B5D57" w:val="clear"/>
            <w:tcMar>
              <w:top w:type="dxa" w:w="90"/>
              <w:left w:type="dxa" w:w="130"/>
              <w:bottom w:type="dxa" w:w="90"/>
              <w:right w:type="dxa" w:w="130"/>
            </w:tcMar>
          </w:tcPr>
          <w:p>
            <w:r>
              <w:rPr>
                <w:rFonts w:ascii="Cambria" w:cs="Cambria" w:eastAsia="Cambria" w:hAnsi="Cambria"/>
                <w:b/>
                <w:bCs/>
                <w:color w:val="FFFFFF"/>
                <w:sz w:val="20"/>
                <w:szCs w:val="20"/>
              </w:rPr>
              <w:t xml:space="preserve">Variable</w:t>
            </w:r>
          </w:p>
        </w:tc>
        <w:tc>
          <w:tcPr>
            <w:tcW w:type="dxa" w:w="1800"/>
            <w:shd w:fill="0B5D57" w:val="clear"/>
            <w:tcMar>
              <w:top w:type="dxa" w:w="90"/>
              <w:left w:type="dxa" w:w="130"/>
              <w:bottom w:type="dxa" w:w="90"/>
              <w:right w:type="dxa" w:w="130"/>
            </w:tcMar>
          </w:tcPr>
          <w:p>
            <w:r>
              <w:rPr>
                <w:rFonts w:ascii="Cambria" w:cs="Cambria" w:eastAsia="Cambria" w:hAnsi="Cambria"/>
                <w:b/>
                <w:bCs/>
                <w:color w:val="FFFFFF"/>
                <w:sz w:val="20"/>
                <w:szCs w:val="20"/>
              </w:rPr>
              <w:t xml:space="preserve">Type</w:t>
            </w:r>
          </w:p>
        </w:tc>
        <w:tc>
          <w:tcPr>
            <w:tcW w:type="dxa" w:w="6300"/>
            <w:shd w:fill="0B5D57" w:val="clear"/>
            <w:tcMar>
              <w:top w:type="dxa" w:w="90"/>
              <w:left w:type="dxa" w:w="130"/>
              <w:bottom w:type="dxa" w:w="90"/>
              <w:right w:type="dxa" w:w="130"/>
            </w:tcMar>
          </w:tcPr>
          <w:p>
            <w:r>
              <w:rPr>
                <w:rFonts w:ascii="Cambria" w:cs="Cambria" w:eastAsia="Cambria" w:hAnsi="Cambria"/>
                <w:b/>
                <w:bCs/>
                <w:color w:val="FFFFFF"/>
                <w:sz w:val="20"/>
                <w:szCs w:val="20"/>
              </w:rPr>
              <w:t xml:space="preserve">Description</w:t>
            </w:r>
          </w:p>
        </w:tc>
      </w:tr>
      <w:tr>
        <w:tc>
          <w:tcPr>
            <w:tcW w:type="dxa" w:w="2600"/>
            <w:shd w:fill="FFFFFF" w:val="clear"/>
            <w:tcMar>
              <w:top w:type="dxa" w:w="75"/>
              <w:left w:type="dxa" w:w="130"/>
              <w:bottom w:type="dxa" w:w="75"/>
              <w:right w:type="dxa" w:w="130"/>
            </w:tcMar>
          </w:tcPr>
          <w:p>
            <w:r>
              <w:rPr>
                <w:rFonts w:ascii="Calibri" w:cs="Calibri" w:eastAsia="Calibri" w:hAnsi="Calibri"/>
                <w:color w:val="222B2B"/>
                <w:sz w:val="19"/>
                <w:szCs w:val="19"/>
              </w:rPr>
              <w:t xml:space="preserve">shipment_id</w:t>
            </w:r>
          </w:p>
        </w:tc>
        <w:tc>
          <w:tcPr>
            <w:tcW w:type="dxa" w:w="1800"/>
            <w:shd w:fill="FFFFFF" w:val="clear"/>
            <w:tcMar>
              <w:top w:type="dxa" w:w="75"/>
              <w:left w:type="dxa" w:w="130"/>
              <w:bottom w:type="dxa" w:w="75"/>
              <w:right w:type="dxa" w:w="130"/>
            </w:tcMar>
          </w:tcPr>
          <w:p>
            <w:r>
              <w:rPr>
                <w:rFonts w:ascii="Calibri" w:cs="Calibri" w:eastAsia="Calibri" w:hAnsi="Calibri"/>
                <w:color w:val="222B2B"/>
                <w:sz w:val="19"/>
                <w:szCs w:val="19"/>
              </w:rPr>
              <w:t xml:space="preserve">String</w:t>
            </w:r>
          </w:p>
        </w:tc>
        <w:tc>
          <w:tcPr>
            <w:tcW w:type="dxa" w:w="6300"/>
            <w:shd w:fill="FFFFFF" w:val="clear"/>
            <w:tcMar>
              <w:top w:type="dxa" w:w="75"/>
              <w:left w:type="dxa" w:w="130"/>
              <w:bottom w:type="dxa" w:w="75"/>
              <w:right w:type="dxa" w:w="130"/>
            </w:tcMar>
          </w:tcPr>
          <w:p>
            <w:r>
              <w:rPr>
                <w:rFonts w:ascii="Calibri" w:cs="Calibri" w:eastAsia="Calibri" w:hAnsi="Calibri"/>
                <w:color w:val="222B2B"/>
                <w:sz w:val="19"/>
                <w:szCs w:val="19"/>
              </w:rPr>
              <w:t xml:space="preserve">Unique shipment identifier</w:t>
            </w:r>
          </w:p>
        </w:tc>
      </w:tr>
      <w:tr>
        <w:tc>
          <w:tcPr>
            <w:tcW w:type="dxa" w:w="2600"/>
            <w:shd w:fill="EAF5F1" w:val="clear"/>
            <w:tcMar>
              <w:top w:type="dxa" w:w="75"/>
              <w:left w:type="dxa" w:w="130"/>
              <w:bottom w:type="dxa" w:w="75"/>
              <w:right w:type="dxa" w:w="130"/>
            </w:tcMar>
          </w:tcPr>
          <w:p>
            <w:r>
              <w:rPr>
                <w:rFonts w:ascii="Calibri" w:cs="Calibri" w:eastAsia="Calibri" w:hAnsi="Calibri"/>
                <w:color w:val="222B2B"/>
                <w:sz w:val="19"/>
                <w:szCs w:val="19"/>
              </w:rPr>
              <w:t xml:space="preserve">ship_date</w:t>
            </w:r>
          </w:p>
        </w:tc>
        <w:tc>
          <w:tcPr>
            <w:tcW w:type="dxa" w:w="1800"/>
            <w:shd w:fill="EAF5F1" w:val="clear"/>
            <w:tcMar>
              <w:top w:type="dxa" w:w="75"/>
              <w:left w:type="dxa" w:w="130"/>
              <w:bottom w:type="dxa" w:w="75"/>
              <w:right w:type="dxa" w:w="130"/>
            </w:tcMar>
          </w:tcPr>
          <w:p>
            <w:r>
              <w:rPr>
                <w:rFonts w:ascii="Calibri" w:cs="Calibri" w:eastAsia="Calibri" w:hAnsi="Calibri"/>
                <w:color w:val="222B2B"/>
                <w:sz w:val="19"/>
                <w:szCs w:val="19"/>
              </w:rPr>
              <w:t xml:space="preserve">Date</w:t>
            </w:r>
          </w:p>
        </w:tc>
        <w:tc>
          <w:tcPr>
            <w:tcW w:type="dxa" w:w="6300"/>
            <w:shd w:fill="EAF5F1" w:val="clear"/>
            <w:tcMar>
              <w:top w:type="dxa" w:w="75"/>
              <w:left w:type="dxa" w:w="130"/>
              <w:bottom w:type="dxa" w:w="75"/>
              <w:right w:type="dxa" w:w="130"/>
            </w:tcMar>
          </w:tcPr>
          <w:p>
            <w:r>
              <w:rPr>
                <w:rFonts w:ascii="Calibri" w:cs="Calibri" w:eastAsia="Calibri" w:hAnsi="Calibri"/>
                <w:color w:val="222B2B"/>
                <w:sz w:val="19"/>
                <w:szCs w:val="19"/>
              </w:rPr>
              <w:t xml:space="preserve">Date shipment departed origin (Jan–Dec 2025)</w:t>
            </w:r>
          </w:p>
        </w:tc>
      </w:tr>
      <w:tr>
        <w:tc>
          <w:tcPr>
            <w:tcW w:type="dxa" w:w="2600"/>
            <w:shd w:fill="FFFFFF" w:val="clear"/>
            <w:tcMar>
              <w:top w:type="dxa" w:w="75"/>
              <w:left w:type="dxa" w:w="130"/>
              <w:bottom w:type="dxa" w:w="75"/>
              <w:right w:type="dxa" w:w="130"/>
            </w:tcMar>
          </w:tcPr>
          <w:p>
            <w:r>
              <w:rPr>
                <w:rFonts w:ascii="Calibri" w:cs="Calibri" w:eastAsia="Calibri" w:hAnsi="Calibri"/>
                <w:color w:val="222B2B"/>
                <w:sz w:val="19"/>
                <w:szCs w:val="19"/>
              </w:rPr>
              <w:t xml:space="preserve">region</w:t>
            </w:r>
          </w:p>
        </w:tc>
        <w:tc>
          <w:tcPr>
            <w:tcW w:type="dxa" w:w="1800"/>
            <w:shd w:fill="FFFFFF" w:val="clear"/>
            <w:tcMar>
              <w:top w:type="dxa" w:w="75"/>
              <w:left w:type="dxa" w:w="130"/>
              <w:bottom w:type="dxa" w:w="75"/>
              <w:right w:type="dxa" w:w="130"/>
            </w:tcMar>
          </w:tcPr>
          <w:p>
            <w:r>
              <w:rPr>
                <w:rFonts w:ascii="Calibri" w:cs="Calibri" w:eastAsia="Calibri" w:hAnsi="Calibri"/>
                <w:color w:val="222B2B"/>
                <w:sz w:val="19"/>
                <w:szCs w:val="19"/>
              </w:rPr>
              <w:t xml:space="preserve">Categorical</w:t>
            </w:r>
          </w:p>
        </w:tc>
        <w:tc>
          <w:tcPr>
            <w:tcW w:type="dxa" w:w="6300"/>
            <w:shd w:fill="FFFFFF" w:val="clear"/>
            <w:tcMar>
              <w:top w:type="dxa" w:w="75"/>
              <w:left w:type="dxa" w:w="130"/>
              <w:bottom w:type="dxa" w:w="75"/>
              <w:right w:type="dxa" w:w="130"/>
            </w:tcMar>
          </w:tcPr>
          <w:p>
            <w:r>
              <w:rPr>
                <w:rFonts w:ascii="Calibri" w:cs="Calibri" w:eastAsia="Calibri" w:hAnsi="Calibri"/>
                <w:color w:val="222B2B"/>
                <w:sz w:val="19"/>
                <w:szCs w:val="19"/>
              </w:rPr>
              <w:t xml:space="preserve">Destination region: North, South, East, West, Central</w:t>
            </w:r>
          </w:p>
        </w:tc>
      </w:tr>
      <w:tr>
        <w:tc>
          <w:tcPr>
            <w:tcW w:type="dxa" w:w="2600"/>
            <w:shd w:fill="EAF5F1" w:val="clear"/>
            <w:tcMar>
              <w:top w:type="dxa" w:w="75"/>
              <w:left w:type="dxa" w:w="130"/>
              <w:bottom w:type="dxa" w:w="75"/>
              <w:right w:type="dxa" w:w="130"/>
            </w:tcMar>
          </w:tcPr>
          <w:p>
            <w:r>
              <w:rPr>
                <w:rFonts w:ascii="Calibri" w:cs="Calibri" w:eastAsia="Calibri" w:hAnsi="Calibri"/>
                <w:color w:val="222B2B"/>
                <w:sz w:val="19"/>
                <w:szCs w:val="19"/>
              </w:rPr>
              <w:t xml:space="preserve">carrier</w:t>
            </w:r>
          </w:p>
        </w:tc>
        <w:tc>
          <w:tcPr>
            <w:tcW w:type="dxa" w:w="1800"/>
            <w:shd w:fill="EAF5F1" w:val="clear"/>
            <w:tcMar>
              <w:top w:type="dxa" w:w="75"/>
              <w:left w:type="dxa" w:w="130"/>
              <w:bottom w:type="dxa" w:w="75"/>
              <w:right w:type="dxa" w:w="130"/>
            </w:tcMar>
          </w:tcPr>
          <w:p>
            <w:r>
              <w:rPr>
                <w:rFonts w:ascii="Calibri" w:cs="Calibri" w:eastAsia="Calibri" w:hAnsi="Calibri"/>
                <w:color w:val="222B2B"/>
                <w:sz w:val="19"/>
                <w:szCs w:val="19"/>
              </w:rPr>
              <w:t xml:space="preserve">Categorical</w:t>
            </w:r>
          </w:p>
        </w:tc>
        <w:tc>
          <w:tcPr>
            <w:tcW w:type="dxa" w:w="6300"/>
            <w:shd w:fill="EAF5F1" w:val="clear"/>
            <w:tcMar>
              <w:top w:type="dxa" w:w="75"/>
              <w:left w:type="dxa" w:w="130"/>
              <w:bottom w:type="dxa" w:w="75"/>
              <w:right w:type="dxa" w:w="130"/>
            </w:tcMar>
          </w:tcPr>
          <w:p>
            <w:r>
              <w:rPr>
                <w:rFonts w:ascii="Calibri" w:cs="Calibri" w:eastAsia="Calibri" w:hAnsi="Calibri"/>
                <w:color w:val="222B2B"/>
                <w:sz w:val="19"/>
                <w:szCs w:val="19"/>
              </w:rPr>
              <w:t xml:space="preserve">Carrier company: A, B, C, D</w:t>
            </w:r>
          </w:p>
        </w:tc>
      </w:tr>
      <w:tr>
        <w:tc>
          <w:tcPr>
            <w:tcW w:type="dxa" w:w="2600"/>
            <w:shd w:fill="FFFFFF" w:val="clear"/>
            <w:tcMar>
              <w:top w:type="dxa" w:w="75"/>
              <w:left w:type="dxa" w:w="130"/>
              <w:bottom w:type="dxa" w:w="75"/>
              <w:right w:type="dxa" w:w="130"/>
            </w:tcMar>
          </w:tcPr>
          <w:p>
            <w:r>
              <w:rPr>
                <w:rFonts w:ascii="Calibri" w:cs="Calibri" w:eastAsia="Calibri" w:hAnsi="Calibri"/>
                <w:color w:val="222B2B"/>
                <w:sz w:val="19"/>
                <w:szCs w:val="19"/>
              </w:rPr>
              <w:t xml:space="preserve">mode</w:t>
            </w:r>
          </w:p>
        </w:tc>
        <w:tc>
          <w:tcPr>
            <w:tcW w:type="dxa" w:w="1800"/>
            <w:shd w:fill="FFFFFF" w:val="clear"/>
            <w:tcMar>
              <w:top w:type="dxa" w:w="75"/>
              <w:left w:type="dxa" w:w="130"/>
              <w:bottom w:type="dxa" w:w="75"/>
              <w:right w:type="dxa" w:w="130"/>
            </w:tcMar>
          </w:tcPr>
          <w:p>
            <w:r>
              <w:rPr>
                <w:rFonts w:ascii="Calibri" w:cs="Calibri" w:eastAsia="Calibri" w:hAnsi="Calibri"/>
                <w:color w:val="222B2B"/>
                <w:sz w:val="19"/>
                <w:szCs w:val="19"/>
              </w:rPr>
              <w:t xml:space="preserve">Categorical</w:t>
            </w:r>
          </w:p>
        </w:tc>
        <w:tc>
          <w:tcPr>
            <w:tcW w:type="dxa" w:w="6300"/>
            <w:shd w:fill="FFFFFF" w:val="clear"/>
            <w:tcMar>
              <w:top w:type="dxa" w:w="75"/>
              <w:left w:type="dxa" w:w="130"/>
              <w:bottom w:type="dxa" w:w="75"/>
              <w:right w:type="dxa" w:w="130"/>
            </w:tcMar>
          </w:tcPr>
          <w:p>
            <w:r>
              <w:rPr>
                <w:rFonts w:ascii="Calibri" w:cs="Calibri" w:eastAsia="Calibri" w:hAnsi="Calibri"/>
                <w:color w:val="222B2B"/>
                <w:sz w:val="19"/>
                <w:szCs w:val="19"/>
              </w:rPr>
              <w:t xml:space="preserve">Transport mode: Road, Rail, Air, Sea</w:t>
            </w:r>
          </w:p>
        </w:tc>
      </w:tr>
      <w:tr>
        <w:tc>
          <w:tcPr>
            <w:tcW w:type="dxa" w:w="2600"/>
            <w:shd w:fill="EAF5F1" w:val="clear"/>
            <w:tcMar>
              <w:top w:type="dxa" w:w="75"/>
              <w:left w:type="dxa" w:w="130"/>
              <w:bottom w:type="dxa" w:w="75"/>
              <w:right w:type="dxa" w:w="130"/>
            </w:tcMar>
          </w:tcPr>
          <w:p>
            <w:r>
              <w:rPr>
                <w:rFonts w:ascii="Calibri" w:cs="Calibri" w:eastAsia="Calibri" w:hAnsi="Calibri"/>
                <w:color w:val="222B2B"/>
                <w:sz w:val="19"/>
                <w:szCs w:val="19"/>
              </w:rPr>
              <w:t xml:space="preserve">distance_km</w:t>
            </w:r>
          </w:p>
        </w:tc>
        <w:tc>
          <w:tcPr>
            <w:tcW w:type="dxa" w:w="1800"/>
            <w:shd w:fill="EAF5F1" w:val="clear"/>
            <w:tcMar>
              <w:top w:type="dxa" w:w="75"/>
              <w:left w:type="dxa" w:w="130"/>
              <w:bottom w:type="dxa" w:w="75"/>
              <w:right w:type="dxa" w:w="130"/>
            </w:tcMar>
          </w:tcPr>
          <w:p>
            <w:r>
              <w:rPr>
                <w:rFonts w:ascii="Calibri" w:cs="Calibri" w:eastAsia="Calibri" w:hAnsi="Calibri"/>
                <w:color w:val="222B2B"/>
                <w:sz w:val="19"/>
                <w:szCs w:val="19"/>
              </w:rPr>
              <w:t xml:space="preserve">Numeric</w:t>
            </w:r>
          </w:p>
        </w:tc>
        <w:tc>
          <w:tcPr>
            <w:tcW w:type="dxa" w:w="6300"/>
            <w:shd w:fill="EAF5F1" w:val="clear"/>
            <w:tcMar>
              <w:top w:type="dxa" w:w="75"/>
              <w:left w:type="dxa" w:w="130"/>
              <w:bottom w:type="dxa" w:w="75"/>
              <w:right w:type="dxa" w:w="130"/>
            </w:tcMar>
          </w:tcPr>
          <w:p>
            <w:r>
              <w:rPr>
                <w:rFonts w:ascii="Calibri" w:cs="Calibri" w:eastAsia="Calibri" w:hAnsi="Calibri"/>
                <w:color w:val="222B2B"/>
                <w:sz w:val="19"/>
                <w:szCs w:val="19"/>
              </w:rPr>
              <w:t xml:space="preserve">Shipment distance in kilometers</w:t>
            </w:r>
          </w:p>
        </w:tc>
      </w:tr>
      <w:tr>
        <w:tc>
          <w:tcPr>
            <w:tcW w:type="dxa" w:w="2600"/>
            <w:shd w:fill="FFFFFF" w:val="clear"/>
            <w:tcMar>
              <w:top w:type="dxa" w:w="75"/>
              <w:left w:type="dxa" w:w="130"/>
              <w:bottom w:type="dxa" w:w="75"/>
              <w:right w:type="dxa" w:w="130"/>
            </w:tcMar>
          </w:tcPr>
          <w:p>
            <w:r>
              <w:rPr>
                <w:rFonts w:ascii="Calibri" w:cs="Calibri" w:eastAsia="Calibri" w:hAnsi="Calibri"/>
                <w:color w:val="222B2B"/>
                <w:sz w:val="19"/>
                <w:szCs w:val="19"/>
              </w:rPr>
              <w:t xml:space="preserve">shipment_volume_kg</w:t>
            </w:r>
          </w:p>
        </w:tc>
        <w:tc>
          <w:tcPr>
            <w:tcW w:type="dxa" w:w="1800"/>
            <w:shd w:fill="FFFFFF" w:val="clear"/>
            <w:tcMar>
              <w:top w:type="dxa" w:w="75"/>
              <w:left w:type="dxa" w:w="130"/>
              <w:bottom w:type="dxa" w:w="75"/>
              <w:right w:type="dxa" w:w="130"/>
            </w:tcMar>
          </w:tcPr>
          <w:p>
            <w:r>
              <w:rPr>
                <w:rFonts w:ascii="Calibri" w:cs="Calibri" w:eastAsia="Calibri" w:hAnsi="Calibri"/>
                <w:color w:val="222B2B"/>
                <w:sz w:val="19"/>
                <w:szCs w:val="19"/>
              </w:rPr>
              <w:t xml:space="preserve">Numeric</w:t>
            </w:r>
          </w:p>
        </w:tc>
        <w:tc>
          <w:tcPr>
            <w:tcW w:type="dxa" w:w="6300"/>
            <w:shd w:fill="FFFFFF" w:val="clear"/>
            <w:tcMar>
              <w:top w:type="dxa" w:w="75"/>
              <w:left w:type="dxa" w:w="130"/>
              <w:bottom w:type="dxa" w:w="75"/>
              <w:right w:type="dxa" w:w="130"/>
            </w:tcMar>
          </w:tcPr>
          <w:p>
            <w:r>
              <w:rPr>
                <w:rFonts w:ascii="Calibri" w:cs="Calibri" w:eastAsia="Calibri" w:hAnsi="Calibri"/>
                <w:color w:val="222B2B"/>
                <w:sz w:val="19"/>
                <w:szCs w:val="19"/>
              </w:rPr>
              <w:t xml:space="preserve">Shipment weight in kilograms</w:t>
            </w:r>
          </w:p>
        </w:tc>
      </w:tr>
      <w:tr>
        <w:tc>
          <w:tcPr>
            <w:tcW w:type="dxa" w:w="2600"/>
            <w:shd w:fill="EAF5F1" w:val="clear"/>
            <w:tcMar>
              <w:top w:type="dxa" w:w="75"/>
              <w:left w:type="dxa" w:w="130"/>
              <w:bottom w:type="dxa" w:w="75"/>
              <w:right w:type="dxa" w:w="130"/>
            </w:tcMar>
          </w:tcPr>
          <w:p>
            <w:r>
              <w:rPr>
                <w:rFonts w:ascii="Calibri" w:cs="Calibri" w:eastAsia="Calibri" w:hAnsi="Calibri"/>
                <w:color w:val="222B2B"/>
                <w:sz w:val="19"/>
                <w:szCs w:val="19"/>
              </w:rPr>
              <w:t xml:space="preserve">transportation_cost_usd</w:t>
            </w:r>
          </w:p>
        </w:tc>
        <w:tc>
          <w:tcPr>
            <w:tcW w:type="dxa" w:w="1800"/>
            <w:shd w:fill="EAF5F1" w:val="clear"/>
            <w:tcMar>
              <w:top w:type="dxa" w:w="75"/>
              <w:left w:type="dxa" w:w="130"/>
              <w:bottom w:type="dxa" w:w="75"/>
              <w:right w:type="dxa" w:w="130"/>
            </w:tcMar>
          </w:tcPr>
          <w:p>
            <w:r>
              <w:rPr>
                <w:rFonts w:ascii="Calibri" w:cs="Calibri" w:eastAsia="Calibri" w:hAnsi="Calibri"/>
                <w:color w:val="222B2B"/>
                <w:sz w:val="19"/>
                <w:szCs w:val="19"/>
              </w:rPr>
              <w:t xml:space="preserve">Numeric</w:t>
            </w:r>
          </w:p>
        </w:tc>
        <w:tc>
          <w:tcPr>
            <w:tcW w:type="dxa" w:w="6300"/>
            <w:shd w:fill="EAF5F1" w:val="clear"/>
            <w:tcMar>
              <w:top w:type="dxa" w:w="75"/>
              <w:left w:type="dxa" w:w="130"/>
              <w:bottom w:type="dxa" w:w="75"/>
              <w:right w:type="dxa" w:w="130"/>
            </w:tcMar>
          </w:tcPr>
          <w:p>
            <w:r>
              <w:rPr>
                <w:rFonts w:ascii="Calibri" w:cs="Calibri" w:eastAsia="Calibri" w:hAnsi="Calibri"/>
                <w:color w:val="222B2B"/>
                <w:sz w:val="19"/>
                <w:szCs w:val="19"/>
              </w:rPr>
              <w:t xml:space="preserve">Total cost to move the shipment</w:t>
            </w:r>
          </w:p>
        </w:tc>
      </w:tr>
      <w:tr>
        <w:tc>
          <w:tcPr>
            <w:tcW w:type="dxa" w:w="2600"/>
            <w:shd w:fill="FFFFFF" w:val="clear"/>
            <w:tcMar>
              <w:top w:type="dxa" w:w="75"/>
              <w:left w:type="dxa" w:w="130"/>
              <w:bottom w:type="dxa" w:w="75"/>
              <w:right w:type="dxa" w:w="130"/>
            </w:tcMar>
          </w:tcPr>
          <w:p>
            <w:r>
              <w:rPr>
                <w:rFonts w:ascii="Calibri" w:cs="Calibri" w:eastAsia="Calibri" w:hAnsi="Calibri"/>
                <w:color w:val="222B2B"/>
                <w:sz w:val="19"/>
                <w:szCs w:val="19"/>
              </w:rPr>
              <w:t xml:space="preserve">fuel_surcharge_pct</w:t>
            </w:r>
          </w:p>
        </w:tc>
        <w:tc>
          <w:tcPr>
            <w:tcW w:type="dxa" w:w="1800"/>
            <w:shd w:fill="FFFFFF" w:val="clear"/>
            <w:tcMar>
              <w:top w:type="dxa" w:w="75"/>
              <w:left w:type="dxa" w:w="130"/>
              <w:bottom w:type="dxa" w:w="75"/>
              <w:right w:type="dxa" w:w="130"/>
            </w:tcMar>
          </w:tcPr>
          <w:p>
            <w:r>
              <w:rPr>
                <w:rFonts w:ascii="Calibri" w:cs="Calibri" w:eastAsia="Calibri" w:hAnsi="Calibri"/>
                <w:color w:val="222B2B"/>
                <w:sz w:val="19"/>
                <w:szCs w:val="19"/>
              </w:rPr>
              <w:t xml:space="preserve">Numeric</w:t>
            </w:r>
          </w:p>
        </w:tc>
        <w:tc>
          <w:tcPr>
            <w:tcW w:type="dxa" w:w="6300"/>
            <w:shd w:fill="FFFFFF" w:val="clear"/>
            <w:tcMar>
              <w:top w:type="dxa" w:w="75"/>
              <w:left w:type="dxa" w:w="130"/>
              <w:bottom w:type="dxa" w:w="75"/>
              <w:right w:type="dxa" w:w="130"/>
            </w:tcMar>
          </w:tcPr>
          <w:p>
            <w:r>
              <w:rPr>
                <w:rFonts w:ascii="Calibri" w:cs="Calibri" w:eastAsia="Calibri" w:hAnsi="Calibri"/>
                <w:color w:val="222B2B"/>
                <w:sz w:val="19"/>
                <w:szCs w:val="19"/>
              </w:rPr>
              <w:t xml:space="preserve">Fuel surcharge applied to base cost</w:t>
            </w:r>
          </w:p>
        </w:tc>
      </w:tr>
      <w:tr>
        <w:tc>
          <w:tcPr>
            <w:tcW w:type="dxa" w:w="2600"/>
            <w:shd w:fill="EAF5F1" w:val="clear"/>
            <w:tcMar>
              <w:top w:type="dxa" w:w="75"/>
              <w:left w:type="dxa" w:w="130"/>
              <w:bottom w:type="dxa" w:w="75"/>
              <w:right w:type="dxa" w:w="130"/>
            </w:tcMar>
          </w:tcPr>
          <w:p>
            <w:r>
              <w:rPr>
                <w:rFonts w:ascii="Calibri" w:cs="Calibri" w:eastAsia="Calibri" w:hAnsi="Calibri"/>
                <w:color w:val="222B2B"/>
                <w:sz w:val="19"/>
                <w:szCs w:val="19"/>
              </w:rPr>
              <w:t xml:space="preserve">planned_delivery_days</w:t>
            </w:r>
          </w:p>
        </w:tc>
        <w:tc>
          <w:tcPr>
            <w:tcW w:type="dxa" w:w="1800"/>
            <w:shd w:fill="EAF5F1" w:val="clear"/>
            <w:tcMar>
              <w:top w:type="dxa" w:w="75"/>
              <w:left w:type="dxa" w:w="130"/>
              <w:bottom w:type="dxa" w:w="75"/>
              <w:right w:type="dxa" w:w="130"/>
            </w:tcMar>
          </w:tcPr>
          <w:p>
            <w:r>
              <w:rPr>
                <w:rFonts w:ascii="Calibri" w:cs="Calibri" w:eastAsia="Calibri" w:hAnsi="Calibri"/>
                <w:color w:val="222B2B"/>
                <w:sz w:val="19"/>
                <w:szCs w:val="19"/>
              </w:rPr>
              <w:t xml:space="preserve">Integer</w:t>
            </w:r>
          </w:p>
        </w:tc>
        <w:tc>
          <w:tcPr>
            <w:tcW w:type="dxa" w:w="6300"/>
            <w:shd w:fill="EAF5F1" w:val="clear"/>
            <w:tcMar>
              <w:top w:type="dxa" w:w="75"/>
              <w:left w:type="dxa" w:w="130"/>
              <w:bottom w:type="dxa" w:w="75"/>
              <w:right w:type="dxa" w:w="130"/>
            </w:tcMar>
          </w:tcPr>
          <w:p>
            <w:r>
              <w:rPr>
                <w:rFonts w:ascii="Calibri" w:cs="Calibri" w:eastAsia="Calibri" w:hAnsi="Calibri"/>
                <w:color w:val="222B2B"/>
                <w:sz w:val="19"/>
                <w:szCs w:val="19"/>
              </w:rPr>
              <w:t xml:space="preserve">Contracted transit time</w:t>
            </w:r>
          </w:p>
        </w:tc>
      </w:tr>
      <w:tr>
        <w:tc>
          <w:tcPr>
            <w:tcW w:type="dxa" w:w="2600"/>
            <w:shd w:fill="FFFFFF" w:val="clear"/>
            <w:tcMar>
              <w:top w:type="dxa" w:w="75"/>
              <w:left w:type="dxa" w:w="130"/>
              <w:bottom w:type="dxa" w:w="75"/>
              <w:right w:type="dxa" w:w="130"/>
            </w:tcMar>
          </w:tcPr>
          <w:p>
            <w:r>
              <w:rPr>
                <w:rFonts w:ascii="Calibri" w:cs="Calibri" w:eastAsia="Calibri" w:hAnsi="Calibri"/>
                <w:color w:val="222B2B"/>
                <w:sz w:val="19"/>
                <w:szCs w:val="19"/>
              </w:rPr>
              <w:t xml:space="preserve">actual_delivery_days</w:t>
            </w:r>
          </w:p>
        </w:tc>
        <w:tc>
          <w:tcPr>
            <w:tcW w:type="dxa" w:w="1800"/>
            <w:shd w:fill="FFFFFF" w:val="clear"/>
            <w:tcMar>
              <w:top w:type="dxa" w:w="75"/>
              <w:left w:type="dxa" w:w="130"/>
              <w:bottom w:type="dxa" w:w="75"/>
              <w:right w:type="dxa" w:w="130"/>
            </w:tcMar>
          </w:tcPr>
          <w:p>
            <w:r>
              <w:rPr>
                <w:rFonts w:ascii="Calibri" w:cs="Calibri" w:eastAsia="Calibri" w:hAnsi="Calibri"/>
                <w:color w:val="222B2B"/>
                <w:sz w:val="19"/>
                <w:szCs w:val="19"/>
              </w:rPr>
              <w:t xml:space="preserve">Integer</w:t>
            </w:r>
          </w:p>
        </w:tc>
        <w:tc>
          <w:tcPr>
            <w:tcW w:type="dxa" w:w="6300"/>
            <w:shd w:fill="FFFFFF" w:val="clear"/>
            <w:tcMar>
              <w:top w:type="dxa" w:w="75"/>
              <w:left w:type="dxa" w:w="130"/>
              <w:bottom w:type="dxa" w:w="75"/>
              <w:right w:type="dxa" w:w="130"/>
            </w:tcMar>
          </w:tcPr>
          <w:p>
            <w:r>
              <w:rPr>
                <w:rFonts w:ascii="Calibri" w:cs="Calibri" w:eastAsia="Calibri" w:hAnsi="Calibri"/>
                <w:color w:val="222B2B"/>
                <w:sz w:val="19"/>
                <w:szCs w:val="19"/>
              </w:rPr>
              <w:t xml:space="preserve">Observed transit time</w:t>
            </w:r>
          </w:p>
        </w:tc>
      </w:tr>
      <w:tr>
        <w:tc>
          <w:tcPr>
            <w:tcW w:type="dxa" w:w="2600"/>
            <w:shd w:fill="EAF5F1" w:val="clear"/>
            <w:tcMar>
              <w:top w:type="dxa" w:w="75"/>
              <w:left w:type="dxa" w:w="130"/>
              <w:bottom w:type="dxa" w:w="75"/>
              <w:right w:type="dxa" w:w="130"/>
            </w:tcMar>
          </w:tcPr>
          <w:p>
            <w:r>
              <w:rPr>
                <w:rFonts w:ascii="Calibri" w:cs="Calibri" w:eastAsia="Calibri" w:hAnsi="Calibri"/>
                <w:color w:val="222B2B"/>
                <w:sz w:val="19"/>
                <w:szCs w:val="19"/>
              </w:rPr>
              <w:t xml:space="preserve">delay_days / delayed</w:t>
            </w:r>
          </w:p>
        </w:tc>
        <w:tc>
          <w:tcPr>
            <w:tcW w:type="dxa" w:w="1800"/>
            <w:shd w:fill="EAF5F1" w:val="clear"/>
            <w:tcMar>
              <w:top w:type="dxa" w:w="75"/>
              <w:left w:type="dxa" w:w="130"/>
              <w:bottom w:type="dxa" w:w="75"/>
              <w:right w:type="dxa" w:w="130"/>
            </w:tcMar>
          </w:tcPr>
          <w:p>
            <w:r>
              <w:rPr>
                <w:rFonts w:ascii="Calibri" w:cs="Calibri" w:eastAsia="Calibri" w:hAnsi="Calibri"/>
                <w:color w:val="222B2B"/>
                <w:sz w:val="19"/>
                <w:szCs w:val="19"/>
              </w:rPr>
              <w:t xml:space="preserve">Integer / Boolean</w:t>
            </w:r>
          </w:p>
        </w:tc>
        <w:tc>
          <w:tcPr>
            <w:tcW w:type="dxa" w:w="6300"/>
            <w:shd w:fill="EAF5F1" w:val="clear"/>
            <w:tcMar>
              <w:top w:type="dxa" w:w="75"/>
              <w:left w:type="dxa" w:w="130"/>
              <w:bottom w:type="dxa" w:w="75"/>
              <w:right w:type="dxa" w:w="130"/>
            </w:tcMar>
          </w:tcPr>
          <w:p>
            <w:r>
              <w:rPr>
                <w:rFonts w:ascii="Calibri" w:cs="Calibri" w:eastAsia="Calibri" w:hAnsi="Calibri"/>
                <w:color w:val="222B2B"/>
                <w:sz w:val="19"/>
                <w:szCs w:val="19"/>
              </w:rPr>
              <w:t xml:space="preserve">actual − planned; delay flag</w:t>
            </w:r>
          </w:p>
        </w:tc>
      </w:tr>
    </w:tbl>
    <w:p>
      <w:pPr>
        <w:spacing w:after="200"/>
      </w:pPr>
    </w:p>
    <w:p>
      <w:pPr>
        <w:pStyle w:val="Heading2"/>
        <w:pBdr>
          <w:left w:val="single" w:color="E2725B" w:sz="18" w:space="8"/>
        </w:pBdr>
        <w:spacing w:after="150" w:before="320"/>
        <w:ind w:left="130"/>
      </w:pPr>
      <w:r>
        <w:rPr>
          <w:rFonts w:ascii="Cambria" w:cs="Cambria" w:eastAsia="Cambria" w:hAnsi="Cambria"/>
          <w:b/>
          <w:bCs/>
          <w:color w:val="1B3A4B"/>
          <w:sz w:val="25"/>
          <w:szCs w:val="25"/>
        </w:rPr>
        <w:t xml:space="preserve">3.2 Simulation Code (excerpt)</w:t>
      </w:r>
    </w:p>
    <w:p>
      <w:pPr>
        <w:spacing w:after="160" w:line="276"/>
      </w:pPr>
      <w:r>
        <w:rPr>
          <w:rFonts w:ascii="Calibri" w:cs="Calibri" w:eastAsia="Calibri" w:hAnsi="Calibri"/>
          <w:color w:val="222B2B"/>
          <w:sz w:val="22"/>
          <w:szCs w:val="22"/>
        </w:rPr>
        <w:t xml:space="preserve">The excerpt below shows how mode-specific cost and speed parameters were used to generate correlated, realistic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D4A017" w:sz="24"/>
            </w:tcBorders>
            <w:shd w:fill="1E2B2A" w:val="clear"/>
            <w:tcMar>
              <w:top w:type="dxa" w:w="140"/>
              <w:left w:type="dxa" w:w="200"/>
              <w:bottom w:type="dxa" w:w="140"/>
              <w:right w:type="dxa" w:w="200"/>
            </w:tcMar>
          </w:tcPr>
          <w:p>
            <w:pPr>
              <w:spacing w:after="20"/>
            </w:pPr>
            <w:r>
              <w:rPr>
                <w:rFonts w:ascii="Consolas" w:cs="Consolas" w:eastAsia="Consolas" w:hAnsi="Consolas"/>
                <w:color w:val="E8F5F0"/>
                <w:sz w:val="18"/>
                <w:szCs w:val="18"/>
              </w:rPr>
              <w:t xml:space="preserve">mode_params = {</w:t>
            </w:r>
          </w:p>
          <w:p>
            <w:pPr>
              <w:spacing w:after="20"/>
            </w:pPr>
            <w:r>
              <w:rPr>
                <w:rFonts w:ascii="Consolas" w:cs="Consolas" w:eastAsia="Consolas" w:hAnsi="Consolas"/>
                <w:color w:val="E8F5F0"/>
                <w:sz w:val="18"/>
                <w:szCs w:val="18"/>
              </w:rPr>
              <w:t xml:space="preserve">    "Road": {"cost_per_km": 0.85, "speed_kmpd": 550, "time_noise": 0.7},</w:t>
            </w:r>
          </w:p>
          <w:p>
            <w:pPr>
              <w:spacing w:after="20"/>
            </w:pPr>
            <w:r>
              <w:rPr>
                <w:rFonts w:ascii="Consolas" w:cs="Consolas" w:eastAsia="Consolas" w:hAnsi="Consolas"/>
                <w:color w:val="E8F5F0"/>
                <w:sz w:val="18"/>
                <w:szCs w:val="18"/>
              </w:rPr>
              <w:t xml:space="preserve">    "Rail": {"cost_per_km": 0.45, "speed_kmpd": 400, "time_noise": 1.0},</w:t>
            </w:r>
          </w:p>
          <w:p>
            <w:pPr>
              <w:spacing w:after="20"/>
            </w:pPr>
            <w:r>
              <w:rPr>
                <w:rFonts w:ascii="Consolas" w:cs="Consolas" w:eastAsia="Consolas" w:hAnsi="Consolas"/>
                <w:color w:val="E8F5F0"/>
                <w:sz w:val="18"/>
                <w:szCs w:val="18"/>
              </w:rPr>
              <w:t xml:space="preserve">    "Air":  {"cost_per_km": 3.20, "speed_kmpd": 3000, "time_noise": 0.4},</w:t>
            </w:r>
          </w:p>
          <w:p>
            <w:pPr>
              <w:spacing w:after="20"/>
            </w:pPr>
            <w:r>
              <w:rPr>
                <w:rFonts w:ascii="Consolas" w:cs="Consolas" w:eastAsia="Consolas" w:hAnsi="Consolas"/>
                <w:color w:val="E8F5F0"/>
                <w:sz w:val="18"/>
                <w:szCs w:val="18"/>
              </w:rPr>
              <w:t xml:space="preserve">    "Sea":  {"cost_per_km": 0.20, "speed_kmpd": 300, "time_noise": 1.8},</w:t>
            </w:r>
          </w:p>
          <w:p>
            <w:pPr>
              <w:spacing w:after="20"/>
            </w:pPr>
            <w:r>
              <w:rPr>
                <w:rFonts w:ascii="Consolas" w:cs="Consolas" w:eastAsia="Consolas" w:hAnsi="Consolas"/>
                <w:color w:val="E8F5F0"/>
                <w:sz w:val="18"/>
                <w:szCs w:val="18"/>
              </w:rPr>
              <w:t xml:space="preserve">}</w:t>
            </w:r>
          </w:p>
          <w:p>
            <w:pPr>
              <w:spacing w:after="20"/>
            </w:pPr>
            <w:r>
              <w:rPr>
                <w:rFonts w:ascii="Consolas" w:cs="Consolas" w:eastAsia="Consolas" w:hAnsi="Consolas"/>
                <w:color w:val="E8F5F0"/>
                <w:sz w:val="18"/>
                <w:szCs w:val="18"/>
              </w:rPr>
              <w:t xml:space="preserve"/>
            </w:r>
          </w:p>
          <w:p>
            <w:pPr>
              <w:spacing w:after="20"/>
            </w:pPr>
            <w:r>
              <w:rPr>
                <w:rFonts w:ascii="Consolas" w:cs="Consolas" w:eastAsia="Consolas" w:hAnsi="Consolas"/>
                <w:color w:val="E8F5F0"/>
                <w:sz w:val="18"/>
                <w:szCs w:val="18"/>
              </w:rPr>
              <w:t xml:space="preserve">base_cost = distance_km * params["cost_per_km"]</w:t>
            </w:r>
          </w:p>
          <w:p>
            <w:pPr>
              <w:spacing w:after="20"/>
            </w:pPr>
            <w:r>
              <w:rPr>
                <w:rFonts w:ascii="Consolas" w:cs="Consolas" w:eastAsia="Consolas" w:hAnsi="Consolas"/>
                <w:color w:val="E8F5F0"/>
                <w:sz w:val="18"/>
                <w:szCs w:val="18"/>
              </w:rPr>
              <w:t xml:space="preserve">volume_cost = shipment_volume_kg * 0.35</w:t>
            </w:r>
          </w:p>
          <w:p>
            <w:pPr>
              <w:spacing w:after="20"/>
            </w:pPr>
            <w:r>
              <w:rPr>
                <w:rFonts w:ascii="Consolas" w:cs="Consolas" w:eastAsia="Consolas" w:hAnsi="Consolas"/>
                <w:color w:val="E8F5F0"/>
                <w:sz w:val="18"/>
                <w:szCs w:val="18"/>
              </w:rPr>
              <w:t xml:space="preserve">transportation_cost_usd = (base_cost + volume_cost) * cost_noise</w:t>
            </w:r>
          </w:p>
          <w:p>
            <w:pPr>
              <w:spacing w:after="20"/>
            </w:pPr>
            <w:r>
              <w:rPr>
                <w:rFonts w:ascii="Consolas" w:cs="Consolas" w:eastAsia="Consolas" w:hAnsi="Consolas"/>
                <w:color w:val="E8F5F0"/>
                <w:sz w:val="18"/>
                <w:szCs w:val="18"/>
              </w:rPr>
              <w:t xml:space="preserve"/>
            </w:r>
          </w:p>
          <w:p>
            <w:pPr>
              <w:spacing w:after="20"/>
            </w:pPr>
            <w:r>
              <w:rPr>
                <w:rFonts w:ascii="Consolas" w:cs="Consolas" w:eastAsia="Consolas" w:hAnsi="Consolas"/>
                <w:color w:val="E8F5F0"/>
                <w:sz w:val="18"/>
                <w:szCs w:val="18"/>
              </w:rPr>
              <w:t xml:space="preserve">planned_delivery_days = distance_km / params["speed_kmpd"] + 1</w:t>
            </w:r>
          </w:p>
          <w:p>
            <w:pPr>
              <w:spacing w:after="20"/>
            </w:pPr>
            <w:r>
              <w:rPr>
                <w:rFonts w:ascii="Consolas" w:cs="Consolas" w:eastAsia="Consolas" w:hAnsi="Consolas"/>
                <w:color w:val="E8F5F0"/>
                <w:sz w:val="18"/>
                <w:szCs w:val="18"/>
              </w:rPr>
              <w:t xml:space="preserve">peak_penalty = 0.8 if ship_date.month in (11, 12) else 0        # holiday-season congestion</w:t>
            </w:r>
          </w:p>
          <w:p>
            <w:pPr>
              <w:spacing w:after="20"/>
            </w:pPr>
            <w:r>
              <w:rPr>
                <w:rFonts w:ascii="Consolas" w:cs="Consolas" w:eastAsia="Consolas" w:hAnsi="Consolas"/>
                <w:color w:val="E8F5F0"/>
                <w:sz w:val="18"/>
                <w:szCs w:val="18"/>
              </w:rPr>
              <w:t xml:space="preserve">congestion_penalty = 0.5 if mode == "Road" else 0               # road traffic variability</w:t>
            </w:r>
          </w:p>
          <w:p>
            <w:pPr>
              <w:spacing w:after="20"/>
            </w:pPr>
            <w:r>
              <w:rPr>
                <w:rFonts w:ascii="Consolas" w:cs="Consolas" w:eastAsia="Consolas" w:hAnsi="Consolas"/>
                <w:color w:val="E8F5F0"/>
                <w:sz w:val="18"/>
                <w:szCs w:val="18"/>
              </w:rPr>
              <w:t xml:space="preserve">actual_delivery_days = planned_delivery_days + time_noise + peak_penalty + congestion_penalty</w:t>
            </w:r>
          </w:p>
        </w:tc>
      </w:tr>
    </w:tbl>
    <w:p>
      <w:pPr>
        <w:pStyle w:val="Heading1"/>
        <w:pBdr>
          <w:bottom w:val="single" w:color="D4A017" w:sz="12" w:space="6"/>
        </w:pBdr>
        <w:spacing w:after="200" w:before="480"/>
      </w:pPr>
      <w:r>
        <w:rPr>
          <w:rFonts w:ascii="Cambria" w:cs="Cambria" w:eastAsia="Cambria" w:hAnsi="Cambria"/>
          <w:b/>
          <w:bCs/>
          <w:color w:val="D4A017"/>
          <w:sz w:val="32"/>
          <w:szCs w:val="32"/>
        </w:rPr>
        <w:t xml:space="preserve">4.  </w:t>
      </w:r>
      <w:r>
        <w:rPr>
          <w:rFonts w:ascii="Cambria" w:cs="Cambria" w:eastAsia="Cambria" w:hAnsi="Cambria"/>
          <w:b/>
          <w:bCs/>
          <w:color w:val="0B5D57"/>
          <w:sz w:val="32"/>
          <w:szCs w:val="32"/>
        </w:rPr>
        <w:t xml:space="preserve">Exploratory Data Analysis</w:t>
      </w:r>
    </w:p>
    <w:p>
      <w:pPr>
        <w:pStyle w:val="Heading2"/>
        <w:pBdr>
          <w:left w:val="single" w:color="E2725B" w:sz="18" w:space="8"/>
        </w:pBdr>
        <w:spacing w:after="150" w:before="320"/>
        <w:ind w:left="130"/>
      </w:pPr>
      <w:r>
        <w:rPr>
          <w:rFonts w:ascii="Cambria" w:cs="Cambria" w:eastAsia="Cambria" w:hAnsi="Cambria"/>
          <w:b/>
          <w:bCs/>
          <w:color w:val="1B3A4B"/>
          <w:sz w:val="25"/>
          <w:szCs w:val="25"/>
        </w:rPr>
        <w:t xml:space="preserve">4.1 Central Tendency and Spread</w:t>
      </w:r>
    </w:p>
    <w:p>
      <w:pPr>
        <w:spacing w:after="160" w:line="276"/>
      </w:pPr>
      <w:r>
        <w:rPr>
          <w:rFonts w:ascii="Calibri" w:cs="Calibri" w:eastAsia="Calibri" w:hAnsi="Calibri"/>
          <w:color w:val="222B2B"/>
          <w:sz w:val="22"/>
          <w:szCs w:val="22"/>
        </w:rPr>
        <w:t xml:space="preserve">Descriptive statistics for the core numeric variables (rounded to two decimals):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gridCol w:w="1600"/>
      </w:tblGrid>
      <w:tr>
        <w:trPr>
          <w:tblHeader/>
        </w:trPr>
        <w:tc>
          <w:tcPr>
            <w:tcW w:type="dxa" w:w="3000"/>
            <w:shd w:fill="0B5D57" w:val="clear"/>
            <w:tcMar>
              <w:top w:type="dxa" w:w="90"/>
              <w:left w:type="dxa" w:w="130"/>
              <w:bottom w:type="dxa" w:w="90"/>
              <w:right w:type="dxa" w:w="130"/>
            </w:tcMar>
          </w:tcPr>
          <w:p>
            <w:r>
              <w:rPr>
                <w:rFonts w:ascii="Cambria" w:cs="Cambria" w:eastAsia="Cambria" w:hAnsi="Cambria"/>
                <w:b/>
                <w:bCs/>
                <w:color w:val="FFFFFF"/>
                <w:sz w:val="20"/>
                <w:szCs w:val="20"/>
              </w:rPr>
              <w:t xml:space="preserve">Variable</w:t>
            </w:r>
          </w:p>
        </w:tc>
        <w:tc>
          <w:tcPr>
            <w:tcW w:type="dxa" w:w="1700"/>
            <w:shd w:fill="0B5D57" w:val="clear"/>
            <w:tcMar>
              <w:top w:type="dxa" w:w="90"/>
              <w:left w:type="dxa" w:w="130"/>
              <w:bottom w:type="dxa" w:w="90"/>
              <w:right w:type="dxa" w:w="130"/>
            </w:tcMar>
          </w:tcPr>
          <w:p>
            <w:r>
              <w:rPr>
                <w:rFonts w:ascii="Cambria" w:cs="Cambria" w:eastAsia="Cambria" w:hAnsi="Cambria"/>
                <w:b/>
                <w:bCs/>
                <w:color w:val="FFFFFF"/>
                <w:sz w:val="20"/>
                <w:szCs w:val="20"/>
              </w:rPr>
              <w:t xml:space="preserve">Mean</w:t>
            </w:r>
          </w:p>
        </w:tc>
        <w:tc>
          <w:tcPr>
            <w:tcW w:type="dxa" w:w="1700"/>
            <w:shd w:fill="0B5D57" w:val="clear"/>
            <w:tcMar>
              <w:top w:type="dxa" w:w="90"/>
              <w:left w:type="dxa" w:w="130"/>
              <w:bottom w:type="dxa" w:w="90"/>
              <w:right w:type="dxa" w:w="130"/>
            </w:tcMar>
          </w:tcPr>
          <w:p>
            <w:r>
              <w:rPr>
                <w:rFonts w:ascii="Cambria" w:cs="Cambria" w:eastAsia="Cambria" w:hAnsi="Cambria"/>
                <w:b/>
                <w:bCs/>
                <w:color w:val="FFFFFF"/>
                <w:sz w:val="20"/>
                <w:szCs w:val="20"/>
              </w:rPr>
              <w:t xml:space="preserve">Median</w:t>
            </w:r>
          </w:p>
        </w:tc>
        <w:tc>
          <w:tcPr>
            <w:tcW w:type="dxa" w:w="1700"/>
            <w:shd w:fill="0B5D57" w:val="clear"/>
            <w:tcMar>
              <w:top w:type="dxa" w:w="90"/>
              <w:left w:type="dxa" w:w="130"/>
              <w:bottom w:type="dxa" w:w="90"/>
              <w:right w:type="dxa" w:w="130"/>
            </w:tcMar>
          </w:tcPr>
          <w:p>
            <w:r>
              <w:rPr>
                <w:rFonts w:ascii="Cambria" w:cs="Cambria" w:eastAsia="Cambria" w:hAnsi="Cambria"/>
                <w:b/>
                <w:bCs/>
                <w:color w:val="FFFFFF"/>
                <w:sz w:val="20"/>
                <w:szCs w:val="20"/>
              </w:rPr>
              <w:t xml:space="preserve">Std Dev</w:t>
            </w:r>
          </w:p>
        </w:tc>
        <w:tc>
          <w:tcPr>
            <w:tcW w:type="dxa" w:w="1600"/>
            <w:shd w:fill="0B5D57" w:val="clear"/>
            <w:tcMar>
              <w:top w:type="dxa" w:w="90"/>
              <w:left w:type="dxa" w:w="130"/>
              <w:bottom w:type="dxa" w:w="90"/>
              <w:right w:type="dxa" w:w="130"/>
            </w:tcMar>
          </w:tcPr>
          <w:p>
            <w:r>
              <w:rPr>
                <w:rFonts w:ascii="Cambria" w:cs="Cambria" w:eastAsia="Cambria" w:hAnsi="Cambria"/>
                <w:b/>
                <w:bCs/>
                <w:color w:val="FFFFFF"/>
                <w:sz w:val="20"/>
                <w:szCs w:val="20"/>
              </w:rPr>
              <w:t xml:space="preserve">Skew</w:t>
            </w:r>
          </w:p>
        </w:tc>
      </w:tr>
      <w:tr>
        <w:tc>
          <w:tcPr>
            <w:tcW w:type="dxa" w:w="3000"/>
            <w:shd w:fill="FFFFFF" w:val="clear"/>
            <w:tcMar>
              <w:top w:type="dxa" w:w="75"/>
              <w:left w:type="dxa" w:w="130"/>
              <w:bottom w:type="dxa" w:w="75"/>
              <w:right w:type="dxa" w:w="130"/>
            </w:tcMar>
          </w:tcPr>
          <w:p>
            <w:r>
              <w:rPr>
                <w:rFonts w:ascii="Calibri" w:cs="Calibri" w:eastAsia="Calibri" w:hAnsi="Calibri"/>
                <w:color w:val="222B2B"/>
                <w:sz w:val="19"/>
                <w:szCs w:val="19"/>
              </w:rPr>
              <w:t xml:space="preserve">Distance (km)</w:t>
            </w:r>
          </w:p>
        </w:tc>
        <w:tc>
          <w:tcPr>
            <w:tcW w:type="dxa" w:w="1700"/>
            <w:shd w:fill="FFFFFF" w:val="clear"/>
            <w:tcMar>
              <w:top w:type="dxa" w:w="75"/>
              <w:left w:type="dxa" w:w="130"/>
              <w:bottom w:type="dxa" w:w="75"/>
              <w:right w:type="dxa" w:w="130"/>
            </w:tcMar>
          </w:tcPr>
          <w:p>
            <w:r>
              <w:rPr>
                <w:rFonts w:ascii="Calibri" w:cs="Calibri" w:eastAsia="Calibri" w:hAnsi="Calibri"/>
                <w:color w:val="222B2B"/>
                <w:sz w:val="19"/>
                <w:szCs w:val="19"/>
              </w:rPr>
              <w:t xml:space="preserve">758.6</w:t>
            </w:r>
          </w:p>
        </w:tc>
        <w:tc>
          <w:tcPr>
            <w:tcW w:type="dxa" w:w="1700"/>
            <w:shd w:fill="FFFFFF" w:val="clear"/>
            <w:tcMar>
              <w:top w:type="dxa" w:w="75"/>
              <w:left w:type="dxa" w:w="130"/>
              <w:bottom w:type="dxa" w:w="75"/>
              <w:right w:type="dxa" w:w="130"/>
            </w:tcMar>
          </w:tcPr>
          <w:p>
            <w:r>
              <w:rPr>
                <w:rFonts w:ascii="Calibri" w:cs="Calibri" w:eastAsia="Calibri" w:hAnsi="Calibri"/>
                <w:color w:val="222B2B"/>
                <w:sz w:val="19"/>
                <w:szCs w:val="19"/>
              </w:rPr>
              <w:t xml:space="preserve">731.7</w:t>
            </w:r>
          </w:p>
        </w:tc>
        <w:tc>
          <w:tcPr>
            <w:tcW w:type="dxa" w:w="1700"/>
            <w:shd w:fill="FFFFFF" w:val="clear"/>
            <w:tcMar>
              <w:top w:type="dxa" w:w="75"/>
              <w:left w:type="dxa" w:w="130"/>
              <w:bottom w:type="dxa" w:w="75"/>
              <w:right w:type="dxa" w:w="130"/>
            </w:tcMar>
          </w:tcPr>
          <w:p>
            <w:r>
              <w:rPr>
                <w:rFonts w:ascii="Calibri" w:cs="Calibri" w:eastAsia="Calibri" w:hAnsi="Calibri"/>
                <w:color w:val="222B2B"/>
                <w:sz w:val="19"/>
                <w:szCs w:val="19"/>
              </w:rPr>
              <w:t xml:space="preserve">337.7</w:t>
            </w:r>
          </w:p>
        </w:tc>
        <w:tc>
          <w:tcPr>
            <w:tcW w:type="dxa" w:w="1600"/>
            <w:shd w:fill="FFFFFF" w:val="clear"/>
            <w:tcMar>
              <w:top w:type="dxa" w:w="75"/>
              <w:left w:type="dxa" w:w="130"/>
              <w:bottom w:type="dxa" w:w="75"/>
              <w:right w:type="dxa" w:w="130"/>
            </w:tcMar>
          </w:tcPr>
          <w:p>
            <w:r>
              <w:rPr>
                <w:rFonts w:ascii="Calibri" w:cs="Calibri" w:eastAsia="Calibri" w:hAnsi="Calibri"/>
                <w:color w:val="222B2B"/>
                <w:sz w:val="19"/>
                <w:szCs w:val="19"/>
              </w:rPr>
              <w:t xml:space="preserve">1.10</w:t>
            </w:r>
          </w:p>
        </w:tc>
      </w:tr>
      <w:tr>
        <w:tc>
          <w:tcPr>
            <w:tcW w:type="dxa" w:w="3000"/>
            <w:shd w:fill="EAF5F1" w:val="clear"/>
            <w:tcMar>
              <w:top w:type="dxa" w:w="75"/>
              <w:left w:type="dxa" w:w="130"/>
              <w:bottom w:type="dxa" w:w="75"/>
              <w:right w:type="dxa" w:w="130"/>
            </w:tcMar>
          </w:tcPr>
          <w:p>
            <w:r>
              <w:rPr>
                <w:rFonts w:ascii="Calibri" w:cs="Calibri" w:eastAsia="Calibri" w:hAnsi="Calibri"/>
                <w:color w:val="222B2B"/>
                <w:sz w:val="19"/>
                <w:szCs w:val="19"/>
              </w:rPr>
              <w:t xml:space="preserve">Volume (kg)</w:t>
            </w:r>
          </w:p>
        </w:tc>
        <w:tc>
          <w:tcPr>
            <w:tcW w:type="dxa" w:w="1700"/>
            <w:shd w:fill="EAF5F1" w:val="clear"/>
            <w:tcMar>
              <w:top w:type="dxa" w:w="75"/>
              <w:left w:type="dxa" w:w="130"/>
              <w:bottom w:type="dxa" w:w="75"/>
              <w:right w:type="dxa" w:w="130"/>
            </w:tcMar>
          </w:tcPr>
          <w:p>
            <w:r>
              <w:rPr>
                <w:rFonts w:ascii="Calibri" w:cs="Calibri" w:eastAsia="Calibri" w:hAnsi="Calibri"/>
                <w:color w:val="222B2B"/>
                <w:sz w:val="19"/>
                <w:szCs w:val="19"/>
              </w:rPr>
              <w:t xml:space="preserve">1,058.8</w:t>
            </w:r>
          </w:p>
        </w:tc>
        <w:tc>
          <w:tcPr>
            <w:tcW w:type="dxa" w:w="1700"/>
            <w:shd w:fill="EAF5F1" w:val="clear"/>
            <w:tcMar>
              <w:top w:type="dxa" w:w="75"/>
              <w:left w:type="dxa" w:w="130"/>
              <w:bottom w:type="dxa" w:w="75"/>
              <w:right w:type="dxa" w:w="130"/>
            </w:tcMar>
          </w:tcPr>
          <w:p>
            <w:r>
              <w:rPr>
                <w:rFonts w:ascii="Calibri" w:cs="Calibri" w:eastAsia="Calibri" w:hAnsi="Calibri"/>
                <w:color w:val="222B2B"/>
                <w:sz w:val="19"/>
                <w:szCs w:val="19"/>
              </w:rPr>
              <w:t xml:space="preserve">952.6</w:t>
            </w:r>
          </w:p>
        </w:tc>
        <w:tc>
          <w:tcPr>
            <w:tcW w:type="dxa" w:w="1700"/>
            <w:shd w:fill="EAF5F1" w:val="clear"/>
            <w:tcMar>
              <w:top w:type="dxa" w:w="75"/>
              <w:left w:type="dxa" w:w="130"/>
              <w:bottom w:type="dxa" w:w="75"/>
              <w:right w:type="dxa" w:w="130"/>
            </w:tcMar>
          </w:tcPr>
          <w:p>
            <w:r>
              <w:rPr>
                <w:rFonts w:ascii="Calibri" w:cs="Calibri" w:eastAsia="Calibri" w:hAnsi="Calibri"/>
                <w:color w:val="222B2B"/>
                <w:sz w:val="19"/>
                <w:szCs w:val="19"/>
              </w:rPr>
              <w:t xml:space="preserve">617.4</w:t>
            </w:r>
          </w:p>
        </w:tc>
        <w:tc>
          <w:tcPr>
            <w:tcW w:type="dxa" w:w="1600"/>
            <w:shd w:fill="EAF5F1" w:val="clear"/>
            <w:tcMar>
              <w:top w:type="dxa" w:w="75"/>
              <w:left w:type="dxa" w:w="130"/>
              <w:bottom w:type="dxa" w:w="75"/>
              <w:right w:type="dxa" w:w="130"/>
            </w:tcMar>
          </w:tcPr>
          <w:p>
            <w:r>
              <w:rPr>
                <w:rFonts w:ascii="Calibri" w:cs="Calibri" w:eastAsia="Calibri" w:hAnsi="Calibri"/>
                <w:color w:val="222B2B"/>
                <w:sz w:val="19"/>
                <w:szCs w:val="19"/>
              </w:rPr>
              <w:t xml:space="preserve">1.16</w:t>
            </w:r>
          </w:p>
        </w:tc>
      </w:tr>
      <w:tr>
        <w:tc>
          <w:tcPr>
            <w:tcW w:type="dxa" w:w="3000"/>
            <w:shd w:fill="FFFFFF" w:val="clear"/>
            <w:tcMar>
              <w:top w:type="dxa" w:w="75"/>
              <w:left w:type="dxa" w:w="130"/>
              <w:bottom w:type="dxa" w:w="75"/>
              <w:right w:type="dxa" w:w="130"/>
            </w:tcMar>
          </w:tcPr>
          <w:p>
            <w:r>
              <w:rPr>
                <w:rFonts w:ascii="Calibri" w:cs="Calibri" w:eastAsia="Calibri" w:hAnsi="Calibri"/>
                <w:color w:val="222B2B"/>
                <w:sz w:val="19"/>
                <w:szCs w:val="19"/>
              </w:rPr>
              <w:t xml:space="preserve">Cost (USD)</w:t>
            </w:r>
          </w:p>
        </w:tc>
        <w:tc>
          <w:tcPr>
            <w:tcW w:type="dxa" w:w="1700"/>
            <w:shd w:fill="FFFFFF" w:val="clear"/>
            <w:tcMar>
              <w:top w:type="dxa" w:w="75"/>
              <w:left w:type="dxa" w:w="130"/>
              <w:bottom w:type="dxa" w:w="75"/>
              <w:right w:type="dxa" w:w="130"/>
            </w:tcMar>
          </w:tcPr>
          <w:p>
            <w:r>
              <w:rPr>
                <w:rFonts w:ascii="Calibri" w:cs="Calibri" w:eastAsia="Calibri" w:hAnsi="Calibri"/>
                <w:color w:val="222B2B"/>
                <w:sz w:val="19"/>
                <w:szCs w:val="19"/>
              </w:rPr>
              <w:t xml:space="preserve">1,118.6</w:t>
            </w:r>
          </w:p>
        </w:tc>
        <w:tc>
          <w:tcPr>
            <w:tcW w:type="dxa" w:w="1700"/>
            <w:shd w:fill="FFFFFF" w:val="clear"/>
            <w:tcMar>
              <w:top w:type="dxa" w:w="75"/>
              <w:left w:type="dxa" w:w="130"/>
              <w:bottom w:type="dxa" w:w="75"/>
              <w:right w:type="dxa" w:w="130"/>
            </w:tcMar>
          </w:tcPr>
          <w:p>
            <w:r>
              <w:rPr>
                <w:rFonts w:ascii="Calibri" w:cs="Calibri" w:eastAsia="Calibri" w:hAnsi="Calibri"/>
                <w:color w:val="222B2B"/>
                <w:sz w:val="19"/>
                <w:szCs w:val="19"/>
              </w:rPr>
              <w:t xml:space="preserve">866.9</w:t>
            </w:r>
          </w:p>
        </w:tc>
        <w:tc>
          <w:tcPr>
            <w:tcW w:type="dxa" w:w="1700"/>
            <w:shd w:fill="FFFFFF" w:val="clear"/>
            <w:tcMar>
              <w:top w:type="dxa" w:w="75"/>
              <w:left w:type="dxa" w:w="130"/>
              <w:bottom w:type="dxa" w:w="75"/>
              <w:right w:type="dxa" w:w="130"/>
            </w:tcMar>
          </w:tcPr>
          <w:p>
            <w:r>
              <w:rPr>
                <w:rFonts w:ascii="Calibri" w:cs="Calibri" w:eastAsia="Calibri" w:hAnsi="Calibri"/>
                <w:color w:val="222B2B"/>
                <w:sz w:val="19"/>
                <w:szCs w:val="19"/>
              </w:rPr>
              <w:t xml:space="preserve">865.8</w:t>
            </w:r>
          </w:p>
        </w:tc>
        <w:tc>
          <w:tcPr>
            <w:tcW w:type="dxa" w:w="1600"/>
            <w:shd w:fill="FFFFFF" w:val="clear"/>
            <w:tcMar>
              <w:top w:type="dxa" w:w="75"/>
              <w:left w:type="dxa" w:w="130"/>
              <w:bottom w:type="dxa" w:w="75"/>
              <w:right w:type="dxa" w:w="130"/>
            </w:tcMar>
          </w:tcPr>
          <w:p>
            <w:r>
              <w:rPr>
                <w:rFonts w:ascii="Calibri" w:cs="Calibri" w:eastAsia="Calibri" w:hAnsi="Calibri"/>
                <w:color w:val="222B2B"/>
                <w:sz w:val="19"/>
                <w:szCs w:val="19"/>
              </w:rPr>
              <w:t xml:space="preserve">2.62</w:t>
            </w:r>
          </w:p>
        </w:tc>
      </w:tr>
      <w:tr>
        <w:tc>
          <w:tcPr>
            <w:tcW w:type="dxa" w:w="3000"/>
            <w:shd w:fill="EAF5F1" w:val="clear"/>
            <w:tcMar>
              <w:top w:type="dxa" w:w="75"/>
              <w:left w:type="dxa" w:w="130"/>
              <w:bottom w:type="dxa" w:w="75"/>
              <w:right w:type="dxa" w:w="130"/>
            </w:tcMar>
          </w:tcPr>
          <w:p>
            <w:r>
              <w:rPr>
                <w:rFonts w:ascii="Calibri" w:cs="Calibri" w:eastAsia="Calibri" w:hAnsi="Calibri"/>
                <w:color w:val="222B2B"/>
                <w:sz w:val="19"/>
                <w:szCs w:val="19"/>
              </w:rPr>
              <w:t xml:space="preserve">Fuel Surcharge (%)</w:t>
            </w:r>
          </w:p>
        </w:tc>
        <w:tc>
          <w:tcPr>
            <w:tcW w:type="dxa" w:w="1700"/>
            <w:shd w:fill="EAF5F1" w:val="clear"/>
            <w:tcMar>
              <w:top w:type="dxa" w:w="75"/>
              <w:left w:type="dxa" w:w="130"/>
              <w:bottom w:type="dxa" w:w="75"/>
              <w:right w:type="dxa" w:w="130"/>
            </w:tcMar>
          </w:tcPr>
          <w:p>
            <w:r>
              <w:rPr>
                <w:rFonts w:ascii="Calibri" w:cs="Calibri" w:eastAsia="Calibri" w:hAnsi="Calibri"/>
                <w:color w:val="222B2B"/>
                <w:sz w:val="19"/>
                <w:szCs w:val="19"/>
              </w:rPr>
              <w:t xml:space="preserve">8.0</w:t>
            </w:r>
          </w:p>
        </w:tc>
        <w:tc>
          <w:tcPr>
            <w:tcW w:type="dxa" w:w="1700"/>
            <w:shd w:fill="EAF5F1" w:val="clear"/>
            <w:tcMar>
              <w:top w:type="dxa" w:w="75"/>
              <w:left w:type="dxa" w:w="130"/>
              <w:bottom w:type="dxa" w:w="75"/>
              <w:right w:type="dxa" w:w="130"/>
            </w:tcMar>
          </w:tcPr>
          <w:p>
            <w:r>
              <w:rPr>
                <w:rFonts w:ascii="Calibri" w:cs="Calibri" w:eastAsia="Calibri" w:hAnsi="Calibri"/>
                <w:color w:val="222B2B"/>
                <w:sz w:val="19"/>
                <w:szCs w:val="19"/>
              </w:rPr>
              <w:t xml:space="preserve">8.0</w:t>
            </w:r>
          </w:p>
        </w:tc>
        <w:tc>
          <w:tcPr>
            <w:tcW w:type="dxa" w:w="1700"/>
            <w:shd w:fill="EAF5F1" w:val="clear"/>
            <w:tcMar>
              <w:top w:type="dxa" w:w="75"/>
              <w:left w:type="dxa" w:w="130"/>
              <w:bottom w:type="dxa" w:w="75"/>
              <w:right w:type="dxa" w:w="130"/>
            </w:tcMar>
          </w:tcPr>
          <w:p>
            <w:r>
              <w:rPr>
                <w:rFonts w:ascii="Calibri" w:cs="Calibri" w:eastAsia="Calibri" w:hAnsi="Calibri"/>
                <w:color w:val="222B2B"/>
                <w:sz w:val="19"/>
                <w:szCs w:val="19"/>
              </w:rPr>
              <w:t xml:space="preserve">2.5</w:t>
            </w:r>
          </w:p>
        </w:tc>
        <w:tc>
          <w:tcPr>
            <w:tcW w:type="dxa" w:w="1600"/>
            <w:shd w:fill="EAF5F1" w:val="clear"/>
            <w:tcMar>
              <w:top w:type="dxa" w:w="75"/>
              <w:left w:type="dxa" w:w="130"/>
              <w:bottom w:type="dxa" w:w="75"/>
              <w:right w:type="dxa" w:w="130"/>
            </w:tcMar>
          </w:tcPr>
          <w:p>
            <w:r>
              <w:rPr>
                <w:rFonts w:ascii="Calibri" w:cs="Calibri" w:eastAsia="Calibri" w:hAnsi="Calibri"/>
                <w:color w:val="222B2B"/>
                <w:sz w:val="19"/>
                <w:szCs w:val="19"/>
              </w:rPr>
              <w:t xml:space="preserve">0.06</w:t>
            </w:r>
          </w:p>
        </w:tc>
      </w:tr>
      <w:tr>
        <w:tc>
          <w:tcPr>
            <w:tcW w:type="dxa" w:w="3000"/>
            <w:shd w:fill="FFFFFF" w:val="clear"/>
            <w:tcMar>
              <w:top w:type="dxa" w:w="75"/>
              <w:left w:type="dxa" w:w="130"/>
              <w:bottom w:type="dxa" w:w="75"/>
              <w:right w:type="dxa" w:w="130"/>
            </w:tcMar>
          </w:tcPr>
          <w:p>
            <w:r>
              <w:rPr>
                <w:rFonts w:ascii="Calibri" w:cs="Calibri" w:eastAsia="Calibri" w:hAnsi="Calibri"/>
                <w:color w:val="222B2B"/>
                <w:sz w:val="19"/>
                <w:szCs w:val="19"/>
              </w:rPr>
              <w:t xml:space="preserve">Planned Days</w:t>
            </w:r>
          </w:p>
        </w:tc>
        <w:tc>
          <w:tcPr>
            <w:tcW w:type="dxa" w:w="1700"/>
            <w:shd w:fill="FFFFFF" w:val="clear"/>
            <w:tcMar>
              <w:top w:type="dxa" w:w="75"/>
              <w:left w:type="dxa" w:w="130"/>
              <w:bottom w:type="dxa" w:w="75"/>
              <w:right w:type="dxa" w:w="130"/>
            </w:tcMar>
          </w:tcPr>
          <w:p>
            <w:r>
              <w:rPr>
                <w:rFonts w:ascii="Calibri" w:cs="Calibri" w:eastAsia="Calibri" w:hAnsi="Calibri"/>
                <w:color w:val="222B2B"/>
                <w:sz w:val="19"/>
                <w:szCs w:val="19"/>
              </w:rPr>
              <w:t xml:space="preserve">2.5</w:t>
            </w:r>
          </w:p>
        </w:tc>
        <w:tc>
          <w:tcPr>
            <w:tcW w:type="dxa" w:w="1700"/>
            <w:shd w:fill="FFFFFF" w:val="clear"/>
            <w:tcMar>
              <w:top w:type="dxa" w:w="75"/>
              <w:left w:type="dxa" w:w="130"/>
              <w:bottom w:type="dxa" w:w="75"/>
              <w:right w:type="dxa" w:w="130"/>
            </w:tcMar>
          </w:tcPr>
          <w:p>
            <w:r>
              <w:rPr>
                <w:rFonts w:ascii="Calibri" w:cs="Calibri" w:eastAsia="Calibri" w:hAnsi="Calibri"/>
                <w:color w:val="222B2B"/>
                <w:sz w:val="19"/>
                <w:szCs w:val="19"/>
              </w:rPr>
              <w:t xml:space="preserve">2.0</w:t>
            </w:r>
          </w:p>
        </w:tc>
        <w:tc>
          <w:tcPr>
            <w:tcW w:type="dxa" w:w="1700"/>
            <w:shd w:fill="FFFFFF" w:val="clear"/>
            <w:tcMar>
              <w:top w:type="dxa" w:w="75"/>
              <w:left w:type="dxa" w:w="130"/>
              <w:bottom w:type="dxa" w:w="75"/>
              <w:right w:type="dxa" w:w="130"/>
            </w:tcMar>
          </w:tcPr>
          <w:p>
            <w:r>
              <w:rPr>
                <w:rFonts w:ascii="Calibri" w:cs="Calibri" w:eastAsia="Calibri" w:hAnsi="Calibri"/>
                <w:color w:val="222B2B"/>
                <w:sz w:val="19"/>
                <w:szCs w:val="19"/>
              </w:rPr>
              <w:t xml:space="preserve">1.1</w:t>
            </w:r>
          </w:p>
        </w:tc>
        <w:tc>
          <w:tcPr>
            <w:tcW w:type="dxa" w:w="1600"/>
            <w:shd w:fill="FFFFFF" w:val="clear"/>
            <w:tcMar>
              <w:top w:type="dxa" w:w="75"/>
              <w:left w:type="dxa" w:w="130"/>
              <w:bottom w:type="dxa" w:w="75"/>
              <w:right w:type="dxa" w:w="130"/>
            </w:tcMar>
          </w:tcPr>
          <w:p>
            <w:r>
              <w:rPr>
                <w:rFonts w:ascii="Calibri" w:cs="Calibri" w:eastAsia="Calibri" w:hAnsi="Calibri"/>
                <w:color w:val="222B2B"/>
                <w:sz w:val="19"/>
                <w:szCs w:val="19"/>
              </w:rPr>
              <w:t xml:space="preserve">0.82</w:t>
            </w:r>
          </w:p>
        </w:tc>
      </w:tr>
      <w:tr>
        <w:tc>
          <w:tcPr>
            <w:tcW w:type="dxa" w:w="3000"/>
            <w:shd w:fill="EAF5F1" w:val="clear"/>
            <w:tcMar>
              <w:top w:type="dxa" w:w="75"/>
              <w:left w:type="dxa" w:w="130"/>
              <w:bottom w:type="dxa" w:w="75"/>
              <w:right w:type="dxa" w:w="130"/>
            </w:tcMar>
          </w:tcPr>
          <w:p>
            <w:r>
              <w:rPr>
                <w:rFonts w:ascii="Calibri" w:cs="Calibri" w:eastAsia="Calibri" w:hAnsi="Calibri"/>
                <w:color w:val="222B2B"/>
                <w:sz w:val="19"/>
                <w:szCs w:val="19"/>
              </w:rPr>
              <w:t xml:space="preserve">Actual Days</w:t>
            </w:r>
          </w:p>
        </w:tc>
        <w:tc>
          <w:tcPr>
            <w:tcW w:type="dxa" w:w="1700"/>
            <w:shd w:fill="EAF5F1" w:val="clear"/>
            <w:tcMar>
              <w:top w:type="dxa" w:w="75"/>
              <w:left w:type="dxa" w:w="130"/>
              <w:bottom w:type="dxa" w:w="75"/>
              <w:right w:type="dxa" w:w="130"/>
            </w:tcMar>
          </w:tcPr>
          <w:p>
            <w:r>
              <w:rPr>
                <w:rFonts w:ascii="Calibri" w:cs="Calibri" w:eastAsia="Calibri" w:hAnsi="Calibri"/>
                <w:color w:val="222B2B"/>
                <w:sz w:val="19"/>
                <w:szCs w:val="19"/>
              </w:rPr>
              <w:t xml:space="preserve">3.0</w:t>
            </w:r>
          </w:p>
        </w:tc>
        <w:tc>
          <w:tcPr>
            <w:tcW w:type="dxa" w:w="1700"/>
            <w:shd w:fill="EAF5F1" w:val="clear"/>
            <w:tcMar>
              <w:top w:type="dxa" w:w="75"/>
              <w:left w:type="dxa" w:w="130"/>
              <w:bottom w:type="dxa" w:w="75"/>
              <w:right w:type="dxa" w:w="130"/>
            </w:tcMar>
          </w:tcPr>
          <w:p>
            <w:r>
              <w:rPr>
                <w:rFonts w:ascii="Calibri" w:cs="Calibri" w:eastAsia="Calibri" w:hAnsi="Calibri"/>
                <w:color w:val="222B2B"/>
                <w:sz w:val="19"/>
                <w:szCs w:val="19"/>
              </w:rPr>
              <w:t xml:space="preserve">3.0</w:t>
            </w:r>
          </w:p>
        </w:tc>
        <w:tc>
          <w:tcPr>
            <w:tcW w:type="dxa" w:w="1700"/>
            <w:shd w:fill="EAF5F1" w:val="clear"/>
            <w:tcMar>
              <w:top w:type="dxa" w:w="75"/>
              <w:left w:type="dxa" w:w="130"/>
              <w:bottom w:type="dxa" w:w="75"/>
              <w:right w:type="dxa" w:w="130"/>
            </w:tcMar>
          </w:tcPr>
          <w:p>
            <w:r>
              <w:rPr>
                <w:rFonts w:ascii="Calibri" w:cs="Calibri" w:eastAsia="Calibri" w:hAnsi="Calibri"/>
                <w:color w:val="222B2B"/>
                <w:sz w:val="19"/>
                <w:szCs w:val="19"/>
              </w:rPr>
              <w:t xml:space="preserve">1.5</w:t>
            </w:r>
          </w:p>
        </w:tc>
        <w:tc>
          <w:tcPr>
            <w:tcW w:type="dxa" w:w="1600"/>
            <w:shd w:fill="EAF5F1" w:val="clear"/>
            <w:tcMar>
              <w:top w:type="dxa" w:w="75"/>
              <w:left w:type="dxa" w:w="130"/>
              <w:bottom w:type="dxa" w:w="75"/>
              <w:right w:type="dxa" w:w="130"/>
            </w:tcMar>
          </w:tcPr>
          <w:p>
            <w:r>
              <w:rPr>
                <w:rFonts w:ascii="Calibri" w:cs="Calibri" w:eastAsia="Calibri" w:hAnsi="Calibri"/>
                <w:color w:val="222B2B"/>
                <w:sz w:val="19"/>
                <w:szCs w:val="19"/>
              </w:rPr>
              <w:t xml:space="preserve">0.79</w:t>
            </w:r>
          </w:p>
        </w:tc>
      </w:tr>
      <w:tr>
        <w:tc>
          <w:tcPr>
            <w:tcW w:type="dxa" w:w="3000"/>
            <w:shd w:fill="FFFFFF" w:val="clear"/>
            <w:tcMar>
              <w:top w:type="dxa" w:w="75"/>
              <w:left w:type="dxa" w:w="130"/>
              <w:bottom w:type="dxa" w:w="75"/>
              <w:right w:type="dxa" w:w="130"/>
            </w:tcMar>
          </w:tcPr>
          <w:p>
            <w:r>
              <w:rPr>
                <w:rFonts w:ascii="Calibri" w:cs="Calibri" w:eastAsia="Calibri" w:hAnsi="Calibri"/>
                <w:color w:val="222B2B"/>
                <w:sz w:val="19"/>
                <w:szCs w:val="19"/>
              </w:rPr>
              <w:t xml:space="preserve">Delay (days)</w:t>
            </w:r>
          </w:p>
        </w:tc>
        <w:tc>
          <w:tcPr>
            <w:tcW w:type="dxa" w:w="1700"/>
            <w:shd w:fill="FFFFFF" w:val="clear"/>
            <w:tcMar>
              <w:top w:type="dxa" w:w="75"/>
              <w:left w:type="dxa" w:w="130"/>
              <w:bottom w:type="dxa" w:w="75"/>
              <w:right w:type="dxa" w:w="130"/>
            </w:tcMar>
          </w:tcPr>
          <w:p>
            <w:r>
              <w:rPr>
                <w:rFonts w:ascii="Calibri" w:cs="Calibri" w:eastAsia="Calibri" w:hAnsi="Calibri"/>
                <w:color w:val="222B2B"/>
                <w:sz w:val="19"/>
                <w:szCs w:val="19"/>
              </w:rPr>
              <w:t xml:space="preserve">0.5</w:t>
            </w:r>
          </w:p>
        </w:tc>
        <w:tc>
          <w:tcPr>
            <w:tcW w:type="dxa" w:w="1700"/>
            <w:shd w:fill="FFFFFF" w:val="clear"/>
            <w:tcMar>
              <w:top w:type="dxa" w:w="75"/>
              <w:left w:type="dxa" w:w="130"/>
              <w:bottom w:type="dxa" w:w="75"/>
              <w:right w:type="dxa" w:w="130"/>
            </w:tcMar>
          </w:tcPr>
          <w:p>
            <w:r>
              <w:rPr>
                <w:rFonts w:ascii="Calibri" w:cs="Calibri" w:eastAsia="Calibri" w:hAnsi="Calibri"/>
                <w:color w:val="222B2B"/>
                <w:sz w:val="19"/>
                <w:szCs w:val="19"/>
              </w:rPr>
              <w:t xml:space="preserve">0.0</w:t>
            </w:r>
          </w:p>
        </w:tc>
        <w:tc>
          <w:tcPr>
            <w:tcW w:type="dxa" w:w="1700"/>
            <w:shd w:fill="FFFFFF" w:val="clear"/>
            <w:tcMar>
              <w:top w:type="dxa" w:w="75"/>
              <w:left w:type="dxa" w:w="130"/>
              <w:bottom w:type="dxa" w:w="75"/>
              <w:right w:type="dxa" w:w="130"/>
            </w:tcMar>
          </w:tcPr>
          <w:p>
            <w:r>
              <w:rPr>
                <w:rFonts w:ascii="Calibri" w:cs="Calibri" w:eastAsia="Calibri" w:hAnsi="Calibri"/>
                <w:color w:val="222B2B"/>
                <w:sz w:val="19"/>
                <w:szCs w:val="19"/>
              </w:rPr>
              <w:t xml:space="preserve">1.1</w:t>
            </w:r>
          </w:p>
        </w:tc>
        <w:tc>
          <w:tcPr>
            <w:tcW w:type="dxa" w:w="1600"/>
            <w:shd w:fill="FFFFFF" w:val="clear"/>
            <w:tcMar>
              <w:top w:type="dxa" w:w="75"/>
              <w:left w:type="dxa" w:w="130"/>
              <w:bottom w:type="dxa" w:w="75"/>
              <w:right w:type="dxa" w:w="130"/>
            </w:tcMar>
          </w:tcPr>
          <w:p>
            <w:r>
              <w:rPr>
                <w:rFonts w:ascii="Calibri" w:cs="Calibri" w:eastAsia="Calibri" w:hAnsi="Calibri"/>
                <w:color w:val="222B2B"/>
                <w:sz w:val="19"/>
                <w:szCs w:val="19"/>
              </w:rPr>
              <w:t xml:space="preserve">0.03</w:t>
            </w:r>
          </w:p>
        </w:tc>
      </w:tr>
    </w:tbl>
    <w:p>
      <w:pPr>
        <w:spacing w:after="160" w:line="276"/>
      </w:pPr>
      <w:r>
        <w:rPr>
          <w:rFonts w:ascii="Calibri" w:cs="Calibri" w:eastAsia="Calibri" w:hAnsi="Calibri"/>
          <w:color w:val="222B2B"/>
          <w:sz w:val="22"/>
          <w:szCs w:val="22"/>
        </w:rPr>
        <w:t xml:space="preserve">Cost is the most heavily right-skewed variable (skew = 2.62), meaning a small share of high-cost shipments (mostly long-haul Air freight) pulls the mean well above the median — a pattern confirmed visually in Section 5.3. Delivery time variables show mild positive skew, consistent with delays being more common than early arrivals of equal magnitude.</w:t>
      </w:r>
    </w:p>
    <w:p>
      <w:pPr>
        <w:pStyle w:val="Heading2"/>
        <w:pBdr>
          <w:left w:val="single" w:color="E2725B" w:sz="18" w:space="8"/>
        </w:pBdr>
        <w:spacing w:after="150" w:before="320"/>
        <w:ind w:left="130"/>
      </w:pPr>
      <w:r>
        <w:rPr>
          <w:rFonts w:ascii="Cambria" w:cs="Cambria" w:eastAsia="Cambria" w:hAnsi="Cambria"/>
          <w:b/>
          <w:bCs/>
          <w:color w:val="1B3A4B"/>
          <w:sz w:val="25"/>
          <w:szCs w:val="25"/>
        </w:rPr>
        <w:t xml:space="preserve">4.2 On-Time Performance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B5D57" w:val="clear"/>
            <w:tcMar>
              <w:top w:type="dxa" w:w="90"/>
              <w:left w:type="dxa" w:w="130"/>
              <w:bottom w:type="dxa" w:w="90"/>
              <w:right w:type="dxa" w:w="130"/>
            </w:tcMar>
          </w:tcPr>
          <w:p>
            <w:r>
              <w:rPr>
                <w:rFonts w:ascii="Cambria" w:cs="Cambria" w:eastAsia="Cambria" w:hAnsi="Cambria"/>
                <w:b/>
                <w:bCs/>
                <w:color w:val="FFFFFF"/>
                <w:sz w:val="20"/>
                <w:szCs w:val="20"/>
              </w:rPr>
              <w:t xml:space="preserve">Segment</w:t>
            </w:r>
          </w:p>
        </w:tc>
        <w:tc>
          <w:tcPr>
            <w:tcW w:type="dxa" w:w="4500"/>
            <w:shd w:fill="0B5D57" w:val="clear"/>
            <w:tcMar>
              <w:top w:type="dxa" w:w="90"/>
              <w:left w:type="dxa" w:w="130"/>
              <w:bottom w:type="dxa" w:w="90"/>
              <w:right w:type="dxa" w:w="130"/>
            </w:tcMar>
          </w:tcPr>
          <w:p>
            <w:r>
              <w:rPr>
                <w:rFonts w:ascii="Cambria" w:cs="Cambria" w:eastAsia="Cambria" w:hAnsi="Cambria"/>
                <w:b/>
                <w:bCs/>
                <w:color w:val="FFFFFF"/>
                <w:sz w:val="20"/>
                <w:szCs w:val="20"/>
              </w:rPr>
              <w:t xml:space="preserve">On-Time Rate</w:t>
            </w:r>
          </w:p>
        </w:tc>
      </w:tr>
      <w:tr>
        <w:tc>
          <w:tcPr>
            <w:tcW w:type="dxa" w:w="4500"/>
            <w:shd w:fill="FFFFFF" w:val="clear"/>
            <w:tcMar>
              <w:top w:type="dxa" w:w="75"/>
              <w:left w:type="dxa" w:w="130"/>
              <w:bottom w:type="dxa" w:w="75"/>
              <w:right w:type="dxa" w:w="130"/>
            </w:tcMar>
          </w:tcPr>
          <w:p>
            <w:r>
              <w:rPr>
                <w:rFonts w:ascii="Calibri" w:cs="Calibri" w:eastAsia="Calibri" w:hAnsi="Calibri"/>
                <w:color w:val="222B2B"/>
                <w:sz w:val="19"/>
                <w:szCs w:val="19"/>
              </w:rPr>
              <w:t xml:space="preserve">Overall</w:t>
            </w:r>
          </w:p>
        </w:tc>
        <w:tc>
          <w:tcPr>
            <w:tcW w:type="dxa" w:w="4500"/>
            <w:shd w:fill="FFFFFF" w:val="clear"/>
            <w:tcMar>
              <w:top w:type="dxa" w:w="75"/>
              <w:left w:type="dxa" w:w="130"/>
              <w:bottom w:type="dxa" w:w="75"/>
              <w:right w:type="dxa" w:w="130"/>
            </w:tcMar>
          </w:tcPr>
          <w:p>
            <w:r>
              <w:rPr>
                <w:rFonts w:ascii="Calibri" w:cs="Calibri" w:eastAsia="Calibri" w:hAnsi="Calibri"/>
                <w:color w:val="222B2B"/>
                <w:sz w:val="19"/>
                <w:szCs w:val="19"/>
              </w:rPr>
              <w:t xml:space="preserve">52.9%</w:t>
            </w:r>
          </w:p>
        </w:tc>
      </w:tr>
      <w:tr>
        <w:tc>
          <w:tcPr>
            <w:tcW w:type="dxa" w:w="4500"/>
            <w:shd w:fill="EAF5F1" w:val="clear"/>
            <w:tcMar>
              <w:top w:type="dxa" w:w="75"/>
              <w:left w:type="dxa" w:w="130"/>
              <w:bottom w:type="dxa" w:w="75"/>
              <w:right w:type="dxa" w:w="130"/>
            </w:tcMar>
          </w:tcPr>
          <w:p>
            <w:r>
              <w:rPr>
                <w:rFonts w:ascii="Calibri" w:cs="Calibri" w:eastAsia="Calibri" w:hAnsi="Calibri"/>
                <w:color w:val="222B2B"/>
                <w:sz w:val="19"/>
                <w:szCs w:val="19"/>
              </w:rPr>
              <w:t xml:space="preserve">Air</w:t>
            </w:r>
          </w:p>
        </w:tc>
        <w:tc>
          <w:tcPr>
            <w:tcW w:type="dxa" w:w="4500"/>
            <w:shd w:fill="EAF5F1" w:val="clear"/>
            <w:tcMar>
              <w:top w:type="dxa" w:w="75"/>
              <w:left w:type="dxa" w:w="130"/>
              <w:bottom w:type="dxa" w:w="75"/>
              <w:right w:type="dxa" w:w="130"/>
            </w:tcMar>
          </w:tcPr>
          <w:p>
            <w:r>
              <w:rPr>
                <w:rFonts w:ascii="Calibri" w:cs="Calibri" w:eastAsia="Calibri" w:hAnsi="Calibri"/>
                <w:color w:val="222B2B"/>
                <w:sz w:val="19"/>
                <w:szCs w:val="19"/>
              </w:rPr>
              <w:t xml:space="preserve">81.8%</w:t>
            </w:r>
          </w:p>
        </w:tc>
      </w:tr>
      <w:tr>
        <w:tc>
          <w:tcPr>
            <w:tcW w:type="dxa" w:w="4500"/>
            <w:shd w:fill="FFFFFF" w:val="clear"/>
            <w:tcMar>
              <w:top w:type="dxa" w:w="75"/>
              <w:left w:type="dxa" w:w="130"/>
              <w:bottom w:type="dxa" w:w="75"/>
              <w:right w:type="dxa" w:w="130"/>
            </w:tcMar>
          </w:tcPr>
          <w:p>
            <w:r>
              <w:rPr>
                <w:rFonts w:ascii="Calibri" w:cs="Calibri" w:eastAsia="Calibri" w:hAnsi="Calibri"/>
                <w:color w:val="222B2B"/>
                <w:sz w:val="19"/>
                <w:szCs w:val="19"/>
              </w:rPr>
              <w:t xml:space="preserve">Rail</w:t>
            </w:r>
          </w:p>
        </w:tc>
        <w:tc>
          <w:tcPr>
            <w:tcW w:type="dxa" w:w="4500"/>
            <w:shd w:fill="FFFFFF" w:val="clear"/>
            <w:tcMar>
              <w:top w:type="dxa" w:w="75"/>
              <w:left w:type="dxa" w:w="130"/>
              <w:bottom w:type="dxa" w:w="75"/>
              <w:right w:type="dxa" w:w="130"/>
            </w:tcMar>
          </w:tcPr>
          <w:p>
            <w:r>
              <w:rPr>
                <w:rFonts w:ascii="Calibri" w:cs="Calibri" w:eastAsia="Calibri" w:hAnsi="Calibri"/>
                <w:color w:val="222B2B"/>
                <w:sz w:val="19"/>
                <w:szCs w:val="19"/>
              </w:rPr>
              <w:t xml:space="preserve">63.1%</w:t>
            </w:r>
          </w:p>
        </w:tc>
      </w:tr>
      <w:tr>
        <w:tc>
          <w:tcPr>
            <w:tcW w:type="dxa" w:w="4500"/>
            <w:shd w:fill="EAF5F1" w:val="clear"/>
            <w:tcMar>
              <w:top w:type="dxa" w:w="75"/>
              <w:left w:type="dxa" w:w="130"/>
              <w:bottom w:type="dxa" w:w="75"/>
              <w:right w:type="dxa" w:w="130"/>
            </w:tcMar>
          </w:tcPr>
          <w:p>
            <w:r>
              <w:rPr>
                <w:rFonts w:ascii="Calibri" w:cs="Calibri" w:eastAsia="Calibri" w:hAnsi="Calibri"/>
                <w:color w:val="222B2B"/>
                <w:sz w:val="19"/>
                <w:szCs w:val="19"/>
              </w:rPr>
              <w:t xml:space="preserve">Sea</w:t>
            </w:r>
          </w:p>
        </w:tc>
        <w:tc>
          <w:tcPr>
            <w:tcW w:type="dxa" w:w="4500"/>
            <w:shd w:fill="EAF5F1" w:val="clear"/>
            <w:tcMar>
              <w:top w:type="dxa" w:w="75"/>
              <w:left w:type="dxa" w:w="130"/>
              <w:bottom w:type="dxa" w:w="75"/>
              <w:right w:type="dxa" w:w="130"/>
            </w:tcMar>
          </w:tcPr>
          <w:p>
            <w:r>
              <w:rPr>
                <w:rFonts w:ascii="Calibri" w:cs="Calibri" w:eastAsia="Calibri" w:hAnsi="Calibri"/>
                <w:color w:val="222B2B"/>
                <w:sz w:val="19"/>
                <w:szCs w:val="19"/>
              </w:rPr>
              <w:t xml:space="preserve">51.5%</w:t>
            </w:r>
          </w:p>
        </w:tc>
      </w:tr>
      <w:tr>
        <w:tc>
          <w:tcPr>
            <w:tcW w:type="dxa" w:w="4500"/>
            <w:shd w:fill="FFFFFF" w:val="clear"/>
            <w:tcMar>
              <w:top w:type="dxa" w:w="75"/>
              <w:left w:type="dxa" w:w="130"/>
              <w:bottom w:type="dxa" w:w="75"/>
              <w:right w:type="dxa" w:w="130"/>
            </w:tcMar>
          </w:tcPr>
          <w:p>
            <w:r>
              <w:rPr>
                <w:rFonts w:ascii="Calibri" w:cs="Calibri" w:eastAsia="Calibri" w:hAnsi="Calibri"/>
                <w:color w:val="222B2B"/>
                <w:sz w:val="19"/>
                <w:szCs w:val="19"/>
              </w:rPr>
              <w:t xml:space="preserve">Road</w:t>
            </w:r>
          </w:p>
        </w:tc>
        <w:tc>
          <w:tcPr>
            <w:tcW w:type="dxa" w:w="4500"/>
            <w:shd w:fill="FFFFFF" w:val="clear"/>
            <w:tcMar>
              <w:top w:type="dxa" w:w="75"/>
              <w:left w:type="dxa" w:w="130"/>
              <w:bottom w:type="dxa" w:w="75"/>
              <w:right w:type="dxa" w:w="130"/>
            </w:tcMar>
          </w:tcPr>
          <w:p>
            <w:r>
              <w:rPr>
                <w:rFonts w:ascii="Calibri" w:cs="Calibri" w:eastAsia="Calibri" w:hAnsi="Calibri"/>
                <w:color w:val="222B2B"/>
                <w:sz w:val="19"/>
                <w:szCs w:val="19"/>
              </w:rPr>
              <w:t xml:space="preserve">42.9%</w:t>
            </w:r>
          </w:p>
        </w:tc>
      </w:tr>
      <w:tr>
        <w:tc>
          <w:tcPr>
            <w:tcW w:type="dxa" w:w="4500"/>
            <w:shd w:fill="EAF5F1" w:val="clear"/>
            <w:tcMar>
              <w:top w:type="dxa" w:w="75"/>
              <w:left w:type="dxa" w:w="130"/>
              <w:bottom w:type="dxa" w:w="75"/>
              <w:right w:type="dxa" w:w="130"/>
            </w:tcMar>
          </w:tcPr>
          <w:p>
            <w:r>
              <w:rPr>
                <w:rFonts w:ascii="Calibri" w:cs="Calibri" w:eastAsia="Calibri" w:hAnsi="Calibri"/>
                <w:color w:val="222B2B"/>
                <w:sz w:val="19"/>
                <w:szCs w:val="19"/>
              </w:rPr>
              <w:t xml:space="preserve">Best region — North</w:t>
            </w:r>
          </w:p>
        </w:tc>
        <w:tc>
          <w:tcPr>
            <w:tcW w:type="dxa" w:w="4500"/>
            <w:shd w:fill="EAF5F1" w:val="clear"/>
            <w:tcMar>
              <w:top w:type="dxa" w:w="75"/>
              <w:left w:type="dxa" w:w="130"/>
              <w:bottom w:type="dxa" w:w="75"/>
              <w:right w:type="dxa" w:w="130"/>
            </w:tcMar>
          </w:tcPr>
          <w:p>
            <w:r>
              <w:rPr>
                <w:rFonts w:ascii="Calibri" w:cs="Calibri" w:eastAsia="Calibri" w:hAnsi="Calibri"/>
                <w:color w:val="222B2B"/>
                <w:sz w:val="19"/>
                <w:szCs w:val="19"/>
              </w:rPr>
              <w:t xml:space="preserve">55.1%</w:t>
            </w:r>
          </w:p>
        </w:tc>
      </w:tr>
      <w:tr>
        <w:tc>
          <w:tcPr>
            <w:tcW w:type="dxa" w:w="4500"/>
            <w:shd w:fill="FFFFFF" w:val="clear"/>
            <w:tcMar>
              <w:top w:type="dxa" w:w="75"/>
              <w:left w:type="dxa" w:w="130"/>
              <w:bottom w:type="dxa" w:w="75"/>
              <w:right w:type="dxa" w:w="130"/>
            </w:tcMar>
          </w:tcPr>
          <w:p>
            <w:r>
              <w:rPr>
                <w:rFonts w:ascii="Calibri" w:cs="Calibri" w:eastAsia="Calibri" w:hAnsi="Calibri"/>
                <w:color w:val="222B2B"/>
                <w:sz w:val="19"/>
                <w:szCs w:val="19"/>
              </w:rPr>
              <w:t xml:space="preserve">Worst region — West</w:t>
            </w:r>
          </w:p>
        </w:tc>
        <w:tc>
          <w:tcPr>
            <w:tcW w:type="dxa" w:w="4500"/>
            <w:shd w:fill="FFFFFF" w:val="clear"/>
            <w:tcMar>
              <w:top w:type="dxa" w:w="75"/>
              <w:left w:type="dxa" w:w="130"/>
              <w:bottom w:type="dxa" w:w="75"/>
              <w:right w:type="dxa" w:w="130"/>
            </w:tcMar>
          </w:tcPr>
          <w:p>
            <w:r>
              <w:rPr>
                <w:rFonts w:ascii="Calibri" w:cs="Calibri" w:eastAsia="Calibri" w:hAnsi="Calibri"/>
                <w:color w:val="222B2B"/>
                <w:sz w:val="19"/>
                <w:szCs w:val="19"/>
              </w:rPr>
              <w:t xml:space="preserve">51.9%</w:t>
            </w:r>
          </w:p>
        </w:tc>
      </w:tr>
      <w:tr>
        <w:tc>
          <w:tcPr>
            <w:tcW w:type="dxa" w:w="4500"/>
            <w:shd w:fill="EAF5F1" w:val="clear"/>
            <w:tcMar>
              <w:top w:type="dxa" w:w="75"/>
              <w:left w:type="dxa" w:w="130"/>
              <w:bottom w:type="dxa" w:w="75"/>
              <w:right w:type="dxa" w:w="130"/>
            </w:tcMar>
          </w:tcPr>
          <w:p>
            <w:r>
              <w:rPr>
                <w:rFonts w:ascii="Calibri" w:cs="Calibri" w:eastAsia="Calibri" w:hAnsi="Calibri"/>
                <w:color w:val="222B2B"/>
                <w:sz w:val="19"/>
                <w:szCs w:val="19"/>
              </w:rPr>
              <w:t xml:space="preserve">Best carrier — Carrier C</w:t>
            </w:r>
          </w:p>
        </w:tc>
        <w:tc>
          <w:tcPr>
            <w:tcW w:type="dxa" w:w="4500"/>
            <w:shd w:fill="EAF5F1" w:val="clear"/>
            <w:tcMar>
              <w:top w:type="dxa" w:w="75"/>
              <w:left w:type="dxa" w:w="130"/>
              <w:bottom w:type="dxa" w:w="75"/>
              <w:right w:type="dxa" w:w="130"/>
            </w:tcMar>
          </w:tcPr>
          <w:p>
            <w:r>
              <w:rPr>
                <w:rFonts w:ascii="Calibri" w:cs="Calibri" w:eastAsia="Calibri" w:hAnsi="Calibri"/>
                <w:color w:val="222B2B"/>
                <w:sz w:val="19"/>
                <w:szCs w:val="19"/>
              </w:rPr>
              <w:t xml:space="preserve">56.8%</w:t>
            </w:r>
          </w:p>
        </w:tc>
      </w:tr>
      <w:tr>
        <w:tc>
          <w:tcPr>
            <w:tcW w:type="dxa" w:w="4500"/>
            <w:shd w:fill="FFFFFF" w:val="clear"/>
            <w:tcMar>
              <w:top w:type="dxa" w:w="75"/>
              <w:left w:type="dxa" w:w="130"/>
              <w:bottom w:type="dxa" w:w="75"/>
              <w:right w:type="dxa" w:w="130"/>
            </w:tcMar>
          </w:tcPr>
          <w:p>
            <w:r>
              <w:rPr>
                <w:rFonts w:ascii="Calibri" w:cs="Calibri" w:eastAsia="Calibri" w:hAnsi="Calibri"/>
                <w:color w:val="222B2B"/>
                <w:sz w:val="19"/>
                <w:szCs w:val="19"/>
              </w:rPr>
              <w:t xml:space="preserve">Worst carrier — Carrier B</w:t>
            </w:r>
          </w:p>
        </w:tc>
        <w:tc>
          <w:tcPr>
            <w:tcW w:type="dxa" w:w="4500"/>
            <w:shd w:fill="FFFFFF" w:val="clear"/>
            <w:tcMar>
              <w:top w:type="dxa" w:w="75"/>
              <w:left w:type="dxa" w:w="130"/>
              <w:bottom w:type="dxa" w:w="75"/>
              <w:right w:type="dxa" w:w="130"/>
            </w:tcMar>
          </w:tcPr>
          <w:p>
            <w:r>
              <w:rPr>
                <w:rFonts w:ascii="Calibri" w:cs="Calibri" w:eastAsia="Calibri" w:hAnsi="Calibri"/>
                <w:color w:val="222B2B"/>
                <w:sz w:val="19"/>
                <w:szCs w:val="19"/>
              </w:rPr>
              <w:t xml:space="preserve">49.4%</w:t>
            </w:r>
          </w:p>
        </w:tc>
      </w:tr>
    </w:tbl>
    <w:p>
      <w:pPr>
        <w:pStyle w:val="Heading2"/>
        <w:pBdr>
          <w:left w:val="single" w:color="E2725B" w:sz="18" w:space="8"/>
        </w:pBdr>
        <w:spacing w:after="150" w:before="320"/>
        <w:ind w:left="130"/>
      </w:pPr>
      <w:r>
        <w:rPr>
          <w:rFonts w:ascii="Cambria" w:cs="Cambria" w:eastAsia="Cambria" w:hAnsi="Cambria"/>
          <w:b/>
          <w:bCs/>
          <w:color w:val="1B3A4B"/>
          <w:sz w:val="25"/>
          <w:szCs w:val="25"/>
        </w:rPr>
        <w:t xml:space="preserve">4.3 Correlation Analysis</w:t>
      </w:r>
    </w:p>
    <w:p>
      <w:pPr>
        <w:spacing w:after="160" w:line="276"/>
      </w:pPr>
      <w:r>
        <w:rPr>
          <w:rFonts w:ascii="Calibri" w:cs="Calibri" w:eastAsia="Calibri" w:hAnsi="Calibri"/>
          <w:color w:val="222B2B"/>
          <w:sz w:val="22"/>
          <w:szCs w:val="22"/>
        </w:rPr>
        <w:t xml:space="preserve">A Pearson correlation matrix (Section 5.4) was computed across the numeric variables. The strongest relationships are: distance vs. planned delivery days (r = 0.65), actual vs. planned delivery days (r = 0.72), and actual delivery days vs. delay days (r = 0.67). Notably, transportation cost is negatively correlated with planned delivery days (r = -0.34) — a counterintuitive result explained by transport mode: Air shipments are fast (low planned days) but expensive, while Sea shipments are slow but cheap. This illustrates why looking at cost or time in isolation, without segmenting by mode, can mislead decision-making.</w:t>
      </w:r>
    </w:p>
    <w:p>
      <w:r>
        <w:br w:type="page"/>
      </w:r>
    </w:p>
    <w:p>
      <w:pPr>
        <w:pStyle w:val="Heading1"/>
        <w:pBdr>
          <w:bottom w:val="single" w:color="D4A017" w:sz="12" w:space="6"/>
        </w:pBdr>
        <w:spacing w:after="200" w:before="480"/>
      </w:pPr>
      <w:r>
        <w:rPr>
          <w:rFonts w:ascii="Cambria" w:cs="Cambria" w:eastAsia="Cambria" w:hAnsi="Cambria"/>
          <w:b/>
          <w:bCs/>
          <w:color w:val="D4A017"/>
          <w:sz w:val="32"/>
          <w:szCs w:val="32"/>
        </w:rPr>
        <w:t xml:space="preserve">5.  </w:t>
      </w:r>
      <w:r>
        <w:rPr>
          <w:rFonts w:ascii="Cambria" w:cs="Cambria" w:eastAsia="Cambria" w:hAnsi="Cambria"/>
          <w:b/>
          <w:bCs/>
          <w:color w:val="0B5D57"/>
          <w:sz w:val="32"/>
          <w:szCs w:val="32"/>
        </w:rPr>
        <w:t xml:space="preserve">Visualizations</w:t>
      </w:r>
    </w:p>
    <w:p>
      <w:pPr>
        <w:spacing w:after="160" w:line="276"/>
      </w:pPr>
      <w:r>
        <w:rPr>
          <w:rFonts w:ascii="Calibri" w:cs="Calibri" w:eastAsia="Calibri" w:hAnsi="Calibri"/>
          <w:color w:val="222B2B"/>
          <w:sz w:val="22"/>
          <w:szCs w:val="22"/>
        </w:rPr>
        <w:t xml:space="preserve">Seven visualizations were produced, each selected because it best answers a specific operational question. For each chart below: the question it answers, the Python code used, the chart itself, and the interpretation.</w:t>
      </w:r>
    </w:p>
    <w:p>
      <w:pPr>
        <w:pStyle w:val="Heading2"/>
        <w:pBdr>
          <w:left w:val="single" w:color="E2725B" w:sz="18" w:space="8"/>
        </w:pBdr>
        <w:spacing w:after="150" w:before="320"/>
        <w:ind w:left="130"/>
      </w:pPr>
      <w:r>
        <w:rPr>
          <w:rFonts w:ascii="Cambria" w:cs="Cambria" w:eastAsia="Cambria" w:hAnsi="Cambria"/>
          <w:b/>
          <w:bCs/>
          <w:color w:val="1B3A4B"/>
          <w:sz w:val="25"/>
          <w:szCs w:val="25"/>
        </w:rPr>
        <w:t xml:space="preserve">5.1 Distribution of Planned vs. Actual Delivery Time</w:t>
      </w:r>
    </w:p>
    <w:p>
      <w:pPr>
        <w:spacing w:after="160" w:line="276"/>
      </w:pPr>
      <w:r>
        <w:rPr>
          <w:rFonts w:ascii="Calibri" w:cs="Calibri" w:eastAsia="Calibri" w:hAnsi="Calibri"/>
          <w:i/>
          <w:iCs/>
          <w:color w:val="5C6B6B"/>
          <w:sz w:val="22"/>
          <w:szCs w:val="22"/>
        </w:rPr>
        <w:t xml:space="preserve">Question: How is delivery performance distributed, and how far does reality diverge from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D4A017" w:sz="24"/>
            </w:tcBorders>
            <w:shd w:fill="1E2B2A" w:val="clear"/>
            <w:tcMar>
              <w:top w:type="dxa" w:w="140"/>
              <w:left w:type="dxa" w:w="200"/>
              <w:bottom w:type="dxa" w:w="140"/>
              <w:right w:type="dxa" w:w="200"/>
            </w:tcMar>
          </w:tcPr>
          <w:p>
            <w:pPr>
              <w:spacing w:after="20"/>
            </w:pPr>
            <w:r>
              <w:rPr>
                <w:rFonts w:ascii="Consolas" w:cs="Consolas" w:eastAsia="Consolas" w:hAnsi="Consolas"/>
                <w:color w:val="E8F5F0"/>
                <w:sz w:val="18"/>
                <w:szCs w:val="18"/>
              </w:rPr>
              <w:t xml:space="preserve">sns.histplot(df["planned_delivery_days"], kde=True, stat="density",</w:t>
            </w:r>
          </w:p>
          <w:p>
            <w:pPr>
              <w:spacing w:after="20"/>
            </w:pPr>
            <w:r>
              <w:rPr>
                <w:rFonts w:ascii="Consolas" w:cs="Consolas" w:eastAsia="Consolas" w:hAnsi="Consolas"/>
                <w:color w:val="E8F5F0"/>
                <w:sz w:val="18"/>
                <w:szCs w:val="18"/>
              </w:rPr>
              <w:t xml:space="preserve">             color="#4C72B0", label="Planned", alpha=0.45)</w:t>
            </w:r>
          </w:p>
          <w:p>
            <w:pPr>
              <w:spacing w:after="20"/>
            </w:pPr>
            <w:r>
              <w:rPr>
                <w:rFonts w:ascii="Consolas" w:cs="Consolas" w:eastAsia="Consolas" w:hAnsi="Consolas"/>
                <w:color w:val="E8F5F0"/>
                <w:sz w:val="18"/>
                <w:szCs w:val="18"/>
              </w:rPr>
              <w:t xml:space="preserve">sns.histplot(df["actual_delivery_days"], kde=True, stat="density",</w:t>
            </w:r>
          </w:p>
          <w:p>
            <w:pPr>
              <w:spacing w:after="20"/>
            </w:pPr>
            <w:r>
              <w:rPr>
                <w:rFonts w:ascii="Consolas" w:cs="Consolas" w:eastAsia="Consolas" w:hAnsi="Consolas"/>
                <w:color w:val="E8F5F0"/>
                <w:sz w:val="18"/>
                <w:szCs w:val="18"/>
              </w:rPr>
              <w:t xml:space="preserve">             color="#DD8452", label="Actual", alpha=0.45)</w:t>
            </w:r>
          </w:p>
        </w:tc>
      </w:tr>
    </w:tbl>
    <w:p>
      <w:pPr>
        <w:spacing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48000"/>
                    </a:xfrm>
                    <a:prstGeom prst="rect">
                      <a:avLst/>
                    </a:prstGeom>
                  </pic:spPr>
                </pic:pic>
              </a:graphicData>
            </a:graphic>
          </wp:inline>
        </w:drawing>
      </w:r>
    </w:p>
    <w:p>
      <w:pPr>
        <w:spacing w:after="260" w:before="80"/>
        <w:jc w:val="center"/>
      </w:pPr>
      <w:r>
        <w:rPr>
          <w:rFonts w:ascii="Calibri" w:cs="Calibri" w:eastAsia="Calibri" w:hAnsi="Calibri"/>
          <w:b/>
          <w:bCs/>
          <w:i/>
          <w:iCs/>
          <w:color w:val="E2725B"/>
          <w:sz w:val="19"/>
          <w:szCs w:val="19"/>
        </w:rPr>
        <w:t xml:space="preserve">Distribution of Planned vs. Actual Delivery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5F1" w:sz="2"/>
              <w:left w:val="single" w:color="0B5D57" w:sz="24"/>
              <w:bottom w:val="single" w:color="EAF5F1" w:sz="2"/>
              <w:right w:val="single" w:color="EAF5F1" w:sz="2"/>
            </w:tcBorders>
            <w:shd w:fill="EAF5F1" w:val="clear"/>
            <w:tcMar>
              <w:top w:type="dxa" w:w="130"/>
              <w:left w:type="dxa" w:w="220"/>
              <w:bottom w:type="dxa" w:w="130"/>
              <w:right w:type="dxa" w:w="220"/>
            </w:tcMar>
          </w:tcPr>
          <w:p>
            <w:pPr>
              <w:spacing w:after="40"/>
            </w:pPr>
            <w:r>
              <w:rPr>
                <w:rFonts w:ascii="Cambria" w:cs="Cambria" w:eastAsia="Cambria" w:hAnsi="Cambria"/>
                <w:b/>
                <w:bCs/>
                <w:color w:val="0B5D57"/>
                <w:sz w:val="20"/>
                <w:szCs w:val="20"/>
              </w:rPr>
              <w:t xml:space="preserve">WHY THIS CHART</w:t>
            </w:r>
          </w:p>
          <w:p>
            <w:r>
              <w:rPr>
                <w:rFonts w:ascii="Calibri" w:cs="Calibri" w:eastAsia="Calibri" w:hAnsi="Calibri"/>
                <w:color w:val="222B2B"/>
                <w:sz w:val="21"/>
                <w:szCs w:val="21"/>
              </w:rPr>
              <w:t xml:space="preserve">An overlaid histogram with density curves is the clearest way to compare two distributions of the same unit (days) directly, showing both the shift in central tendency and the change in spread.</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7EE" w:sz="2"/>
              <w:left w:val="single" w:color="D4A017" w:sz="24"/>
              <w:bottom w:val="single" w:color="FBF7EE" w:sz="2"/>
              <w:right w:val="single" w:color="FBF7EE" w:sz="2"/>
            </w:tcBorders>
            <w:shd w:fill="FBF7EE" w:val="clear"/>
            <w:tcMar>
              <w:top w:type="dxa" w:w="130"/>
              <w:left w:type="dxa" w:w="220"/>
              <w:bottom w:type="dxa" w:w="130"/>
              <w:right w:type="dxa" w:w="220"/>
            </w:tcMar>
          </w:tcPr>
          <w:p>
            <w:pPr>
              <w:spacing w:after="40"/>
            </w:pPr>
            <w:r>
              <w:rPr>
                <w:rFonts w:ascii="Cambria" w:cs="Cambria" w:eastAsia="Cambria" w:hAnsi="Cambria"/>
                <w:b/>
                <w:bCs/>
                <w:color w:val="D4A017"/>
                <w:sz w:val="20"/>
                <w:szCs w:val="20"/>
              </w:rPr>
              <w:t xml:space="preserve">INSIGHT</w:t>
            </w:r>
          </w:p>
          <w:p>
            <w:r>
              <w:rPr>
                <w:rFonts w:ascii="Calibri" w:cs="Calibri" w:eastAsia="Calibri" w:hAnsi="Calibri"/>
                <w:color w:val="222B2B"/>
                <w:sz w:val="21"/>
                <w:szCs w:val="21"/>
              </w:rPr>
              <w:t xml:space="preserve">The actual delivery distribution is shifted right and more spread out than the planned distribution, confirming that delays are systemic rather than isolated incidents — the whole distribution moves, not just the tail.</w:t>
            </w:r>
          </w:p>
        </w:tc>
      </w:tr>
    </w:tbl>
    <w:p>
      <w:pPr>
        <w:spacing w:after="200"/>
      </w:pPr>
    </w:p>
    <w:p>
      <w:pPr>
        <w:pStyle w:val="Heading2"/>
        <w:pBdr>
          <w:left w:val="single" w:color="E2725B" w:sz="18" w:space="8"/>
        </w:pBdr>
        <w:spacing w:after="150" w:before="320"/>
        <w:ind w:left="130"/>
      </w:pPr>
      <w:r>
        <w:rPr>
          <w:rFonts w:ascii="Cambria" w:cs="Cambria" w:eastAsia="Cambria" w:hAnsi="Cambria"/>
          <w:b/>
          <w:bCs/>
          <w:color w:val="1B3A4B"/>
          <w:sz w:val="25"/>
          <w:szCs w:val="25"/>
        </w:rPr>
        <w:t xml:space="preserve">5.2 Delivery Delay by Transport Mode</w:t>
      </w:r>
    </w:p>
    <w:p>
      <w:pPr>
        <w:spacing w:after="160" w:line="276"/>
      </w:pPr>
      <w:r>
        <w:rPr>
          <w:rFonts w:ascii="Calibri" w:cs="Calibri" w:eastAsia="Calibri" w:hAnsi="Calibri"/>
          <w:i/>
          <w:iCs/>
          <w:color w:val="5C6B6B"/>
          <w:sz w:val="22"/>
          <w:szCs w:val="22"/>
        </w:rPr>
        <w:t xml:space="preserve">Question: Which transport mode is least reliable, and by how much?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D4A017" w:sz="24"/>
            </w:tcBorders>
            <w:shd w:fill="1E2B2A" w:val="clear"/>
            <w:tcMar>
              <w:top w:type="dxa" w:w="140"/>
              <w:left w:type="dxa" w:w="200"/>
              <w:bottom w:type="dxa" w:w="140"/>
              <w:right w:type="dxa" w:w="200"/>
            </w:tcMar>
          </w:tcPr>
          <w:p>
            <w:pPr>
              <w:spacing w:after="20"/>
            </w:pPr>
            <w:r>
              <w:rPr>
                <w:rFonts w:ascii="Consolas" w:cs="Consolas" w:eastAsia="Consolas" w:hAnsi="Consolas"/>
                <w:color w:val="E8F5F0"/>
                <w:sz w:val="18"/>
                <w:szCs w:val="18"/>
              </w:rPr>
              <w:t xml:space="preserve">order = df.groupby("mode")["delay_days"].median().sort_values().index</w:t>
            </w:r>
          </w:p>
          <w:p>
            <w:pPr>
              <w:spacing w:after="20"/>
            </w:pPr>
            <w:r>
              <w:rPr>
                <w:rFonts w:ascii="Consolas" w:cs="Consolas" w:eastAsia="Consolas" w:hAnsi="Consolas"/>
                <w:color w:val="E8F5F0"/>
                <w:sz w:val="18"/>
                <w:szCs w:val="18"/>
              </w:rPr>
              <w:t xml:space="preserve">sns.boxplot(data=df, x="mode", y="delay_days", order=order)</w:t>
            </w:r>
          </w:p>
          <w:p>
            <w:pPr>
              <w:spacing w:after="20"/>
            </w:pPr>
            <w:r>
              <w:rPr>
                <w:rFonts w:ascii="Consolas" w:cs="Consolas" w:eastAsia="Consolas" w:hAnsi="Consolas"/>
                <w:color w:val="E8F5F0"/>
                <w:sz w:val="18"/>
                <w:szCs w:val="18"/>
              </w:rPr>
              <w:t xml:space="preserve">ax.axhline(0, color="gray", linestyle="--")   # 0 = on-plan</w:t>
            </w:r>
          </w:p>
        </w:tc>
      </w:tr>
    </w:tbl>
    <w:p>
      <w:pPr>
        <w:spacing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48000"/>
                    </a:xfrm>
                    <a:prstGeom prst="rect">
                      <a:avLst/>
                    </a:prstGeom>
                  </pic:spPr>
                </pic:pic>
              </a:graphicData>
            </a:graphic>
          </wp:inline>
        </w:drawing>
      </w:r>
    </w:p>
    <w:p>
      <w:pPr>
        <w:spacing w:after="260" w:before="80"/>
        <w:jc w:val="center"/>
      </w:pPr>
      <w:r>
        <w:rPr>
          <w:rFonts w:ascii="Calibri" w:cs="Calibri" w:eastAsia="Calibri" w:hAnsi="Calibri"/>
          <w:b/>
          <w:bCs/>
          <w:i/>
          <w:iCs/>
          <w:color w:val="E2725B"/>
          <w:sz w:val="19"/>
          <w:szCs w:val="19"/>
        </w:rPr>
        <w:t xml:space="preserve">Delivery Delay by Transport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5F1" w:sz="2"/>
              <w:left w:val="single" w:color="0B5D57" w:sz="24"/>
              <w:bottom w:val="single" w:color="EAF5F1" w:sz="2"/>
              <w:right w:val="single" w:color="EAF5F1" w:sz="2"/>
            </w:tcBorders>
            <w:shd w:fill="EAF5F1" w:val="clear"/>
            <w:tcMar>
              <w:top w:type="dxa" w:w="130"/>
              <w:left w:type="dxa" w:w="220"/>
              <w:bottom w:type="dxa" w:w="130"/>
              <w:right w:type="dxa" w:w="220"/>
            </w:tcMar>
          </w:tcPr>
          <w:p>
            <w:pPr>
              <w:spacing w:after="40"/>
            </w:pPr>
            <w:r>
              <w:rPr>
                <w:rFonts w:ascii="Cambria" w:cs="Cambria" w:eastAsia="Cambria" w:hAnsi="Cambria"/>
                <w:b/>
                <w:bCs/>
                <w:color w:val="0B5D57"/>
                <w:sz w:val="20"/>
                <w:szCs w:val="20"/>
              </w:rPr>
              <w:t xml:space="preserve">WHY THIS CHART</w:t>
            </w:r>
          </w:p>
          <w:p>
            <w:r>
              <w:rPr>
                <w:rFonts w:ascii="Calibri" w:cs="Calibri" w:eastAsia="Calibri" w:hAnsi="Calibri"/>
                <w:color w:val="222B2B"/>
                <w:sz w:val="21"/>
                <w:szCs w:val="21"/>
              </w:rPr>
              <w:t xml:space="preserve">Boxplots reveal median, interquartile spread, and outliers simultaneously — essential for comparing reliability (not just average delay) across categories.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7EE" w:sz="2"/>
              <w:left w:val="single" w:color="D4A017" w:sz="24"/>
              <w:bottom w:val="single" w:color="FBF7EE" w:sz="2"/>
              <w:right w:val="single" w:color="FBF7EE" w:sz="2"/>
            </w:tcBorders>
            <w:shd w:fill="FBF7EE" w:val="clear"/>
            <w:tcMar>
              <w:top w:type="dxa" w:w="130"/>
              <w:left w:type="dxa" w:w="220"/>
              <w:bottom w:type="dxa" w:w="130"/>
              <w:right w:type="dxa" w:w="220"/>
            </w:tcMar>
          </w:tcPr>
          <w:p>
            <w:pPr>
              <w:spacing w:after="40"/>
            </w:pPr>
            <w:r>
              <w:rPr>
                <w:rFonts w:ascii="Cambria" w:cs="Cambria" w:eastAsia="Cambria" w:hAnsi="Cambria"/>
                <w:b/>
                <w:bCs/>
                <w:color w:val="D4A017"/>
                <w:sz w:val="20"/>
                <w:szCs w:val="20"/>
              </w:rPr>
              <w:t xml:space="preserve">INSIGHT</w:t>
            </w:r>
          </w:p>
          <w:p>
            <w:r>
              <w:rPr>
                <w:rFonts w:ascii="Calibri" w:cs="Calibri" w:eastAsia="Calibri" w:hAnsi="Calibri"/>
                <w:color w:val="222B2B"/>
                <w:sz w:val="21"/>
                <w:szCs w:val="21"/>
              </w:rPr>
              <w:t xml:space="preserve">Road shows the widest interquartile range and the highest median delay, while Air is tightly clustered around zero. This indicates Road's problem is variability and unpredictability, not just average speed — a harder operational issue to fix than raw transit time.</w:t>
            </w:r>
          </w:p>
        </w:tc>
      </w:tr>
    </w:tbl>
    <w:p>
      <w:pPr>
        <w:spacing w:after="200"/>
      </w:pPr>
    </w:p>
    <w:p>
      <w:pPr>
        <w:pStyle w:val="Heading2"/>
        <w:pBdr>
          <w:left w:val="single" w:color="E2725B" w:sz="18" w:space="8"/>
        </w:pBdr>
        <w:spacing w:after="150" w:before="320"/>
        <w:ind w:left="130"/>
      </w:pPr>
      <w:r>
        <w:rPr>
          <w:rFonts w:ascii="Cambria" w:cs="Cambria" w:eastAsia="Cambria" w:hAnsi="Cambria"/>
          <w:b/>
          <w:bCs/>
          <w:color w:val="1B3A4B"/>
          <w:sz w:val="25"/>
          <w:szCs w:val="25"/>
        </w:rPr>
        <w:t xml:space="preserve">5.3 Transportation Cost vs. Distance by Mode</w:t>
      </w:r>
    </w:p>
    <w:p>
      <w:pPr>
        <w:spacing w:after="160" w:line="276"/>
      </w:pPr>
      <w:r>
        <w:rPr>
          <w:rFonts w:ascii="Calibri" w:cs="Calibri" w:eastAsia="Calibri" w:hAnsi="Calibri"/>
          <w:i/>
          <w:iCs/>
          <w:color w:val="5C6B6B"/>
          <w:sz w:val="22"/>
          <w:szCs w:val="22"/>
        </w:rPr>
        <w:t xml:space="preserve">Question: How does cost scale with distance, and does the relationship differ 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D4A017" w:sz="24"/>
            </w:tcBorders>
            <w:shd w:fill="1E2B2A" w:val="clear"/>
            <w:tcMar>
              <w:top w:type="dxa" w:w="140"/>
              <w:left w:type="dxa" w:w="200"/>
              <w:bottom w:type="dxa" w:w="140"/>
              <w:right w:type="dxa" w:w="200"/>
            </w:tcMar>
          </w:tcPr>
          <w:p>
            <w:pPr>
              <w:spacing w:after="20"/>
            </w:pPr>
            <w:r>
              <w:rPr>
                <w:rFonts w:ascii="Consolas" w:cs="Consolas" w:eastAsia="Consolas" w:hAnsi="Consolas"/>
                <w:color w:val="E8F5F0"/>
                <w:sz w:val="18"/>
                <w:szCs w:val="18"/>
              </w:rPr>
              <w:t xml:space="preserve">sns.scatterplot(data=df, x="distance_km", y="transportation_cost_usd",</w:t>
            </w:r>
          </w:p>
          <w:p>
            <w:pPr>
              <w:spacing w:after="20"/>
            </w:pPr>
            <w:r>
              <w:rPr>
                <w:rFonts w:ascii="Consolas" w:cs="Consolas" w:eastAsia="Consolas" w:hAnsi="Consolas"/>
                <w:color w:val="E8F5F0"/>
                <w:sz w:val="18"/>
                <w:szCs w:val="18"/>
              </w:rPr>
              <w:t xml:space="preserve">                hue="mode", alpha=0.65, s=35)</w:t>
            </w:r>
          </w:p>
        </w:tc>
      </w:tr>
    </w:tbl>
    <w:p>
      <w:pPr>
        <w:spacing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048000"/>
                    </a:xfrm>
                    <a:prstGeom prst="rect">
                      <a:avLst/>
                    </a:prstGeom>
                  </pic:spPr>
                </pic:pic>
              </a:graphicData>
            </a:graphic>
          </wp:inline>
        </w:drawing>
      </w:r>
    </w:p>
    <w:p>
      <w:pPr>
        <w:spacing w:after="260" w:before="80"/>
        <w:jc w:val="center"/>
      </w:pPr>
      <w:r>
        <w:rPr>
          <w:rFonts w:ascii="Calibri" w:cs="Calibri" w:eastAsia="Calibri" w:hAnsi="Calibri"/>
          <w:b/>
          <w:bCs/>
          <w:i/>
          <w:iCs/>
          <w:color w:val="E2725B"/>
          <w:sz w:val="19"/>
          <w:szCs w:val="19"/>
        </w:rPr>
        <w:t xml:space="preserve">Transportation Cost vs. Distance 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5F1" w:sz="2"/>
              <w:left w:val="single" w:color="0B5D57" w:sz="24"/>
              <w:bottom w:val="single" w:color="EAF5F1" w:sz="2"/>
              <w:right w:val="single" w:color="EAF5F1" w:sz="2"/>
            </w:tcBorders>
            <w:shd w:fill="EAF5F1" w:val="clear"/>
            <w:tcMar>
              <w:top w:type="dxa" w:w="130"/>
              <w:left w:type="dxa" w:w="220"/>
              <w:bottom w:type="dxa" w:w="130"/>
              <w:right w:type="dxa" w:w="220"/>
            </w:tcMar>
          </w:tcPr>
          <w:p>
            <w:pPr>
              <w:spacing w:after="40"/>
            </w:pPr>
            <w:r>
              <w:rPr>
                <w:rFonts w:ascii="Cambria" w:cs="Cambria" w:eastAsia="Cambria" w:hAnsi="Cambria"/>
                <w:b/>
                <w:bCs/>
                <w:color w:val="0B5D57"/>
                <w:sz w:val="20"/>
                <w:szCs w:val="20"/>
              </w:rPr>
              <w:t xml:space="preserve">WHY THIS CHART</w:t>
            </w:r>
          </w:p>
          <w:p>
            <w:r>
              <w:rPr>
                <w:rFonts w:ascii="Calibri" w:cs="Calibri" w:eastAsia="Calibri" w:hAnsi="Calibri"/>
                <w:color w:val="222B2B"/>
                <w:sz w:val="21"/>
                <w:szCs w:val="21"/>
              </w:rPr>
              <w:t xml:space="preserve">A color-coded scatterplot exposes both the overall cost-distance relationship and hidden sub-groups (modes) with different slopes — patterns a single trend line would obscure.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7EE" w:sz="2"/>
              <w:left w:val="single" w:color="D4A017" w:sz="24"/>
              <w:bottom w:val="single" w:color="FBF7EE" w:sz="2"/>
              <w:right w:val="single" w:color="FBF7EE" w:sz="2"/>
            </w:tcBorders>
            <w:shd w:fill="FBF7EE" w:val="clear"/>
            <w:tcMar>
              <w:top w:type="dxa" w:w="130"/>
              <w:left w:type="dxa" w:w="220"/>
              <w:bottom w:type="dxa" w:w="130"/>
              <w:right w:type="dxa" w:w="220"/>
            </w:tcMar>
          </w:tcPr>
          <w:p>
            <w:pPr>
              <w:spacing w:after="40"/>
            </w:pPr>
            <w:r>
              <w:rPr>
                <w:rFonts w:ascii="Cambria" w:cs="Cambria" w:eastAsia="Cambria" w:hAnsi="Cambria"/>
                <w:b/>
                <w:bCs/>
                <w:color w:val="D4A017"/>
                <w:sz w:val="20"/>
                <w:szCs w:val="20"/>
              </w:rPr>
              <w:t xml:space="preserve">INSIGHT</w:t>
            </w:r>
          </w:p>
          <w:p>
            <w:r>
              <w:rPr>
                <w:rFonts w:ascii="Calibri" w:cs="Calibri" w:eastAsia="Calibri" w:hAnsi="Calibri"/>
                <w:color w:val="222B2B"/>
                <w:sz w:val="21"/>
                <w:szCs w:val="21"/>
              </w:rPr>
              <w:t xml:space="preserve">Air (gold cluster) sits on a much steeper cost-per-km slope than Sea or Rail, confirming that mode, not distance alone, is the dominant cost driver for long-haul shipments.</w:t>
            </w:r>
          </w:p>
        </w:tc>
      </w:tr>
    </w:tbl>
    <w:p>
      <w:pPr>
        <w:spacing w:after="200"/>
      </w:pPr>
    </w:p>
    <w:p>
      <w:pPr>
        <w:pStyle w:val="Heading2"/>
        <w:pBdr>
          <w:left w:val="single" w:color="E2725B" w:sz="18" w:space="8"/>
        </w:pBdr>
        <w:spacing w:after="150" w:before="320"/>
        <w:ind w:left="130"/>
      </w:pPr>
      <w:r>
        <w:rPr>
          <w:rFonts w:ascii="Cambria" w:cs="Cambria" w:eastAsia="Cambria" w:hAnsi="Cambria"/>
          <w:b/>
          <w:bCs/>
          <w:color w:val="1B3A4B"/>
          <w:sz w:val="25"/>
          <w:szCs w:val="25"/>
        </w:rPr>
        <w:t xml:space="preserve">5.4 Correlation Matrix of Key Logistics Variables</w:t>
      </w:r>
    </w:p>
    <w:p>
      <w:pPr>
        <w:spacing w:after="160" w:line="276"/>
      </w:pPr>
      <w:r>
        <w:rPr>
          <w:rFonts w:ascii="Calibri" w:cs="Calibri" w:eastAsia="Calibri" w:hAnsi="Calibri"/>
          <w:i/>
          <w:iCs/>
          <w:color w:val="5C6B6B"/>
          <w:sz w:val="22"/>
          <w:szCs w:val="22"/>
        </w:rPr>
        <w:t xml:space="preserve">Question: Which operational variables move together, and which relationships are counterintuitive?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D4A017" w:sz="24"/>
            </w:tcBorders>
            <w:shd w:fill="1E2B2A" w:val="clear"/>
            <w:tcMar>
              <w:top w:type="dxa" w:w="140"/>
              <w:left w:type="dxa" w:w="200"/>
              <w:bottom w:type="dxa" w:w="140"/>
              <w:right w:type="dxa" w:w="200"/>
            </w:tcMar>
          </w:tcPr>
          <w:p>
            <w:pPr>
              <w:spacing w:after="20"/>
            </w:pPr>
            <w:r>
              <w:rPr>
                <w:rFonts w:ascii="Consolas" w:cs="Consolas" w:eastAsia="Consolas" w:hAnsi="Consolas"/>
                <w:color w:val="E8F5F0"/>
                <w:sz w:val="18"/>
                <w:szCs w:val="18"/>
              </w:rPr>
              <w:t xml:space="preserve">corr = df[numeric_cols].corr()</w:t>
            </w:r>
          </w:p>
          <w:p>
            <w:pPr>
              <w:spacing w:after="20"/>
            </w:pPr>
            <w:r>
              <w:rPr>
                <w:rFonts w:ascii="Consolas" w:cs="Consolas" w:eastAsia="Consolas" w:hAnsi="Consolas"/>
                <w:color w:val="E8F5F0"/>
                <w:sz w:val="18"/>
                <w:szCs w:val="18"/>
              </w:rPr>
              <w:t xml:space="preserve">teal_gold_cmap = sns.diverging_palette(175, 40, s=75, l=45, as_cmap=True)</w:t>
            </w:r>
          </w:p>
          <w:p>
            <w:pPr>
              <w:spacing w:after="20"/>
            </w:pPr>
            <w:r>
              <w:rPr>
                <w:rFonts w:ascii="Consolas" w:cs="Consolas" w:eastAsia="Consolas" w:hAnsi="Consolas"/>
                <w:color w:val="E8F5F0"/>
                <w:sz w:val="18"/>
                <w:szCs w:val="18"/>
              </w:rPr>
              <w:t xml:space="preserve">sns.heatmap(corr, annot=True, fmt=".2f", cmap=teal_gold_cmap, center=0, square=True)</w:t>
            </w:r>
          </w:p>
        </w:tc>
      </w:tr>
    </w:tbl>
    <w:p>
      <w:pPr>
        <w:spacing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048000"/>
                    </a:xfrm>
                    <a:prstGeom prst="rect">
                      <a:avLst/>
                    </a:prstGeom>
                  </pic:spPr>
                </pic:pic>
              </a:graphicData>
            </a:graphic>
          </wp:inline>
        </w:drawing>
      </w:r>
    </w:p>
    <w:p>
      <w:pPr>
        <w:spacing w:after="260" w:before="80"/>
        <w:jc w:val="center"/>
      </w:pPr>
      <w:r>
        <w:rPr>
          <w:rFonts w:ascii="Calibri" w:cs="Calibri" w:eastAsia="Calibri" w:hAnsi="Calibri"/>
          <w:b/>
          <w:bCs/>
          <w:i/>
          <w:iCs/>
          <w:color w:val="E2725B"/>
          <w:sz w:val="19"/>
          <w:szCs w:val="19"/>
        </w:rPr>
        <w:t xml:space="preserve">Correlation Matrix of Key Logistics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5F1" w:sz="2"/>
              <w:left w:val="single" w:color="0B5D57" w:sz="24"/>
              <w:bottom w:val="single" w:color="EAF5F1" w:sz="2"/>
              <w:right w:val="single" w:color="EAF5F1" w:sz="2"/>
            </w:tcBorders>
            <w:shd w:fill="EAF5F1" w:val="clear"/>
            <w:tcMar>
              <w:top w:type="dxa" w:w="130"/>
              <w:left w:type="dxa" w:w="220"/>
              <w:bottom w:type="dxa" w:w="130"/>
              <w:right w:type="dxa" w:w="220"/>
            </w:tcMar>
          </w:tcPr>
          <w:p>
            <w:pPr>
              <w:spacing w:after="40"/>
            </w:pPr>
            <w:r>
              <w:rPr>
                <w:rFonts w:ascii="Cambria" w:cs="Cambria" w:eastAsia="Cambria" w:hAnsi="Cambria"/>
                <w:b/>
                <w:bCs/>
                <w:color w:val="0B5D57"/>
                <w:sz w:val="20"/>
                <w:szCs w:val="20"/>
              </w:rPr>
              <w:t xml:space="preserve">WHY THIS CHART</w:t>
            </w:r>
          </w:p>
          <w:p>
            <w:r>
              <w:rPr>
                <w:rFonts w:ascii="Calibri" w:cs="Calibri" w:eastAsia="Calibri" w:hAnsi="Calibri"/>
                <w:color w:val="222B2B"/>
                <w:sz w:val="21"/>
                <w:szCs w:val="21"/>
              </w:rPr>
              <w:t xml:space="preserve">A heatmap condenses many pairwise relationships into one glanceable view, using color intensity to draw the eye straight to the strongest (positive or negative) correlations.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7EE" w:sz="2"/>
              <w:left w:val="single" w:color="D4A017" w:sz="24"/>
              <w:bottom w:val="single" w:color="FBF7EE" w:sz="2"/>
              <w:right w:val="single" w:color="FBF7EE" w:sz="2"/>
            </w:tcBorders>
            <w:shd w:fill="FBF7EE" w:val="clear"/>
            <w:tcMar>
              <w:top w:type="dxa" w:w="130"/>
              <w:left w:type="dxa" w:w="220"/>
              <w:bottom w:type="dxa" w:w="130"/>
              <w:right w:type="dxa" w:w="220"/>
            </w:tcMar>
          </w:tcPr>
          <w:p>
            <w:pPr>
              <w:spacing w:after="40"/>
            </w:pPr>
            <w:r>
              <w:rPr>
                <w:rFonts w:ascii="Cambria" w:cs="Cambria" w:eastAsia="Cambria" w:hAnsi="Cambria"/>
                <w:b/>
                <w:bCs/>
                <w:color w:val="D4A017"/>
                <w:sz w:val="20"/>
                <w:szCs w:val="20"/>
              </w:rPr>
              <w:t xml:space="preserve">INSIGHT</w:t>
            </w:r>
          </w:p>
          <w:p>
            <w:r>
              <w:rPr>
                <w:rFonts w:ascii="Calibri" w:cs="Calibri" w:eastAsia="Calibri" w:hAnsi="Calibri"/>
                <w:color w:val="222B2B"/>
                <w:sz w:val="21"/>
                <w:szCs w:val="21"/>
              </w:rPr>
              <w:t xml:space="preserve">The negative correlation between cost and planned delivery days (-0.34) is the most actionable finding here: it warns analysts against assuming 'faster is always more expensive' without first controlling for transport mode.</w:t>
            </w:r>
          </w:p>
        </w:tc>
      </w:tr>
    </w:tbl>
    <w:p>
      <w:pPr>
        <w:spacing w:after="200"/>
      </w:pPr>
    </w:p>
    <w:p>
      <w:pPr>
        <w:pStyle w:val="Heading2"/>
        <w:pBdr>
          <w:left w:val="single" w:color="E2725B" w:sz="18" w:space="8"/>
        </w:pBdr>
        <w:spacing w:after="150" w:before="320"/>
        <w:ind w:left="130"/>
      </w:pPr>
      <w:r>
        <w:rPr>
          <w:rFonts w:ascii="Cambria" w:cs="Cambria" w:eastAsia="Cambria" w:hAnsi="Cambria"/>
          <w:b/>
          <w:bCs/>
          <w:color w:val="1B3A4B"/>
          <w:sz w:val="25"/>
          <w:szCs w:val="25"/>
        </w:rPr>
        <w:t xml:space="preserve">5.5 Monthly Shipment Volume vs. On-Time Delivery Rate</w:t>
      </w:r>
    </w:p>
    <w:p>
      <w:pPr>
        <w:spacing w:after="160" w:line="276"/>
      </w:pPr>
      <w:r>
        <w:rPr>
          <w:rFonts w:ascii="Calibri" w:cs="Calibri" w:eastAsia="Calibri" w:hAnsi="Calibri"/>
          <w:i/>
          <w:iCs/>
          <w:color w:val="5C6B6B"/>
          <w:sz w:val="22"/>
          <w:szCs w:val="22"/>
        </w:rPr>
        <w:t xml:space="preserve">Question: How do shipment volume and service reliability trend across the year, and do they interact?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D4A017" w:sz="24"/>
            </w:tcBorders>
            <w:shd w:fill="1E2B2A" w:val="clear"/>
            <w:tcMar>
              <w:top w:type="dxa" w:w="140"/>
              <w:left w:type="dxa" w:w="200"/>
              <w:bottom w:type="dxa" w:w="140"/>
              <w:right w:type="dxa" w:w="200"/>
            </w:tcMar>
          </w:tcPr>
          <w:p>
            <w:pPr>
              <w:spacing w:after="20"/>
            </w:pPr>
            <w:r>
              <w:rPr>
                <w:rFonts w:ascii="Consolas" w:cs="Consolas" w:eastAsia="Consolas" w:hAnsi="Consolas"/>
                <w:color w:val="E8F5F0"/>
                <w:sz w:val="18"/>
                <w:szCs w:val="18"/>
              </w:rPr>
              <w:t xml:space="preserve">ax1.bar(monthly.index, monthly["total_volume_kg"] / 1000)      # tonnes</w:t>
            </w:r>
          </w:p>
          <w:p>
            <w:pPr>
              <w:spacing w:after="20"/>
            </w:pPr>
            <w:r>
              <w:rPr>
                <w:rFonts w:ascii="Consolas" w:cs="Consolas" w:eastAsia="Consolas" w:hAnsi="Consolas"/>
                <w:color w:val="E8F5F0"/>
                <w:sz w:val="18"/>
                <w:szCs w:val="18"/>
              </w:rPr>
              <w:t xml:space="preserve">ax2 = ax1.twinx()</w:t>
            </w:r>
          </w:p>
          <w:p>
            <w:pPr>
              <w:spacing w:after="20"/>
            </w:pPr>
            <w:r>
              <w:rPr>
                <w:rFonts w:ascii="Consolas" w:cs="Consolas" w:eastAsia="Consolas" w:hAnsi="Consolas"/>
                <w:color w:val="E8F5F0"/>
                <w:sz w:val="18"/>
                <w:szCs w:val="18"/>
              </w:rPr>
              <w:t xml:space="preserve">ax2.plot(monthly.index, monthly["on_time_rate"], color="#C44E52", marker="o")</w:t>
            </w:r>
          </w:p>
        </w:tc>
      </w:tr>
    </w:tbl>
    <w:p>
      <w:pPr>
        <w:spacing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048000"/>
                    </a:xfrm>
                    <a:prstGeom prst="rect">
                      <a:avLst/>
                    </a:prstGeom>
                  </pic:spPr>
                </pic:pic>
              </a:graphicData>
            </a:graphic>
          </wp:inline>
        </w:drawing>
      </w:r>
    </w:p>
    <w:p>
      <w:pPr>
        <w:spacing w:after="260" w:before="80"/>
        <w:jc w:val="center"/>
      </w:pPr>
      <w:r>
        <w:rPr>
          <w:rFonts w:ascii="Calibri" w:cs="Calibri" w:eastAsia="Calibri" w:hAnsi="Calibri"/>
          <w:b/>
          <w:bCs/>
          <w:i/>
          <w:iCs/>
          <w:color w:val="E2725B"/>
          <w:sz w:val="19"/>
          <w:szCs w:val="19"/>
        </w:rPr>
        <w:t xml:space="preserve">Monthly Shipment Volume vs. On-Time Delivery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5F1" w:sz="2"/>
              <w:left w:val="single" w:color="0B5D57" w:sz="24"/>
              <w:bottom w:val="single" w:color="EAF5F1" w:sz="2"/>
              <w:right w:val="single" w:color="EAF5F1" w:sz="2"/>
            </w:tcBorders>
            <w:shd w:fill="EAF5F1" w:val="clear"/>
            <w:tcMar>
              <w:top w:type="dxa" w:w="130"/>
              <w:left w:type="dxa" w:w="220"/>
              <w:bottom w:type="dxa" w:w="130"/>
              <w:right w:type="dxa" w:w="220"/>
            </w:tcMar>
          </w:tcPr>
          <w:p>
            <w:pPr>
              <w:spacing w:after="40"/>
            </w:pPr>
            <w:r>
              <w:rPr>
                <w:rFonts w:ascii="Cambria" w:cs="Cambria" w:eastAsia="Cambria" w:hAnsi="Cambria"/>
                <w:b/>
                <w:bCs/>
                <w:color w:val="0B5D57"/>
                <w:sz w:val="20"/>
                <w:szCs w:val="20"/>
              </w:rPr>
              <w:t xml:space="preserve">WHY THIS CHART</w:t>
            </w:r>
          </w:p>
          <w:p>
            <w:r>
              <w:rPr>
                <w:rFonts w:ascii="Calibri" w:cs="Calibri" w:eastAsia="Calibri" w:hAnsi="Calibri"/>
                <w:color w:val="222B2B"/>
                <w:sz w:val="21"/>
                <w:szCs w:val="21"/>
              </w:rPr>
              <w:t xml:space="preserve">A dual-axis combination chart is appropriate here because volume (tonnes) and rate (%) are on different scales but need to be read together to see whether one drives the other.</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7EE" w:sz="2"/>
              <w:left w:val="single" w:color="D4A017" w:sz="24"/>
              <w:bottom w:val="single" w:color="FBF7EE" w:sz="2"/>
              <w:right w:val="single" w:color="FBF7EE" w:sz="2"/>
            </w:tcBorders>
            <w:shd w:fill="FBF7EE" w:val="clear"/>
            <w:tcMar>
              <w:top w:type="dxa" w:w="130"/>
              <w:left w:type="dxa" w:w="220"/>
              <w:bottom w:type="dxa" w:w="130"/>
              <w:right w:type="dxa" w:w="220"/>
            </w:tcMar>
          </w:tcPr>
          <w:p>
            <w:pPr>
              <w:spacing w:after="40"/>
            </w:pPr>
            <w:r>
              <w:rPr>
                <w:rFonts w:ascii="Cambria" w:cs="Cambria" w:eastAsia="Cambria" w:hAnsi="Cambria"/>
                <w:b/>
                <w:bCs/>
                <w:color w:val="D4A017"/>
                <w:sz w:val="20"/>
                <w:szCs w:val="20"/>
              </w:rPr>
              <w:t xml:space="preserve">INSIGHT</w:t>
            </w:r>
          </w:p>
          <w:p>
            <w:r>
              <w:rPr>
                <w:rFonts w:ascii="Calibri" w:cs="Calibri" w:eastAsia="Calibri" w:hAnsi="Calibri"/>
                <w:color w:val="222B2B"/>
                <w:sz w:val="21"/>
                <w:szCs w:val="21"/>
              </w:rPr>
              <w:t xml:space="preserve">On-time performance is fairly stable (55-63%) from January through October, then collapses to ~22% in November-December — precisely the peak shipping season. This is the single clearest bottleneck in the dataset and points to a capacity, not a quality, problem.</w:t>
            </w:r>
          </w:p>
        </w:tc>
      </w:tr>
    </w:tbl>
    <w:p>
      <w:pPr>
        <w:spacing w:after="200"/>
      </w:pPr>
    </w:p>
    <w:p>
      <w:pPr>
        <w:pStyle w:val="Heading2"/>
        <w:pBdr>
          <w:left w:val="single" w:color="E2725B" w:sz="18" w:space="8"/>
        </w:pBdr>
        <w:spacing w:after="150" w:before="320"/>
        <w:ind w:left="130"/>
      </w:pPr>
      <w:r>
        <w:rPr>
          <w:rFonts w:ascii="Cambria" w:cs="Cambria" w:eastAsia="Cambria" w:hAnsi="Cambria"/>
          <w:b/>
          <w:bCs/>
          <w:color w:val="1B3A4B"/>
          <w:sz w:val="25"/>
          <w:szCs w:val="25"/>
        </w:rPr>
        <w:t xml:space="preserve">5.6 On-Time Delivery Rate by Region</w:t>
      </w:r>
    </w:p>
    <w:p>
      <w:pPr>
        <w:spacing w:after="160" w:line="276"/>
      </w:pPr>
      <w:r>
        <w:rPr>
          <w:rFonts w:ascii="Calibri" w:cs="Calibri" w:eastAsia="Calibri" w:hAnsi="Calibri"/>
          <w:i/>
          <w:iCs/>
          <w:color w:val="5C6B6B"/>
          <w:sz w:val="22"/>
          <w:szCs w:val="22"/>
        </w:rPr>
        <w:t xml:space="preserve">Question: Where are the biggest regional service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D4A017" w:sz="24"/>
            </w:tcBorders>
            <w:shd w:fill="1E2B2A" w:val="clear"/>
            <w:tcMar>
              <w:top w:type="dxa" w:w="140"/>
              <w:left w:type="dxa" w:w="200"/>
              <w:bottom w:type="dxa" w:w="140"/>
              <w:right w:type="dxa" w:w="200"/>
            </w:tcMar>
          </w:tcPr>
          <w:p>
            <w:pPr>
              <w:spacing w:after="20"/>
            </w:pPr>
            <w:r>
              <w:rPr>
                <w:rFonts w:ascii="Consolas" w:cs="Consolas" w:eastAsia="Consolas" w:hAnsi="Consolas"/>
                <w:color w:val="E8F5F0"/>
                <w:sz w:val="18"/>
                <w:szCs w:val="18"/>
              </w:rPr>
              <w:t xml:space="preserve">otp_region = df.groupby("region")["delayed"].apply(lambda x: (~x).mean()*100)</w:t>
            </w:r>
          </w:p>
          <w:p>
            <w:pPr>
              <w:spacing w:after="20"/>
            </w:pPr>
            <w:r>
              <w:rPr>
                <w:rFonts w:ascii="Consolas" w:cs="Consolas" w:eastAsia="Consolas" w:hAnsi="Consolas"/>
                <w:color w:val="E8F5F0"/>
                <w:sz w:val="18"/>
                <w:szCs w:val="18"/>
              </w:rPr>
              <w:t xml:space="preserve">ax.bar(otp_region.index, otp_region.values)</w:t>
            </w:r>
          </w:p>
          <w:p>
            <w:pPr>
              <w:spacing w:after="20"/>
            </w:pPr>
            <w:r>
              <w:rPr>
                <w:rFonts w:ascii="Consolas" w:cs="Consolas" w:eastAsia="Consolas" w:hAnsi="Consolas"/>
                <w:color w:val="E8F5F0"/>
                <w:sz w:val="18"/>
                <w:szCs w:val="18"/>
              </w:rPr>
              <w:t xml:space="preserve">ax.axhline(otp_region.mean(), linestyle="--")   # benchmark line</w:t>
            </w:r>
          </w:p>
        </w:tc>
      </w:tr>
    </w:tbl>
    <w:p>
      <w:pPr>
        <w:spacing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048000"/>
                    </a:xfrm>
                    <a:prstGeom prst="rect">
                      <a:avLst/>
                    </a:prstGeom>
                  </pic:spPr>
                </pic:pic>
              </a:graphicData>
            </a:graphic>
          </wp:inline>
        </w:drawing>
      </w:r>
    </w:p>
    <w:p>
      <w:pPr>
        <w:spacing w:after="260" w:before="80"/>
        <w:jc w:val="center"/>
      </w:pPr>
      <w:r>
        <w:rPr>
          <w:rFonts w:ascii="Calibri" w:cs="Calibri" w:eastAsia="Calibri" w:hAnsi="Calibri"/>
          <w:b/>
          <w:bCs/>
          <w:i/>
          <w:iCs/>
          <w:color w:val="E2725B"/>
          <w:sz w:val="19"/>
          <w:szCs w:val="19"/>
        </w:rPr>
        <w:t xml:space="preserve">On-Time Delivery Rate by 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5F1" w:sz="2"/>
              <w:left w:val="single" w:color="0B5D57" w:sz="24"/>
              <w:bottom w:val="single" w:color="EAF5F1" w:sz="2"/>
              <w:right w:val="single" w:color="EAF5F1" w:sz="2"/>
            </w:tcBorders>
            <w:shd w:fill="EAF5F1" w:val="clear"/>
            <w:tcMar>
              <w:top w:type="dxa" w:w="130"/>
              <w:left w:type="dxa" w:w="220"/>
              <w:bottom w:type="dxa" w:w="130"/>
              <w:right w:type="dxa" w:w="220"/>
            </w:tcMar>
          </w:tcPr>
          <w:p>
            <w:pPr>
              <w:spacing w:after="40"/>
            </w:pPr>
            <w:r>
              <w:rPr>
                <w:rFonts w:ascii="Cambria" w:cs="Cambria" w:eastAsia="Cambria" w:hAnsi="Cambria"/>
                <w:b/>
                <w:bCs/>
                <w:color w:val="0B5D57"/>
                <w:sz w:val="20"/>
                <w:szCs w:val="20"/>
              </w:rPr>
              <w:t xml:space="preserve">WHY THIS CHART</w:t>
            </w:r>
          </w:p>
          <w:p>
            <w:r>
              <w:rPr>
                <w:rFonts w:ascii="Calibri" w:cs="Calibri" w:eastAsia="Calibri" w:hAnsi="Calibri"/>
                <w:color w:val="222B2B"/>
                <w:sz w:val="21"/>
                <w:szCs w:val="21"/>
              </w:rPr>
              <w:t xml:space="preserve">A simple ranked bar chart with a benchmark line is the most direct way to compare a single metric across a small number of categories and flag under/over performers at a glance.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7EE" w:sz="2"/>
              <w:left w:val="single" w:color="D4A017" w:sz="24"/>
              <w:bottom w:val="single" w:color="FBF7EE" w:sz="2"/>
              <w:right w:val="single" w:color="FBF7EE" w:sz="2"/>
            </w:tcBorders>
            <w:shd w:fill="FBF7EE" w:val="clear"/>
            <w:tcMar>
              <w:top w:type="dxa" w:w="130"/>
              <w:left w:type="dxa" w:w="220"/>
              <w:bottom w:type="dxa" w:w="130"/>
              <w:right w:type="dxa" w:w="220"/>
            </w:tcMar>
          </w:tcPr>
          <w:p>
            <w:pPr>
              <w:spacing w:after="40"/>
            </w:pPr>
            <w:r>
              <w:rPr>
                <w:rFonts w:ascii="Cambria" w:cs="Cambria" w:eastAsia="Cambria" w:hAnsi="Cambria"/>
                <w:b/>
                <w:bCs/>
                <w:color w:val="D4A017"/>
                <w:sz w:val="20"/>
                <w:szCs w:val="20"/>
              </w:rPr>
              <w:t xml:space="preserve">INSIGHT</w:t>
            </w:r>
          </w:p>
          <w:p>
            <w:r>
              <w:rPr>
                <w:rFonts w:ascii="Calibri" w:cs="Calibri" w:eastAsia="Calibri" w:hAnsi="Calibri"/>
                <w:color w:val="222B2B"/>
                <w:sz w:val="21"/>
                <w:szCs w:val="21"/>
              </w:rPr>
              <w:t xml:space="preserve">Regional on-time rates are fairly close together (51.9%-55.1%), which suggests the primary driver of unreliability is mode and season rather than geography — regional-level fixes would have limited impact compared to mode- or season-level ones.</w:t>
            </w:r>
          </w:p>
        </w:tc>
      </w:tr>
    </w:tbl>
    <w:p>
      <w:pPr>
        <w:spacing w:after="200"/>
      </w:pPr>
    </w:p>
    <w:p>
      <w:pPr>
        <w:pStyle w:val="Heading2"/>
        <w:pBdr>
          <w:left w:val="single" w:color="E2725B" w:sz="18" w:space="8"/>
        </w:pBdr>
        <w:spacing w:after="150" w:before="320"/>
        <w:ind w:left="130"/>
      </w:pPr>
      <w:r>
        <w:rPr>
          <w:rFonts w:ascii="Cambria" w:cs="Cambria" w:eastAsia="Cambria" w:hAnsi="Cambria"/>
          <w:b/>
          <w:bCs/>
          <w:color w:val="1B3A4B"/>
          <w:sz w:val="25"/>
          <w:szCs w:val="25"/>
        </w:rPr>
        <w:t xml:space="preserve">5.7 Average Cost per Kilometer by Transport Mode</w:t>
      </w:r>
    </w:p>
    <w:p>
      <w:pPr>
        <w:spacing w:after="160" w:line="276"/>
      </w:pPr>
      <w:r>
        <w:rPr>
          <w:rFonts w:ascii="Calibri" w:cs="Calibri" w:eastAsia="Calibri" w:hAnsi="Calibri"/>
          <w:i/>
          <w:iCs/>
          <w:color w:val="5C6B6B"/>
          <w:sz w:val="22"/>
          <w:szCs w:val="22"/>
        </w:rPr>
        <w:t xml:space="preserve">Question: Which mode is most cost-efficient, independent of distance travelled?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D4A017" w:sz="24"/>
            </w:tcBorders>
            <w:shd w:fill="1E2B2A" w:val="clear"/>
            <w:tcMar>
              <w:top w:type="dxa" w:w="140"/>
              <w:left w:type="dxa" w:w="200"/>
              <w:bottom w:type="dxa" w:w="140"/>
              <w:right w:type="dxa" w:w="200"/>
            </w:tcMar>
          </w:tcPr>
          <w:p>
            <w:pPr>
              <w:spacing w:after="20"/>
            </w:pPr>
            <w:r>
              <w:rPr>
                <w:rFonts w:ascii="Consolas" w:cs="Consolas" w:eastAsia="Consolas" w:hAnsi="Consolas"/>
                <w:color w:val="E8F5F0"/>
                <w:sz w:val="18"/>
                <w:szCs w:val="18"/>
              </w:rPr>
              <w:t xml:space="preserve">cpk = (df["transportation_cost_usd"] / df["distance_km"]).groupby(df["mode"]).mean()</w:t>
            </w:r>
          </w:p>
          <w:p>
            <w:pPr>
              <w:spacing w:after="20"/>
            </w:pPr>
            <w:r>
              <w:rPr>
                <w:rFonts w:ascii="Consolas" w:cs="Consolas" w:eastAsia="Consolas" w:hAnsi="Consolas"/>
                <w:color w:val="E8F5F0"/>
                <w:sz w:val="18"/>
                <w:szCs w:val="18"/>
              </w:rPr>
              <w:t xml:space="preserve">ax.bar(cpk.index, cpk.values)</w:t>
            </w:r>
          </w:p>
        </w:tc>
      </w:tr>
    </w:tbl>
    <w:p>
      <w:pPr>
        <w:spacing w:before="20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048000"/>
                    </a:xfrm>
                    <a:prstGeom prst="rect">
                      <a:avLst/>
                    </a:prstGeom>
                  </pic:spPr>
                </pic:pic>
              </a:graphicData>
            </a:graphic>
          </wp:inline>
        </w:drawing>
      </w:r>
    </w:p>
    <w:p>
      <w:pPr>
        <w:spacing w:after="260" w:before="80"/>
        <w:jc w:val="center"/>
      </w:pPr>
      <w:r>
        <w:rPr>
          <w:rFonts w:ascii="Calibri" w:cs="Calibri" w:eastAsia="Calibri" w:hAnsi="Calibri"/>
          <w:b/>
          <w:bCs/>
          <w:i/>
          <w:iCs/>
          <w:color w:val="E2725B"/>
          <w:sz w:val="19"/>
          <w:szCs w:val="19"/>
        </w:rPr>
        <w:t xml:space="preserve">Average Cost per Kilometer by Transport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5F1" w:sz="2"/>
              <w:left w:val="single" w:color="0B5D57" w:sz="24"/>
              <w:bottom w:val="single" w:color="EAF5F1" w:sz="2"/>
              <w:right w:val="single" w:color="EAF5F1" w:sz="2"/>
            </w:tcBorders>
            <w:shd w:fill="EAF5F1" w:val="clear"/>
            <w:tcMar>
              <w:top w:type="dxa" w:w="130"/>
              <w:left w:type="dxa" w:w="220"/>
              <w:bottom w:type="dxa" w:w="130"/>
              <w:right w:type="dxa" w:w="220"/>
            </w:tcMar>
          </w:tcPr>
          <w:p>
            <w:pPr>
              <w:spacing w:after="40"/>
            </w:pPr>
            <w:r>
              <w:rPr>
                <w:rFonts w:ascii="Cambria" w:cs="Cambria" w:eastAsia="Cambria" w:hAnsi="Cambria"/>
                <w:b/>
                <w:bCs/>
                <w:color w:val="0B5D57"/>
                <w:sz w:val="20"/>
                <w:szCs w:val="20"/>
              </w:rPr>
              <w:t xml:space="preserve">WHY THIS CHART</w:t>
            </w:r>
          </w:p>
          <w:p>
            <w:r>
              <w:rPr>
                <w:rFonts w:ascii="Calibri" w:cs="Calibri" w:eastAsia="Calibri" w:hAnsi="Calibri"/>
                <w:color w:val="222B2B"/>
                <w:sz w:val="21"/>
                <w:szCs w:val="21"/>
              </w:rPr>
              <w:t xml:space="preserve">Normalizing cost by distance (cost per km) removes the confound of shipment length, isolating the true efficiency of each mode for an apples-to-apples comparison.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7EE" w:sz="2"/>
              <w:left w:val="single" w:color="D4A017" w:sz="24"/>
              <w:bottom w:val="single" w:color="FBF7EE" w:sz="2"/>
              <w:right w:val="single" w:color="FBF7EE" w:sz="2"/>
            </w:tcBorders>
            <w:shd w:fill="FBF7EE" w:val="clear"/>
            <w:tcMar>
              <w:top w:type="dxa" w:w="130"/>
              <w:left w:type="dxa" w:w="220"/>
              <w:bottom w:type="dxa" w:w="130"/>
              <w:right w:type="dxa" w:w="220"/>
            </w:tcMar>
          </w:tcPr>
          <w:p>
            <w:pPr>
              <w:spacing w:after="40"/>
            </w:pPr>
            <w:r>
              <w:rPr>
                <w:rFonts w:ascii="Cambria" w:cs="Cambria" w:eastAsia="Cambria" w:hAnsi="Cambria"/>
                <w:b/>
                <w:bCs/>
                <w:color w:val="D4A017"/>
                <w:sz w:val="20"/>
                <w:szCs w:val="20"/>
              </w:rPr>
              <w:t xml:space="preserve">INSIGHT</w:t>
            </w:r>
          </w:p>
          <w:p>
            <w:r>
              <w:rPr>
                <w:rFonts w:ascii="Calibri" w:cs="Calibri" w:eastAsia="Calibri" w:hAnsi="Calibri"/>
                <w:color w:val="222B2B"/>
                <w:sz w:val="21"/>
                <w:szCs w:val="21"/>
              </w:rPr>
              <w:t xml:space="preserve">Air costs $3.70/km versus Sea's $0.64/km — nearly 6x. Combined with Section 5.2's reliability finding, this frames the core logistics trade-off: Air buys reliability at a steep premium, while Road offers a weak middle ground (moderate cost, poor reliability).</w:t>
            </w:r>
          </w:p>
        </w:tc>
      </w:tr>
    </w:tbl>
    <w:p>
      <w:pPr>
        <w:spacing w:after="200"/>
      </w:pPr>
    </w:p>
    <w:p>
      <w:r>
        <w:br w:type="page"/>
      </w:r>
    </w:p>
    <w:p>
      <w:pPr>
        <w:pStyle w:val="Heading1"/>
        <w:pBdr>
          <w:bottom w:val="single" w:color="D4A017" w:sz="12" w:space="6"/>
        </w:pBdr>
        <w:spacing w:after="200" w:before="480"/>
      </w:pPr>
      <w:r>
        <w:rPr>
          <w:rFonts w:ascii="Cambria" w:cs="Cambria" w:eastAsia="Cambria" w:hAnsi="Cambria"/>
          <w:b/>
          <w:bCs/>
          <w:color w:val="D4A017"/>
          <w:sz w:val="32"/>
          <w:szCs w:val="32"/>
        </w:rPr>
        <w:t xml:space="preserve">6.  </w:t>
      </w:r>
      <w:r>
        <w:rPr>
          <w:rFonts w:ascii="Cambria" w:cs="Cambria" w:eastAsia="Cambria" w:hAnsi="Cambria"/>
          <w:b/>
          <w:bCs/>
          <w:color w:val="0B5D57"/>
          <w:sz w:val="32"/>
          <w:szCs w:val="32"/>
        </w:rPr>
        <w:t xml:space="preserve">Analytical Insights and Recommendations</w:t>
      </w:r>
    </w:p>
    <w:p>
      <w:pPr>
        <w:pStyle w:val="Heading2"/>
        <w:pBdr>
          <w:left w:val="single" w:color="E2725B" w:sz="18" w:space="8"/>
        </w:pBdr>
        <w:spacing w:after="150" w:before="320"/>
        <w:ind w:left="130"/>
      </w:pPr>
      <w:r>
        <w:rPr>
          <w:rFonts w:ascii="Cambria" w:cs="Cambria" w:eastAsia="Cambria" w:hAnsi="Cambria"/>
          <w:b/>
          <w:bCs/>
          <w:color w:val="1B3A4B"/>
          <w:sz w:val="25"/>
          <w:szCs w:val="25"/>
        </w:rPr>
        <w:t xml:space="preserve">6.1 Key Findings</w:t>
      </w:r>
    </w:p>
    <w:p>
      <w:pPr>
        <w:pStyle w:val="ListParagraph"/>
        <w:numPr>
          <w:ilvl w:val="0"/>
          <w:numId w:val="2"/>
        </w:numPr>
        <w:spacing w:after="100"/>
      </w:pPr>
      <w:r>
        <w:rPr>
          <w:rFonts w:ascii="Calibri" w:cs="Calibri" w:eastAsia="Calibri" w:hAnsi="Calibri"/>
          <w:color w:val="222B2B"/>
          <w:sz w:val="22"/>
          <w:szCs w:val="22"/>
        </w:rPr>
        <w:t xml:space="preserve">Systemic delay, not isolated incidents: the entire actual-delivery-time distribution is shifted right of plan, indicating a structural gap between contracted and real transit times.</w:t>
      </w:r>
    </w:p>
    <w:p>
      <w:pPr>
        <w:pStyle w:val="ListParagraph"/>
        <w:numPr>
          <w:ilvl w:val="0"/>
          <w:numId w:val="2"/>
        </w:numPr>
        <w:spacing w:after="100"/>
      </w:pPr>
      <w:r>
        <w:rPr>
          <w:rFonts w:ascii="Calibri" w:cs="Calibri" w:eastAsia="Calibri" w:hAnsi="Calibri"/>
          <w:color w:val="222B2B"/>
          <w:sz w:val="22"/>
          <w:szCs w:val="22"/>
        </w:rPr>
        <w:t xml:space="preserve">Road is the weak link: 55% of all shipments travel by Road, yet Road has the lowest on-time rate (42.9%) and widest delay variability of any mode.</w:t>
      </w:r>
    </w:p>
    <w:p>
      <w:pPr>
        <w:pStyle w:val="ListParagraph"/>
        <w:numPr>
          <w:ilvl w:val="0"/>
          <w:numId w:val="2"/>
        </w:numPr>
        <w:spacing w:after="100"/>
      </w:pPr>
      <w:r>
        <w:rPr>
          <w:rFonts w:ascii="Calibri" w:cs="Calibri" w:eastAsia="Calibri" w:hAnsi="Calibri"/>
          <w:color w:val="222B2B"/>
          <w:sz w:val="22"/>
          <w:szCs w:val="22"/>
        </w:rPr>
        <w:t xml:space="preserve">Peak season is the dominant bottleneck: on-time performance falls from a 55-63% baseline to ~22% in November-December, coinciding with the highest-volume months.</w:t>
      </w:r>
    </w:p>
    <w:p>
      <w:pPr>
        <w:pStyle w:val="ListParagraph"/>
        <w:numPr>
          <w:ilvl w:val="0"/>
          <w:numId w:val="2"/>
        </w:numPr>
        <w:spacing w:after="100"/>
      </w:pPr>
      <w:r>
        <w:rPr>
          <w:rFonts w:ascii="Calibri" w:cs="Calibri" w:eastAsia="Calibri" w:hAnsi="Calibri"/>
          <w:color w:val="222B2B"/>
          <w:sz w:val="22"/>
          <w:szCs w:val="22"/>
        </w:rPr>
        <w:t xml:space="preserve">Cost and speed trade off by mode, not by distance: Air is ~6x more expensive per km than Sea but is the most reliable mode (81.8% on-time); cost decisions should be made per-mode, not on blended averages.</w:t>
      </w:r>
    </w:p>
    <w:p>
      <w:pPr>
        <w:pStyle w:val="ListParagraph"/>
        <w:numPr>
          <w:ilvl w:val="0"/>
          <w:numId w:val="2"/>
        </w:numPr>
        <w:spacing w:after="100"/>
      </w:pPr>
      <w:r>
        <w:rPr>
          <w:rFonts w:ascii="Calibri" w:cs="Calibri" w:eastAsia="Calibri" w:hAnsi="Calibri"/>
          <w:color w:val="222B2B"/>
          <w:sz w:val="22"/>
          <w:szCs w:val="22"/>
        </w:rPr>
        <w:t xml:space="preserve">Regional differences are minor: on-time rates vary by only ~3 points across regions, so mode and seasonal fixes will have far more impact than regional interventions.</w:t>
      </w:r>
    </w:p>
    <w:p>
      <w:pPr>
        <w:pStyle w:val="Heading2"/>
        <w:pBdr>
          <w:left w:val="single" w:color="E2725B" w:sz="18" w:space="8"/>
        </w:pBdr>
        <w:spacing w:after="150" w:before="320"/>
        <w:ind w:left="130"/>
      </w:pPr>
      <w:r>
        <w:rPr>
          <w:rFonts w:ascii="Cambria" w:cs="Cambria" w:eastAsia="Cambria" w:hAnsi="Cambria"/>
          <w:b/>
          <w:bCs/>
          <w:color w:val="1B3A4B"/>
          <w:sz w:val="25"/>
          <w:szCs w:val="25"/>
        </w:rPr>
        <w:t xml:space="preserve">6.2 Recommendations</w:t>
      </w:r>
    </w:p>
    <w:p>
      <w:pPr>
        <w:pStyle w:val="ListParagraph"/>
        <w:numPr>
          <w:ilvl w:val="0"/>
          <w:numId w:val="2"/>
        </w:numPr>
        <w:spacing w:after="100"/>
      </w:pPr>
      <w:r>
        <w:rPr>
          <w:rFonts w:ascii="Calibri" w:cs="Calibri" w:eastAsia="Calibri" w:hAnsi="Calibri"/>
          <w:color w:val="222B2B"/>
          <w:sz w:val="22"/>
          <w:szCs w:val="22"/>
        </w:rPr>
        <w:t xml:space="preserve">Add peak-season surge capacity (extra carriers or shifted freight to Rail/Air) for November-December specifically, rather than applying uniform year-round capacity planning.</w:t>
      </w:r>
    </w:p>
    <w:p>
      <w:pPr>
        <w:pStyle w:val="ListParagraph"/>
        <w:numPr>
          <w:ilvl w:val="0"/>
          <w:numId w:val="2"/>
        </w:numPr>
        <w:spacing w:after="100"/>
      </w:pPr>
      <w:r>
        <w:rPr>
          <w:rFonts w:ascii="Calibri" w:cs="Calibri" w:eastAsia="Calibri" w:hAnsi="Calibri"/>
          <w:color w:val="222B2B"/>
          <w:sz w:val="22"/>
          <w:szCs w:val="22"/>
        </w:rPr>
        <w:t xml:space="preserve">Reduce Road's share of volume for time-sensitive or high-value shipments, shifting a portion to Rail, which delivers meaningfully better reliability (63.1% vs. 42.9%) at a lower cost premium than Air.</w:t>
      </w:r>
    </w:p>
    <w:p>
      <w:pPr>
        <w:pStyle w:val="ListParagraph"/>
        <w:numPr>
          <w:ilvl w:val="0"/>
          <w:numId w:val="2"/>
        </w:numPr>
        <w:spacing w:after="100"/>
      </w:pPr>
      <w:r>
        <w:rPr>
          <w:rFonts w:ascii="Calibri" w:cs="Calibri" w:eastAsia="Calibri" w:hAnsi="Calibri"/>
          <w:color w:val="222B2B"/>
          <w:sz w:val="22"/>
          <w:szCs w:val="22"/>
        </w:rPr>
        <w:t xml:space="preserve">Investigate Carrier B specifically (lowest on-time rate at 49.4%) for root causes — driver capacity, routing, or contract SLAs — before renewing or expanding volume with them.</w:t>
      </w:r>
    </w:p>
    <w:p>
      <w:pPr>
        <w:pStyle w:val="ListParagraph"/>
        <w:numPr>
          <w:ilvl w:val="0"/>
          <w:numId w:val="2"/>
        </w:numPr>
        <w:spacing w:after="100"/>
      </w:pPr>
      <w:r>
        <w:rPr>
          <w:rFonts w:ascii="Calibri" w:cs="Calibri" w:eastAsia="Calibri" w:hAnsi="Calibri"/>
          <w:color w:val="222B2B"/>
          <w:sz w:val="22"/>
          <w:szCs w:val="22"/>
        </w:rPr>
        <w:t xml:space="preserve">Use mode-segmented cost benchmarks (cost per km by mode) rather than a single blended cost KPI, since blended averages mask the true efficiency of each mode.</w:t>
      </w:r>
    </w:p>
    <w:p>
      <w:pPr>
        <w:pStyle w:val="ListParagraph"/>
        <w:numPr>
          <w:ilvl w:val="0"/>
          <w:numId w:val="2"/>
        </w:numPr>
        <w:spacing w:after="100"/>
      </w:pPr>
      <w:r>
        <w:rPr>
          <w:rFonts w:ascii="Calibri" w:cs="Calibri" w:eastAsia="Calibri" w:hAnsi="Calibri"/>
          <w:color w:val="222B2B"/>
          <w:sz w:val="22"/>
          <w:szCs w:val="22"/>
        </w:rPr>
        <w:t xml:space="preserve">Set differentiated on-time SLAs by mode and season, since a single company-wide on-time target obscures very different underlying performance levels.</w:t>
      </w:r>
    </w:p>
    <w:p>
      <w:pPr>
        <w:pStyle w:val="Heading1"/>
        <w:pBdr>
          <w:bottom w:val="single" w:color="D4A017" w:sz="12" w:space="6"/>
        </w:pBdr>
        <w:spacing w:after="200" w:before="480"/>
      </w:pPr>
      <w:r>
        <w:rPr>
          <w:rFonts w:ascii="Cambria" w:cs="Cambria" w:eastAsia="Cambria" w:hAnsi="Cambria"/>
          <w:b/>
          <w:bCs/>
          <w:color w:val="D4A017"/>
          <w:sz w:val="32"/>
          <w:szCs w:val="32"/>
        </w:rPr>
        <w:t xml:space="preserve">7.  </w:t>
      </w:r>
      <w:r>
        <w:rPr>
          <w:rFonts w:ascii="Cambria" w:cs="Cambria" w:eastAsia="Cambria" w:hAnsi="Cambria"/>
          <w:b/>
          <w:bCs/>
          <w:color w:val="0B5D57"/>
          <w:sz w:val="32"/>
          <w:szCs w:val="32"/>
        </w:rPr>
        <w:t xml:space="preserve">Conclusion</w:t>
      </w:r>
    </w:p>
    <w:p>
      <w:pPr>
        <w:spacing w:after="160" w:line="276"/>
      </w:pPr>
      <w:r>
        <w:rPr>
          <w:rFonts w:ascii="Calibri" w:cs="Calibri" w:eastAsia="Calibri" w:hAnsi="Calibri"/>
          <w:color w:val="222B2B"/>
          <w:sz w:val="22"/>
          <w:szCs w:val="22"/>
        </w:rPr>
        <w:t xml:space="preserve">This analysis demonstrates how a structured, code-driven EDA and visualization workflow can convert raw shipment-level data into concrete operational recommendations. The most consequential finding — a severe peak-season reliability collapse layered on top of a chronic Road-mode weakness — was only visible by combining time-series, distributional, and categorical visualizations together. In a live business setting, this same workflow (simulate/ingest → EDA → targeted visualization → segmented interpretation) could be re-run monthly against real shipment data to track whether the recommended interventions are closing the gaps identified here.</w:t>
      </w:r>
    </w:p>
    <w:p>
      <w:pPr>
        <w:pStyle w:val="Heading1"/>
        <w:pBdr>
          <w:bottom w:val="single" w:color="D4A017" w:sz="12" w:space="6"/>
        </w:pBdr>
        <w:spacing w:after="200" w:before="480"/>
      </w:pPr>
      <w:r>
        <w:rPr>
          <w:rFonts w:ascii="Cambria" w:cs="Cambria" w:eastAsia="Cambria" w:hAnsi="Cambria"/>
          <w:b/>
          <w:bCs/>
          <w:color w:val="D4A017"/>
          <w:sz w:val="32"/>
          <w:szCs w:val="32"/>
        </w:rPr>
        <w:t xml:space="preserve">8.  </w:t>
      </w:r>
      <w:r>
        <w:rPr>
          <w:rFonts w:ascii="Cambria" w:cs="Cambria" w:eastAsia="Cambria" w:hAnsi="Cambria"/>
          <w:b/>
          <w:bCs/>
          <w:color w:val="0B5D57"/>
          <w:sz w:val="32"/>
          <w:szCs w:val="32"/>
        </w:rPr>
        <w:t xml:space="preserve">Appendix: Full Python Pipeline</w:t>
      </w:r>
    </w:p>
    <w:p>
      <w:pPr>
        <w:spacing w:after="160" w:line="276"/>
      </w:pPr>
      <w:r>
        <w:rPr>
          <w:rFonts w:ascii="Calibri" w:cs="Calibri" w:eastAsia="Calibri" w:hAnsi="Calibri"/>
          <w:color w:val="222B2B"/>
          <w:sz w:val="22"/>
          <w:szCs w:val="22"/>
        </w:rPr>
        <w:t xml:space="preserve">The complete three-script pipeline (data simulation, EDA, visualization) used to produce this report is included as a separate file set: 01_simulate_data.py, 02_eda.py, and 03_visualize.py. Library versions used: pandas, NumPy, matplotlib, and seaborn (all current stable releases as of analysis date).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B6B"/>
        <w:sz w:val="16"/>
        <w:szCs w:val="16"/>
      </w:rPr>
      <w:t xml:space="preserve">Page </w:t>
    </w:r>
    <w:r>
      <w:rPr>
        <w:rFonts w:ascii="Calibri" w:cs="Calibri" w:eastAsia="Calibri" w:hAnsi="Calibri"/>
        <w:b/>
        <w:bCs/>
        <w:color w:val="D4A01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017" w:sz="6" w:space="4"/>
      </w:pBdr>
      <w:jc w:val="right"/>
    </w:pPr>
    <w:r>
      <w:rPr>
        <w:rFonts w:ascii="Cambria" w:cs="Cambria" w:eastAsia="Cambria" w:hAnsi="Cambria"/>
        <w:b/>
        <w:bCs/>
        <w:color w:val="0B5D57"/>
        <w:spacing w:val="8"/>
        <w:sz w:val="15"/>
        <w:szCs w:val="15"/>
      </w:rPr>
      <w:t xml:space="preserve">LOGISTICS DATA ANALYSIS  ·  WEEK 3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549e82d020871e8206b9e535fa99f06dad78566.png"/><Relationship Id="rId10" Type="http://schemas.openxmlformats.org/officeDocument/2006/relationships/image" Target="media/729d8969be146fb75de27f9f50899c6677ef1939.png"/><Relationship Id="rId11" Type="http://schemas.openxmlformats.org/officeDocument/2006/relationships/image" Target="media/84af7bf33b1f4dae38d0f722de2bca9e7a28f3fb.png"/><Relationship Id="rId12" Type="http://schemas.openxmlformats.org/officeDocument/2006/relationships/image" Target="media/c8dbe8628d776adb81de573e2491092bda158040.png"/><Relationship Id="rId13" Type="http://schemas.openxmlformats.org/officeDocument/2006/relationships/image" Target="media/4bf9f996cfb75e92f76ddd787fe40fb0b678b633.png"/><Relationship Id="rId14" Type="http://schemas.openxmlformats.org/officeDocument/2006/relationships/image" Target="media/bc3da775177ca38f8358b0fecd3b6ff47866c974.png"/><Relationship Id="rId15" Type="http://schemas.openxmlformats.org/officeDocument/2006/relationships/image" Target="media/d3759f902b68130dd688aee5d8a30f675f8a38c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2026-09-09T05:06:57.371Z</dcterms:created>
  <dcterms:modified xsi:type="dcterms:W3CDTF">2026-09-09T05:06:57.379Z</dcterms:modified>
</cp:coreProperties>
</file>

<file path=docProps/custom.xml><?xml version="1.0" encoding="utf-8"?>
<Properties xmlns="http://schemas.openxmlformats.org/officeDocument/2006/custom-properties" xmlns:vt="http://schemas.openxmlformats.org/officeDocument/2006/docPropsVTypes"/>
</file>