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0A3A3D" w:val="clear"/>
            <w:tcMar>
              <w:top w:type="dxa" w:w="520"/>
              <w:left w:type="dxa" w:w="500"/>
              <w:bottom w:type="dxa" w:w="520"/>
              <w:right w:type="dxa" w:w="500"/>
            </w:tcMar>
          </w:tcPr>
          <w:p>
            <w:pPr>
              <w:spacing w:after="70"/>
            </w:pPr>
            <w:r>
              <w:rPr>
                <w:rFonts w:ascii="Georgia" w:cs="Georgia" w:eastAsia="Georgia" w:hAnsi="Georgia"/>
                <w:b/>
                <w:bCs/>
                <w:color w:val="B8862B"/>
                <w:spacing w:val="30"/>
                <w:sz w:val="20"/>
                <w:szCs w:val="20"/>
              </w:rPr>
              <w:t xml:space="preserve">WEEK 2 TASK</w:t>
            </w:r>
          </w:p>
          <w:p>
            <w:pPr>
              <w:spacing w:after="160"/>
            </w:pPr>
            <w:r>
              <w:rPr>
                <w:rFonts w:ascii="Georgia" w:cs="Georgia" w:eastAsia="Georgia" w:hAnsi="Georgia"/>
                <w:b/>
                <w:bCs/>
                <w:color w:val="FFFFFF"/>
                <w:sz w:val="44"/>
                <w:szCs w:val="44"/>
              </w:rPr>
              <w:t xml:space="preserve">Data Collection, Cleaning, and Preprocessing for Logistics Analysis</w:t>
            </w:r>
          </w:p>
          <w:p>
            <w:pPr>
              <w:pBdr>
                <w:top w:val="single" w:color="B8862B" w:sz="8" w:space="8"/>
              </w:pBdr>
              <w:spacing w:after="40" w:before="120"/>
            </w:pPr>
            <w:r>
              <w:rPr>
                <w:rFonts w:ascii="Calibri" w:cs="Calibri" w:eastAsia="Calibri" w:hAnsi="Calibri"/>
                <w:color w:val="D7E7E6"/>
                <w:sz w:val="22"/>
                <w:szCs w:val="22"/>
              </w:rPr>
              <w:t xml:space="preserve">Prepared by Saravanan</w:t>
            </w:r>
          </w:p>
          <w:p>
            <w:r>
              <w:rPr>
                <w:rFonts w:ascii="Calibri" w:cs="Calibri" w:eastAsia="Calibri" w:hAnsi="Calibri"/>
                <w:color w:val="9FC2C0"/>
                <w:sz w:val="20"/>
                <w:szCs w:val="20"/>
              </w:rPr>
              <w:t xml:space="preserve">Yuva Intern  ·  Logistics Data Analyst Internship</w:t>
            </w:r>
          </w:p>
        </w:tc>
      </w:tr>
    </w:tbl>
    <w:p>
      <w:pPr>
        <w:spacing w:after="300"/>
      </w:pPr>
    </w:p>
    <w:p>
      <w:pPr>
        <w:pBdr>
          <w:bottom w:val="single" w:color="0F5257" w:sz="10" w:space="6"/>
        </w:pBdr>
        <w:spacing w:after="200" w:before="440"/>
      </w:pPr>
      <w:r>
        <w:rPr>
          <w:rFonts w:ascii="Georgia" w:cs="Georgia" w:eastAsia="Georgia" w:hAnsi="Georgia"/>
          <w:b/>
          <w:bCs/>
          <w:color w:val="B8862B"/>
          <w:sz w:val="32"/>
          <w:szCs w:val="32"/>
        </w:rPr>
        <w:t xml:space="preserve">1.  </w:t>
      </w:r>
      <w:r>
        <w:rPr>
          <w:rFonts w:ascii="Georgia" w:cs="Georgia" w:eastAsia="Georgia" w:hAnsi="Georgia"/>
          <w:b/>
          <w:bCs/>
          <w:color w:val="0A3A3D"/>
          <w:sz w:val="32"/>
          <w:szCs w:val="32"/>
        </w:rPr>
        <w:t xml:space="preserve"> Objective</w:t>
      </w:r>
    </w:p>
    <w:p>
      <w:pPr>
        <w:spacing w:after="170" w:line="300"/>
      </w:pPr>
      <w:r>
        <w:rPr>
          <w:rFonts w:ascii="Calibri" w:cs="Calibri" w:eastAsia="Calibri" w:hAnsi="Calibri"/>
          <w:color w:val="1B2A2E"/>
          <w:sz w:val="22"/>
          <w:szCs w:val="22"/>
        </w:rPr>
        <w:t xml:space="preserve">This report documents the data collection, cleaning, and preprocessing phase of a logistics analytics pipeline. The goal is to take a raw, imperfect logistics dataset and transform it into an analysis-ready dataset by systematically identifying data quality issues and applying appropriate correction techniques in Python. This stage directly determines the reliability of any downstream modeling.</w:t>
      </w:r>
    </w:p>
    <w:tbl>
      <w:tblPr>
        <w:tblW w:type="pct" w:w="100%"/>
        <w:tblBorders>
          <w:top w:val="none" w:color="FFFFFF" w:sz="0"/>
          <w:left w:val="single" w:color="B8862B" w:sz="36"/>
          <w:bottom w:val="none" w:color="FFFFFF" w:sz="0"/>
          <w:right w:val="none" w:color="FFFFFF" w:sz="0"/>
          <w:insideH w:val="single" w:color="auto" w:sz="4"/>
          <w:insideV w:val="single" w:color="auto" w:sz="4"/>
        </w:tblBorders>
      </w:tblPr>
      <w:tblGrid>
        <w:gridCol w:w="100"/>
      </w:tblGrid>
      <w:tr>
        <w:tc>
          <w:tcPr>
            <w:shd w:fill="E4EEEE" w:val="clear"/>
            <w:tcMar>
              <w:top w:type="dxa" w:w="180"/>
              <w:left w:type="dxa" w:w="260"/>
              <w:bottom w:type="dxa" w:w="180"/>
              <w:right w:type="dxa" w:w="260"/>
            </w:tcMar>
          </w:tcPr>
          <w:p>
            <w:r>
              <w:rPr>
                <w:rFonts w:ascii="Georgia" w:cs="Georgia" w:eastAsia="Georgia" w:hAnsi="Georgia"/>
                <w:i/>
                <w:iCs/>
                <w:color w:val="0A3A3D"/>
                <w:sz w:val="22"/>
                <w:szCs w:val="22"/>
              </w:rPr>
              <w:t xml:space="preserve">In a 2023 industry review of supply chain analytics failures, poor data quality was cited as a root cause in over 60% of failed forecasting initiatives — which is why this stage is treated as a first-class deliverable, not a formality.</w:t>
            </w:r>
          </w:p>
        </w:tc>
      </w:tr>
    </w:tbl>
    <w:p>
      <w:pPr>
        <w:spacing w:after="160"/>
      </w:pPr>
    </w:p>
    <w:p>
      <w:pPr>
        <w:pBdr>
          <w:bottom w:val="single" w:color="0F5257" w:sz="10" w:space="6"/>
        </w:pBdr>
        <w:spacing w:after="200" w:before="440"/>
      </w:pPr>
      <w:r>
        <w:rPr>
          <w:rFonts w:ascii="Georgia" w:cs="Georgia" w:eastAsia="Georgia" w:hAnsi="Georgia"/>
          <w:b/>
          <w:bCs/>
          <w:color w:val="B8862B"/>
          <w:sz w:val="32"/>
          <w:szCs w:val="32"/>
        </w:rPr>
        <w:t xml:space="preserve">2.  </w:t>
      </w:r>
      <w:r>
        <w:rPr>
          <w:rFonts w:ascii="Georgia" w:cs="Georgia" w:eastAsia="Georgia" w:hAnsi="Georgia"/>
          <w:b/>
          <w:bCs/>
          <w:color w:val="0A3A3D"/>
          <w:sz w:val="32"/>
          <w:szCs w:val="32"/>
        </w:rPr>
        <w:t xml:space="preserve"> Data Collection Simulation</w:t>
      </w:r>
    </w:p>
    <w:p>
      <w:pPr>
        <w:spacing w:after="130" w:before="280"/>
      </w:pPr>
      <w:r>
        <w:rPr>
          <w:rFonts w:ascii="Georgia" w:cs="Georgia" w:eastAsia="Georgia" w:hAnsi="Georgia"/>
          <w:b/>
          <w:bCs/>
          <w:i/>
          <w:iCs/>
          <w:color w:val="0F5257"/>
          <w:sz w:val="24"/>
          <w:szCs w:val="24"/>
        </w:rPr>
        <w:t xml:space="preserve">2.1  Reference Dataset</w:t>
      </w:r>
    </w:p>
    <w:p>
      <w:pPr>
        <w:spacing w:after="170" w:line="300"/>
      </w:pPr>
      <w:r>
        <w:rPr>
          <w:rFonts w:ascii="Calibri" w:cs="Calibri" w:eastAsia="Calibri" w:hAnsi="Calibri"/>
          <w:color w:val="1B2A2E"/>
          <w:sz w:val="22"/>
          <w:szCs w:val="22"/>
        </w:rPr>
        <w:t xml:space="preserve">For this exercise I use the DataCo Smart Supply Chain dataset (publicly available on Kaggle, originally published via Mendeley Data by researchers at Instituto Politécnico de Leiria) as the reference dataset. It is well suited to logistics analysis because it combines order, shipping, and customer information from a real multinational retailer's operations.</w:t>
      </w:r>
    </w:p>
    <w:tbl>
      <w:tblPr>
        <w:tblW w:type="dxa" w:w="9000"/>
        <w:tblBorders>
          <w:top w:val="single" w:color="0F5257" w:sz="4"/>
          <w:left w:val="single" w:color="0F5257" w:sz="4"/>
          <w:bottom w:val="single" w:color="0F5257" w:sz="4"/>
          <w:right w:val="single" w:color="0F5257" w:sz="4"/>
          <w:insideH w:val="single" w:color="BFD6D6" w:sz="2"/>
          <w:insideV w:val="single" w:color="BFD6D6" w:sz="2"/>
        </w:tblBorders>
      </w:tblPr>
      <w:tblGrid>
        <w:gridCol w:w="3200"/>
        <w:gridCol w:w="5800"/>
      </w:tblGrid>
      <w:tr>
        <w:trPr>
          <w:cantSplit/>
          <w:tblHeader/>
        </w:trPr>
        <w:tc>
          <w:tcPr>
            <w:tcW w:type="dxa" w:w="32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Attribute</w:t>
            </w:r>
          </w:p>
        </w:tc>
        <w:tc>
          <w:tcPr>
            <w:tcW w:type="dxa" w:w="58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Value</w:t>
            </w:r>
          </w:p>
        </w:tc>
      </w:tr>
      <w:tr>
        <w:trPr>
          <w:cantSplit/>
        </w:trPr>
        <w:tc>
          <w:tcPr>
            <w:tcW w:type="dxa" w:w="3200"/>
            <w:shd w:fill="FFFFFF" w:val="clear"/>
            <w:tcMar>
              <w:top w:type="dxa" w:w="75"/>
              <w:left w:type="dxa" w:w="110"/>
              <w:bottom w:type="dxa" w:w="75"/>
              <w:right w:type="dxa" w:w="110"/>
            </w:tcMar>
          </w:tcPr>
          <w:p>
            <w:r>
              <w:rPr>
                <w:rFonts w:ascii="Calibri" w:cs="Calibri" w:eastAsia="Calibri" w:hAnsi="Calibri"/>
                <w:color w:val="1B2A2E"/>
                <w:sz w:val="20"/>
                <w:szCs w:val="20"/>
              </w:rPr>
              <w:t xml:space="preserve">Dataset</w:t>
            </w:r>
          </w:p>
        </w:tc>
        <w:tc>
          <w:tcPr>
            <w:tcW w:type="dxa" w:w="5800"/>
            <w:shd w:fill="FFFFFF" w:val="clear"/>
            <w:tcMar>
              <w:top w:type="dxa" w:w="75"/>
              <w:left w:type="dxa" w:w="110"/>
              <w:bottom w:type="dxa" w:w="75"/>
              <w:right w:type="dxa" w:w="110"/>
            </w:tcMar>
          </w:tcPr>
          <w:p>
            <w:r>
              <w:rPr>
                <w:rFonts w:ascii="Calibri" w:cs="Calibri" w:eastAsia="Calibri" w:hAnsi="Calibri"/>
                <w:color w:val="1B2A2E"/>
                <w:sz w:val="20"/>
                <w:szCs w:val="20"/>
              </w:rPr>
              <w:t xml:space="preserve">DataCo Smart Supply Chain for Big Data Analysis</w:t>
            </w:r>
          </w:p>
        </w:tc>
      </w:tr>
      <w:tr>
        <w:trPr>
          <w:cantSplit/>
        </w:trPr>
        <w:tc>
          <w:tcPr>
            <w:tcW w:type="dxa" w:w="3200"/>
            <w:shd w:fill="E4EEEE" w:val="clear"/>
            <w:tcMar>
              <w:top w:type="dxa" w:w="75"/>
              <w:left w:type="dxa" w:w="110"/>
              <w:bottom w:type="dxa" w:w="75"/>
              <w:right w:type="dxa" w:w="110"/>
            </w:tcMar>
          </w:tcPr>
          <w:p>
            <w:r>
              <w:rPr>
                <w:rFonts w:ascii="Calibri" w:cs="Calibri" w:eastAsia="Calibri" w:hAnsi="Calibri"/>
                <w:color w:val="1B2A2E"/>
                <w:sz w:val="20"/>
                <w:szCs w:val="20"/>
              </w:rPr>
              <w:t xml:space="preserve">Source</w:t>
            </w:r>
          </w:p>
        </w:tc>
        <w:tc>
          <w:tcPr>
            <w:tcW w:type="dxa" w:w="5800"/>
            <w:shd w:fill="E4EEEE" w:val="clear"/>
            <w:tcMar>
              <w:top w:type="dxa" w:w="75"/>
              <w:left w:type="dxa" w:w="110"/>
              <w:bottom w:type="dxa" w:w="75"/>
              <w:right w:type="dxa" w:w="110"/>
            </w:tcMar>
          </w:tcPr>
          <w:p>
            <w:r>
              <w:rPr>
                <w:rFonts w:ascii="Calibri" w:cs="Calibri" w:eastAsia="Calibri" w:hAnsi="Calibri"/>
                <w:color w:val="1B2A2E"/>
                <w:sz w:val="20"/>
                <w:szCs w:val="20"/>
              </w:rPr>
              <w:t xml:space="preserve">Kaggle / Mendeley Data (CC0, public domain)</w:t>
            </w:r>
          </w:p>
        </w:tc>
      </w:tr>
      <w:tr>
        <w:trPr>
          <w:cantSplit/>
        </w:trPr>
        <w:tc>
          <w:tcPr>
            <w:tcW w:type="dxa" w:w="3200"/>
            <w:shd w:fill="FFFFFF" w:val="clear"/>
            <w:tcMar>
              <w:top w:type="dxa" w:w="75"/>
              <w:left w:type="dxa" w:w="110"/>
              <w:bottom w:type="dxa" w:w="75"/>
              <w:right w:type="dxa" w:w="110"/>
            </w:tcMar>
          </w:tcPr>
          <w:p>
            <w:r>
              <w:rPr>
                <w:rFonts w:ascii="Calibri" w:cs="Calibri" w:eastAsia="Calibri" w:hAnsi="Calibri"/>
                <w:color w:val="1B2A2E"/>
                <w:sz w:val="20"/>
                <w:szCs w:val="20"/>
              </w:rPr>
              <w:t xml:space="preserve">Records</w:t>
            </w:r>
          </w:p>
        </w:tc>
        <w:tc>
          <w:tcPr>
            <w:tcW w:type="dxa" w:w="5800"/>
            <w:shd w:fill="FFFFFF" w:val="clear"/>
            <w:tcMar>
              <w:top w:type="dxa" w:w="75"/>
              <w:left w:type="dxa" w:w="110"/>
              <w:bottom w:type="dxa" w:w="75"/>
              <w:right w:type="dxa" w:w="110"/>
            </w:tcMar>
          </w:tcPr>
          <w:p>
            <w:r>
              <w:rPr>
                <w:rFonts w:ascii="Calibri" w:cs="Calibri" w:eastAsia="Calibri" w:hAnsi="Calibri"/>
                <w:color w:val="1B2A2E"/>
                <w:sz w:val="20"/>
                <w:szCs w:val="20"/>
              </w:rPr>
              <w:t xml:space="preserve">Approx. 180,000 order line-items</w:t>
            </w:r>
          </w:p>
        </w:tc>
      </w:tr>
      <w:tr>
        <w:trPr>
          <w:cantSplit/>
        </w:trPr>
        <w:tc>
          <w:tcPr>
            <w:tcW w:type="dxa" w:w="3200"/>
            <w:shd w:fill="E4EEEE" w:val="clear"/>
            <w:tcMar>
              <w:top w:type="dxa" w:w="75"/>
              <w:left w:type="dxa" w:w="110"/>
              <w:bottom w:type="dxa" w:w="75"/>
              <w:right w:type="dxa" w:w="110"/>
            </w:tcMar>
          </w:tcPr>
          <w:p>
            <w:r>
              <w:rPr>
                <w:rFonts w:ascii="Calibri" w:cs="Calibri" w:eastAsia="Calibri" w:hAnsi="Calibri"/>
                <w:color w:val="1B2A2E"/>
                <w:sz w:val="20"/>
                <w:szCs w:val="20"/>
              </w:rPr>
              <w:t xml:space="preserve">Time span</w:t>
            </w:r>
          </w:p>
        </w:tc>
        <w:tc>
          <w:tcPr>
            <w:tcW w:type="dxa" w:w="5800"/>
            <w:shd w:fill="E4EEEE" w:val="clear"/>
            <w:tcMar>
              <w:top w:type="dxa" w:w="75"/>
              <w:left w:type="dxa" w:w="110"/>
              <w:bottom w:type="dxa" w:w="75"/>
              <w:right w:type="dxa" w:w="110"/>
            </w:tcMar>
          </w:tcPr>
          <w:p>
            <w:r>
              <w:rPr>
                <w:rFonts w:ascii="Calibri" w:cs="Calibri" w:eastAsia="Calibri" w:hAnsi="Calibri"/>
                <w:color w:val="1B2A2E"/>
                <w:sz w:val="20"/>
                <w:szCs w:val="20"/>
              </w:rPr>
              <w:t xml:space="preserve">3 years of transactions</w:t>
            </w:r>
          </w:p>
        </w:tc>
      </w:tr>
      <w:tr>
        <w:trPr>
          <w:cantSplit/>
        </w:trPr>
        <w:tc>
          <w:tcPr>
            <w:tcW w:type="dxa" w:w="3200"/>
            <w:shd w:fill="FFFFFF" w:val="clear"/>
            <w:tcMar>
              <w:top w:type="dxa" w:w="75"/>
              <w:left w:type="dxa" w:w="110"/>
              <w:bottom w:type="dxa" w:w="75"/>
              <w:right w:type="dxa" w:w="110"/>
            </w:tcMar>
          </w:tcPr>
          <w:p>
            <w:r>
              <w:rPr>
                <w:rFonts w:ascii="Calibri" w:cs="Calibri" w:eastAsia="Calibri" w:hAnsi="Calibri"/>
                <w:color w:val="1B2A2E"/>
                <w:sz w:val="20"/>
                <w:szCs w:val="20"/>
              </w:rPr>
              <w:t xml:space="preserve">Features</w:t>
            </w:r>
          </w:p>
        </w:tc>
        <w:tc>
          <w:tcPr>
            <w:tcW w:type="dxa" w:w="5800"/>
            <w:shd w:fill="FFFFFF" w:val="clear"/>
            <w:tcMar>
              <w:top w:type="dxa" w:w="75"/>
              <w:left w:type="dxa" w:w="110"/>
              <w:bottom w:type="dxa" w:w="75"/>
              <w:right w:type="dxa" w:w="110"/>
            </w:tcMar>
          </w:tcPr>
          <w:p>
            <w:r>
              <w:rPr>
                <w:rFonts w:ascii="Calibri" w:cs="Calibri" w:eastAsia="Calibri" w:hAnsi="Calibri"/>
                <w:color w:val="1B2A2E"/>
                <w:sz w:val="20"/>
                <w:szCs w:val="20"/>
              </w:rPr>
              <w:t xml:space="preserve">50+ columns (order, shipping, customer, product, financial)</w:t>
            </w:r>
          </w:p>
        </w:tc>
      </w:tr>
      <w:tr>
        <w:trPr>
          <w:cantSplit/>
        </w:trPr>
        <w:tc>
          <w:tcPr>
            <w:tcW w:type="dxa" w:w="3200"/>
            <w:shd w:fill="E4EEEE" w:val="clear"/>
            <w:tcMar>
              <w:top w:type="dxa" w:w="75"/>
              <w:left w:type="dxa" w:w="110"/>
              <w:bottom w:type="dxa" w:w="75"/>
              <w:right w:type="dxa" w:w="110"/>
            </w:tcMar>
          </w:tcPr>
          <w:p>
            <w:r>
              <w:rPr>
                <w:rFonts w:ascii="Calibri" w:cs="Calibri" w:eastAsia="Calibri" w:hAnsi="Calibri"/>
                <w:color w:val="1B2A2E"/>
                <w:sz w:val="20"/>
                <w:szCs w:val="20"/>
              </w:rPr>
              <w:t xml:space="preserve">Granularity</w:t>
            </w:r>
          </w:p>
        </w:tc>
        <w:tc>
          <w:tcPr>
            <w:tcW w:type="dxa" w:w="5800"/>
            <w:shd w:fill="E4EEEE" w:val="clear"/>
            <w:tcMar>
              <w:top w:type="dxa" w:w="75"/>
              <w:left w:type="dxa" w:w="110"/>
              <w:bottom w:type="dxa" w:w="75"/>
              <w:right w:type="dxa" w:w="110"/>
            </w:tcMar>
          </w:tcPr>
          <w:p>
            <w:r>
              <w:rPr>
                <w:rFonts w:ascii="Calibri" w:cs="Calibri" w:eastAsia="Calibri" w:hAnsi="Calibri"/>
                <w:color w:val="1B2A2E"/>
                <w:sz w:val="20"/>
                <w:szCs w:val="20"/>
              </w:rPr>
              <w:t xml:space="preserve">One row per order item</w:t>
            </w:r>
          </w:p>
        </w:tc>
      </w:tr>
    </w:tbl>
    <w:p>
      <w:pPr>
        <w:spacing w:after="120"/>
      </w:pPr>
    </w:p>
    <w:p>
      <w:pPr>
        <w:spacing w:after="130" w:before="280"/>
      </w:pPr>
      <w:r>
        <w:rPr>
          <w:rFonts w:ascii="Georgia" w:cs="Georgia" w:eastAsia="Georgia" w:hAnsi="Georgia"/>
          <w:b/>
          <w:bCs/>
          <w:i/>
          <w:iCs/>
          <w:color w:val="0F5257"/>
          <w:sz w:val="24"/>
          <w:szCs w:val="24"/>
        </w:rPr>
        <w:t xml:space="preserve">2.2  Key Fields Used in This Pipeline</w:t>
      </w:r>
    </w:p>
    <w:p>
      <w:pPr>
        <w:pStyle w:val="ListParagraph"/>
        <w:numPr>
          <w:ilvl w:val="0"/>
          <w:numId w:val="2"/>
        </w:numPr>
        <w:spacing w:after="95"/>
      </w:pPr>
      <w:r>
        <w:rPr>
          <w:rFonts w:ascii="Calibri" w:cs="Calibri" w:eastAsia="Calibri" w:hAnsi="Calibri"/>
          <w:color w:val="1B2A2E"/>
          <w:sz w:val="22"/>
          <w:szCs w:val="22"/>
        </w:rPr>
        <w:t xml:space="preserve">Order Date / Shipping Date — used to derive delivery-time features</w:t>
      </w:r>
    </w:p>
    <w:p>
      <w:pPr>
        <w:pStyle w:val="ListParagraph"/>
        <w:numPr>
          <w:ilvl w:val="0"/>
          <w:numId w:val="2"/>
        </w:numPr>
        <w:spacing w:after="95"/>
      </w:pPr>
      <w:r>
        <w:rPr>
          <w:rFonts w:ascii="Calibri" w:cs="Calibri" w:eastAsia="Calibri" w:hAnsi="Calibri"/>
          <w:color w:val="1B2A2E"/>
          <w:sz w:val="22"/>
          <w:szCs w:val="22"/>
        </w:rPr>
        <w:t xml:space="preserve">Days for shipping (real) vs. Days for shipment (scheduled) — the core delay signal</w:t>
      </w:r>
    </w:p>
    <w:p>
      <w:pPr>
        <w:pStyle w:val="ListParagraph"/>
        <w:numPr>
          <w:ilvl w:val="0"/>
          <w:numId w:val="2"/>
        </w:numPr>
        <w:spacing w:after="95"/>
      </w:pPr>
      <w:r>
        <w:rPr>
          <w:rFonts w:ascii="Calibri" w:cs="Calibri" w:eastAsia="Calibri" w:hAnsi="Calibri"/>
          <w:color w:val="1B2A2E"/>
          <w:sz w:val="22"/>
          <w:szCs w:val="22"/>
        </w:rPr>
        <w:t xml:space="preserve">Late_delivery_risk — binary flag indicating whether an order arrived late</w:t>
      </w:r>
    </w:p>
    <w:p>
      <w:pPr>
        <w:pStyle w:val="ListParagraph"/>
        <w:numPr>
          <w:ilvl w:val="0"/>
          <w:numId w:val="2"/>
        </w:numPr>
        <w:spacing w:after="95"/>
      </w:pPr>
      <w:r>
        <w:rPr>
          <w:rFonts w:ascii="Calibri" w:cs="Calibri" w:eastAsia="Calibri" w:hAnsi="Calibri"/>
          <w:color w:val="1B2A2E"/>
          <w:sz w:val="22"/>
          <w:szCs w:val="22"/>
        </w:rPr>
        <w:t xml:space="preserve">Order Item Quantity, Sales, Order Profit Per Order — financial/volume fields</w:t>
      </w:r>
    </w:p>
    <w:p>
      <w:pPr>
        <w:pStyle w:val="ListParagraph"/>
        <w:numPr>
          <w:ilvl w:val="0"/>
          <w:numId w:val="2"/>
        </w:numPr>
        <w:spacing w:after="95"/>
      </w:pPr>
      <w:r>
        <w:rPr>
          <w:rFonts w:ascii="Calibri" w:cs="Calibri" w:eastAsia="Calibri" w:hAnsi="Calibri"/>
          <w:color w:val="1B2A2E"/>
          <w:sz w:val="22"/>
          <w:szCs w:val="22"/>
        </w:rPr>
        <w:t xml:space="preserve">Customer City / Country, Order City / Country, Latitude / Longitude — geographic fields</w:t>
      </w:r>
    </w:p>
    <w:p>
      <w:pPr>
        <w:pStyle w:val="ListParagraph"/>
        <w:numPr>
          <w:ilvl w:val="0"/>
          <w:numId w:val="2"/>
        </w:numPr>
        <w:spacing w:after="95"/>
      </w:pPr>
      <w:r>
        <w:rPr>
          <w:rFonts w:ascii="Calibri" w:cs="Calibri" w:eastAsia="Calibri" w:hAnsi="Calibri"/>
          <w:color w:val="1B2A2E"/>
          <w:sz w:val="22"/>
          <w:szCs w:val="22"/>
        </w:rPr>
        <w:t xml:space="preserve">Shipping Mode, Delivery Status — categorical operational fields</w:t>
      </w:r>
    </w:p>
    <w:p>
      <w:pPr>
        <w:spacing w:after="120"/>
      </w:pPr>
    </w:p>
    <w:p>
      <w:pPr>
        <w:spacing w:after="170" w:line="300"/>
      </w:pPr>
      <w:r>
        <w:rPr>
          <w:rFonts w:ascii="Calibri" w:cs="Calibri" w:eastAsia="Calibri" w:hAnsi="Calibri"/>
          <w:color w:val="1B2A2E"/>
          <w:sz w:val="22"/>
          <w:szCs w:val="22"/>
        </w:rPr>
        <w:t xml:space="preserve">In a live project, collection would involve pulling this data via a Kaggle API call or a company's warehouse management system (WMS) export, then loading it into a pandas DataFrame for inspection. The simulated collection step below stands in for that extraction.</w:t>
      </w:r>
    </w:p>
    <w:tbl>
      <w:tblPr>
        <w:tblW w:type="pct" w:w="100%"/>
        <w:tblBorders>
          <w:top w:val="single" w:color="0A3A3D" w:sz="4"/>
          <w:left w:val="single" w:color="0A3A3D" w:sz="4"/>
          <w:bottom w:val="single" w:color="0A3A3D" w:sz="4"/>
          <w:right w:val="single" w:color="0A3A3D" w:sz="4"/>
          <w:insideH w:val="single" w:color="auto" w:sz="4"/>
          <w:insideV w:val="single" w:color="auto" w:sz="4"/>
        </w:tblBorders>
      </w:tblPr>
      <w:tblGrid>
        <w:gridCol w:w="100"/>
      </w:tblGrid>
      <w:tr>
        <w:tc>
          <w:tcPr>
            <w:shd w:fill="0D2426" w:val="clear"/>
            <w:tcMar>
              <w:top w:type="dxa" w:w="130"/>
              <w:left w:type="dxa" w:w="180"/>
              <w:bottom w:type="dxa" w:w="130"/>
              <w:right w:type="dxa" w:w="180"/>
            </w:tcMar>
          </w:tcPr>
          <w:p>
            <w:pPr>
              <w:spacing w:after="20"/>
            </w:pPr>
            <w:r>
              <w:rPr>
                <w:rFonts w:ascii="Consolas" w:cs="Consolas" w:eastAsia="Consolas" w:hAnsi="Consolas"/>
                <w:color w:val="D7F2EC"/>
                <w:sz w:val="19"/>
                <w:szCs w:val="19"/>
              </w:rPr>
              <w:t xml:space="preserve">import pandas as pd</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Simulated collection: load raw logistics extract</w:t>
            </w:r>
          </w:p>
          <w:p>
            <w:pPr>
              <w:spacing w:after="20"/>
            </w:pPr>
            <w:r>
              <w:rPr>
                <w:rFonts w:ascii="Consolas" w:cs="Consolas" w:eastAsia="Consolas" w:hAnsi="Consolas"/>
                <w:color w:val="D7F2EC"/>
                <w:sz w:val="19"/>
                <w:szCs w:val="19"/>
              </w:rPr>
              <w:t xml:space="preserve">raw_df = pd.read_csv('dataco_supply_chain.csv', encoding='latin-1')</w:t>
            </w:r>
          </w:p>
          <w:p>
            <w:pPr>
              <w:spacing w:after="20"/>
            </w:pPr>
            <w:r>
              <w:rPr>
                <w:rFonts w:ascii="Consolas" w:cs="Consolas" w:eastAsia="Consolas" w:hAnsi="Consolas"/>
                <w:color w:val="D7F2EC"/>
                <w:sz w:val="19"/>
                <w:szCs w:val="19"/>
              </w:rPr>
              <w:t xml:space="preserve">print(raw_df.shape)          # e.g. (180519, 53)</w:t>
            </w:r>
          </w:p>
          <w:p>
            <w:pPr>
              <w:spacing w:after="20"/>
            </w:pPr>
            <w:r>
              <w:rPr>
                <w:rFonts w:ascii="Consolas" w:cs="Consolas" w:eastAsia="Consolas" w:hAnsi="Consolas"/>
                <w:color w:val="D7F2EC"/>
                <w:sz w:val="19"/>
                <w:szCs w:val="19"/>
              </w:rPr>
              <w:t xml:space="preserve">print(raw_df.dtypes)</w:t>
            </w:r>
          </w:p>
          <w:p>
            <w:pPr>
              <w:spacing w:after="20"/>
            </w:pPr>
            <w:r>
              <w:rPr>
                <w:rFonts w:ascii="Consolas" w:cs="Consolas" w:eastAsia="Consolas" w:hAnsi="Consolas"/>
                <w:color w:val="D7F2EC"/>
                <w:sz w:val="19"/>
                <w:szCs w:val="19"/>
              </w:rPr>
              <w:t xml:space="preserve">print(raw_df.isnull().sum().sort_values(ascending=False).head(10))</w:t>
            </w:r>
          </w:p>
        </w:tc>
      </w:tr>
    </w:tbl>
    <w:p>
      <w:pPr>
        <w:spacing w:after="220" w:before="70"/>
      </w:pPr>
      <w:r>
        <w:rPr>
          <w:rFonts w:ascii="Calibri" w:cs="Calibri" w:eastAsia="Calibri" w:hAnsi="Calibri"/>
          <w:i/>
          <w:iCs/>
          <w:color w:val="5B6B6C"/>
          <w:sz w:val="18"/>
          <w:szCs w:val="18"/>
        </w:rPr>
        <w:t xml:space="preserve">Snippet 1 — Initial load and shape/quality inspection of the raw extract.</w:t>
      </w:r>
    </w:p>
    <w:p>
      <w:pPr>
        <w:pBdr>
          <w:bottom w:val="single" w:color="0F5257" w:sz="10" w:space="6"/>
        </w:pBdr>
        <w:spacing w:after="200" w:before="440"/>
      </w:pPr>
      <w:r>
        <w:rPr>
          <w:rFonts w:ascii="Georgia" w:cs="Georgia" w:eastAsia="Georgia" w:hAnsi="Georgia"/>
          <w:b/>
          <w:bCs/>
          <w:color w:val="B8862B"/>
          <w:sz w:val="32"/>
          <w:szCs w:val="32"/>
        </w:rPr>
        <w:t xml:space="preserve">3.  </w:t>
      </w:r>
      <w:r>
        <w:rPr>
          <w:rFonts w:ascii="Georgia" w:cs="Georgia" w:eastAsia="Georgia" w:hAnsi="Georgia"/>
          <w:b/>
          <w:bCs/>
          <w:color w:val="0A3A3D"/>
          <w:sz w:val="32"/>
          <w:szCs w:val="32"/>
        </w:rPr>
        <w:t xml:space="preserve"> Data Cleaning: Issues Identified and Correction Methods</w:t>
      </w:r>
    </w:p>
    <w:p>
      <w:pPr>
        <w:spacing w:after="170" w:line="300"/>
      </w:pPr>
      <w:r>
        <w:rPr>
          <w:rFonts w:ascii="Calibri" w:cs="Calibri" w:eastAsia="Calibri" w:hAnsi="Calibri"/>
          <w:color w:val="1B2A2E"/>
          <w:sz w:val="22"/>
          <w:szCs w:val="22"/>
        </w:rPr>
        <w:t xml:space="preserve">Three categories of data quality problems are typical of this dataset and of logistics data generally: missing values, outliers, and inconsistent scale/units across numeric fields. Each is addressed below with the specific technique used and the reasoning behind the choice.</w:t>
      </w:r>
    </w:p>
    <w:p>
      <w:pPr>
        <w:spacing w:after="130" w:before="280"/>
      </w:pPr>
      <w:r>
        <w:rPr>
          <w:rFonts w:ascii="Georgia" w:cs="Georgia" w:eastAsia="Georgia" w:hAnsi="Georgia"/>
          <w:b/>
          <w:bCs/>
          <w:i/>
          <w:iCs/>
          <w:color w:val="0F5257"/>
          <w:sz w:val="24"/>
          <w:szCs w:val="24"/>
        </w:rPr>
        <w:t xml:space="preserve">3.1  Missing Values</w:t>
      </w:r>
    </w:p>
    <w:tbl>
      <w:tblPr>
        <w:tblW w:type="dxa" w:w="9000"/>
        <w:tblBorders>
          <w:top w:val="single" w:color="0F5257" w:sz="4"/>
          <w:left w:val="single" w:color="0F5257" w:sz="4"/>
          <w:bottom w:val="single" w:color="0F5257" w:sz="4"/>
          <w:right w:val="single" w:color="0F5257" w:sz="4"/>
          <w:insideH w:val="single" w:color="BFD6D6" w:sz="2"/>
          <w:insideV w:val="single" w:color="BFD6D6" w:sz="2"/>
        </w:tblBorders>
      </w:tblPr>
      <w:tblGrid>
        <w:gridCol w:w="2200"/>
        <w:gridCol w:w="2600"/>
        <w:gridCol w:w="2400"/>
        <w:gridCol w:w="1800"/>
      </w:tblGrid>
      <w:tr>
        <w:trPr>
          <w:cantSplit/>
          <w:tblHeader/>
        </w:trPr>
        <w:tc>
          <w:tcPr>
            <w:tcW w:type="dxa" w:w="22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Field</w:t>
            </w:r>
          </w:p>
        </w:tc>
        <w:tc>
          <w:tcPr>
            <w:tcW w:type="dxa" w:w="26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Issue Observed</w:t>
            </w:r>
          </w:p>
        </w:tc>
        <w:tc>
          <w:tcPr>
            <w:tcW w:type="dxa" w:w="24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Technique Applied</w:t>
            </w:r>
          </w:p>
        </w:tc>
        <w:tc>
          <w:tcPr>
            <w:tcW w:type="dxa" w:w="18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Rationale</w:t>
            </w:r>
          </w:p>
        </w:tc>
      </w:tr>
      <w:tr>
        <w:trPr>
          <w:cantSplit/>
        </w:trPr>
        <w:tc>
          <w:tcPr>
            <w:tcW w:type="dxa" w:w="2200"/>
            <w:shd w:fill="FFFFFF" w:val="clear"/>
            <w:tcMar>
              <w:top w:type="dxa" w:w="75"/>
              <w:left w:type="dxa" w:w="110"/>
              <w:bottom w:type="dxa" w:w="75"/>
              <w:right w:type="dxa" w:w="110"/>
            </w:tcMar>
          </w:tcPr>
          <w:p>
            <w:r>
              <w:rPr>
                <w:rFonts w:ascii="Calibri" w:cs="Calibri" w:eastAsia="Calibri" w:hAnsi="Calibri"/>
                <w:color w:val="1B2A2E"/>
                <w:sz w:val="20"/>
                <w:szCs w:val="20"/>
              </w:rPr>
              <w:t xml:space="preserve">Order Zipcode</w:t>
            </w:r>
          </w:p>
        </w:tc>
        <w:tc>
          <w:tcPr>
            <w:tcW w:type="dxa" w:w="2600"/>
            <w:shd w:fill="FFFFFF" w:val="clear"/>
            <w:tcMar>
              <w:top w:type="dxa" w:w="75"/>
              <w:left w:type="dxa" w:w="110"/>
              <w:bottom w:type="dxa" w:w="75"/>
              <w:right w:type="dxa" w:w="110"/>
            </w:tcMar>
          </w:tcPr>
          <w:p>
            <w:r>
              <w:rPr>
                <w:rFonts w:ascii="Calibri" w:cs="Calibri" w:eastAsia="Calibri" w:hAnsi="Calibri"/>
                <w:color w:val="1B2A2E"/>
                <w:sz w:val="20"/>
                <w:szCs w:val="20"/>
              </w:rPr>
              <w:t xml:space="preserve">~86% missing (structural, not random)</w:t>
            </w:r>
          </w:p>
        </w:tc>
        <w:tc>
          <w:tcPr>
            <w:tcW w:type="dxa" w:w="2400"/>
            <w:shd w:fill="FFFFFF" w:val="clear"/>
            <w:tcMar>
              <w:top w:type="dxa" w:w="75"/>
              <w:left w:type="dxa" w:w="110"/>
              <w:bottom w:type="dxa" w:w="75"/>
              <w:right w:type="dxa" w:w="110"/>
            </w:tcMar>
          </w:tcPr>
          <w:p>
            <w:r>
              <w:rPr>
                <w:rFonts w:ascii="Calibri" w:cs="Calibri" w:eastAsia="Calibri" w:hAnsi="Calibri"/>
                <w:color w:val="1B2A2E"/>
                <w:sz w:val="20"/>
                <w:szCs w:val="20"/>
              </w:rPr>
              <w:t xml:space="preserve">Drop column</w:t>
            </w:r>
          </w:p>
        </w:tc>
        <w:tc>
          <w:tcPr>
            <w:tcW w:type="dxa" w:w="1800"/>
            <w:shd w:fill="FFFFFF" w:val="clear"/>
            <w:tcMar>
              <w:top w:type="dxa" w:w="75"/>
              <w:left w:type="dxa" w:w="110"/>
              <w:bottom w:type="dxa" w:w="75"/>
              <w:right w:type="dxa" w:w="110"/>
            </w:tcMar>
          </w:tcPr>
          <w:p>
            <w:r>
              <w:rPr>
                <w:rFonts w:ascii="Calibri" w:cs="Calibri" w:eastAsia="Calibri" w:hAnsi="Calibri"/>
                <w:color w:val="1B2A2E"/>
                <w:sz w:val="20"/>
                <w:szCs w:val="20"/>
              </w:rPr>
              <w:t xml:space="preserve">Missingness this high carries near-zero information; imputing would fabricate signal</w:t>
            </w:r>
          </w:p>
        </w:tc>
      </w:tr>
      <w:tr>
        <w:trPr>
          <w:cantSplit/>
        </w:trPr>
        <w:tc>
          <w:tcPr>
            <w:tcW w:type="dxa" w:w="2200"/>
            <w:shd w:fill="E4EEEE" w:val="clear"/>
            <w:tcMar>
              <w:top w:type="dxa" w:w="75"/>
              <w:left w:type="dxa" w:w="110"/>
              <w:bottom w:type="dxa" w:w="75"/>
              <w:right w:type="dxa" w:w="110"/>
            </w:tcMar>
          </w:tcPr>
          <w:p>
            <w:r>
              <w:rPr>
                <w:rFonts w:ascii="Calibri" w:cs="Calibri" w:eastAsia="Calibri" w:hAnsi="Calibri"/>
                <w:color w:val="1B2A2E"/>
                <w:sz w:val="20"/>
                <w:szCs w:val="20"/>
              </w:rPr>
              <w:t xml:space="preserve">Customer Lname / Customer Zipcode</w:t>
            </w:r>
          </w:p>
        </w:tc>
        <w:tc>
          <w:tcPr>
            <w:tcW w:type="dxa" w:w="2600"/>
            <w:shd w:fill="E4EEEE" w:val="clear"/>
            <w:tcMar>
              <w:top w:type="dxa" w:w="75"/>
              <w:left w:type="dxa" w:w="110"/>
              <w:bottom w:type="dxa" w:w="75"/>
              <w:right w:type="dxa" w:w="110"/>
            </w:tcMar>
          </w:tcPr>
          <w:p>
            <w:r>
              <w:rPr>
                <w:rFonts w:ascii="Calibri" w:cs="Calibri" w:eastAsia="Calibri" w:hAnsi="Calibri"/>
                <w:color w:val="1B2A2E"/>
                <w:sz w:val="20"/>
                <w:szCs w:val="20"/>
              </w:rPr>
              <w:t xml:space="preserve">Sparse missing (&lt;2%)</w:t>
            </w:r>
          </w:p>
        </w:tc>
        <w:tc>
          <w:tcPr>
            <w:tcW w:type="dxa" w:w="2400"/>
            <w:shd w:fill="E4EEEE" w:val="clear"/>
            <w:tcMar>
              <w:top w:type="dxa" w:w="75"/>
              <w:left w:type="dxa" w:w="110"/>
              <w:bottom w:type="dxa" w:w="75"/>
              <w:right w:type="dxa" w:w="110"/>
            </w:tcMar>
          </w:tcPr>
          <w:p>
            <w:r>
              <w:rPr>
                <w:rFonts w:ascii="Calibri" w:cs="Calibri" w:eastAsia="Calibri" w:hAnsi="Calibri"/>
                <w:color w:val="1B2A2E"/>
                <w:sz w:val="20"/>
                <w:szCs w:val="20"/>
              </w:rPr>
              <w:t xml:space="preserve">Mode / forward-fill imputation</w:t>
            </w:r>
          </w:p>
        </w:tc>
        <w:tc>
          <w:tcPr>
            <w:tcW w:type="dxa" w:w="1800"/>
            <w:shd w:fill="E4EEEE" w:val="clear"/>
            <w:tcMar>
              <w:top w:type="dxa" w:w="75"/>
              <w:left w:type="dxa" w:w="110"/>
              <w:bottom w:type="dxa" w:w="75"/>
              <w:right w:type="dxa" w:w="110"/>
            </w:tcMar>
          </w:tcPr>
          <w:p>
            <w:r>
              <w:rPr>
                <w:rFonts w:ascii="Calibri" w:cs="Calibri" w:eastAsia="Calibri" w:hAnsi="Calibri"/>
                <w:color w:val="1B2A2E"/>
                <w:sz w:val="20"/>
                <w:szCs w:val="20"/>
              </w:rPr>
              <w:t xml:space="preserve">Categorical, low-cardinality — mode preserves distribution shape</w:t>
            </w:r>
          </w:p>
        </w:tc>
      </w:tr>
      <w:tr>
        <w:trPr>
          <w:cantSplit/>
        </w:trPr>
        <w:tc>
          <w:tcPr>
            <w:tcW w:type="dxa" w:w="2200"/>
            <w:shd w:fill="FFFFFF" w:val="clear"/>
            <w:tcMar>
              <w:top w:type="dxa" w:w="75"/>
              <w:left w:type="dxa" w:w="110"/>
              <w:bottom w:type="dxa" w:w="75"/>
              <w:right w:type="dxa" w:w="110"/>
            </w:tcMar>
          </w:tcPr>
          <w:p>
            <w:r>
              <w:rPr>
                <w:rFonts w:ascii="Calibri" w:cs="Calibri" w:eastAsia="Calibri" w:hAnsi="Calibri"/>
                <w:color w:val="1B2A2E"/>
                <w:sz w:val="20"/>
                <w:szCs w:val="20"/>
              </w:rPr>
              <w:t xml:space="preserve">Product Description</w:t>
            </w:r>
          </w:p>
        </w:tc>
        <w:tc>
          <w:tcPr>
            <w:tcW w:type="dxa" w:w="2600"/>
            <w:shd w:fill="FFFFFF" w:val="clear"/>
            <w:tcMar>
              <w:top w:type="dxa" w:w="75"/>
              <w:left w:type="dxa" w:w="110"/>
              <w:bottom w:type="dxa" w:w="75"/>
              <w:right w:type="dxa" w:w="110"/>
            </w:tcMar>
          </w:tcPr>
          <w:p>
            <w:r>
              <w:rPr>
                <w:rFonts w:ascii="Calibri" w:cs="Calibri" w:eastAsia="Calibri" w:hAnsi="Calibri"/>
                <w:color w:val="1B2A2E"/>
                <w:sz w:val="20"/>
                <w:szCs w:val="20"/>
              </w:rPr>
              <w:t xml:space="preserve">Fully null across dataset</w:t>
            </w:r>
          </w:p>
        </w:tc>
        <w:tc>
          <w:tcPr>
            <w:tcW w:type="dxa" w:w="2400"/>
            <w:shd w:fill="FFFFFF" w:val="clear"/>
            <w:tcMar>
              <w:top w:type="dxa" w:w="75"/>
              <w:left w:type="dxa" w:w="110"/>
              <w:bottom w:type="dxa" w:w="75"/>
              <w:right w:type="dxa" w:w="110"/>
            </w:tcMar>
          </w:tcPr>
          <w:p>
            <w:r>
              <w:rPr>
                <w:rFonts w:ascii="Calibri" w:cs="Calibri" w:eastAsia="Calibri" w:hAnsi="Calibri"/>
                <w:color w:val="1B2A2E"/>
                <w:sz w:val="20"/>
                <w:szCs w:val="20"/>
              </w:rPr>
              <w:t xml:space="preserve">Drop column</w:t>
            </w:r>
          </w:p>
        </w:tc>
        <w:tc>
          <w:tcPr>
            <w:tcW w:type="dxa" w:w="1800"/>
            <w:shd w:fill="FFFFFF" w:val="clear"/>
            <w:tcMar>
              <w:top w:type="dxa" w:w="75"/>
              <w:left w:type="dxa" w:w="110"/>
              <w:bottom w:type="dxa" w:w="75"/>
              <w:right w:type="dxa" w:w="110"/>
            </w:tcMar>
          </w:tcPr>
          <w:p>
            <w:r>
              <w:rPr>
                <w:rFonts w:ascii="Calibri" w:cs="Calibri" w:eastAsia="Calibri" w:hAnsi="Calibri"/>
                <w:color w:val="1B2A2E"/>
                <w:sz w:val="20"/>
                <w:szCs w:val="20"/>
              </w:rPr>
              <w:t xml:space="preserve">Zero non-null values; no information to preserve</w:t>
            </w:r>
          </w:p>
        </w:tc>
      </w:tr>
      <w:tr>
        <w:trPr>
          <w:cantSplit/>
        </w:trPr>
        <w:tc>
          <w:tcPr>
            <w:tcW w:type="dxa" w:w="2200"/>
            <w:shd w:fill="E4EEEE" w:val="clear"/>
            <w:tcMar>
              <w:top w:type="dxa" w:w="75"/>
              <w:left w:type="dxa" w:w="110"/>
              <w:bottom w:type="dxa" w:w="75"/>
              <w:right w:type="dxa" w:w="110"/>
            </w:tcMar>
          </w:tcPr>
          <w:p>
            <w:r>
              <w:rPr>
                <w:rFonts w:ascii="Calibri" w:cs="Calibri" w:eastAsia="Calibri" w:hAnsi="Calibri"/>
                <w:color w:val="1B2A2E"/>
                <w:sz w:val="20"/>
                <w:szCs w:val="20"/>
              </w:rPr>
              <w:t xml:space="preserve">Days for shipping (real)</w:t>
            </w:r>
          </w:p>
        </w:tc>
        <w:tc>
          <w:tcPr>
            <w:tcW w:type="dxa" w:w="2600"/>
            <w:shd w:fill="E4EEEE" w:val="clear"/>
            <w:tcMar>
              <w:top w:type="dxa" w:w="75"/>
              <w:left w:type="dxa" w:w="110"/>
              <w:bottom w:type="dxa" w:w="75"/>
              <w:right w:type="dxa" w:w="110"/>
            </w:tcMar>
          </w:tcPr>
          <w:p>
            <w:r>
              <w:rPr>
                <w:rFonts w:ascii="Calibri" w:cs="Calibri" w:eastAsia="Calibri" w:hAnsi="Calibri"/>
                <w:color w:val="1B2A2E"/>
                <w:sz w:val="20"/>
                <w:szCs w:val="20"/>
              </w:rPr>
              <w:t xml:space="preserve">Occasional 0 or null on cancelled orders</w:t>
            </w:r>
          </w:p>
        </w:tc>
        <w:tc>
          <w:tcPr>
            <w:tcW w:type="dxa" w:w="2400"/>
            <w:shd w:fill="E4EEEE" w:val="clear"/>
            <w:tcMar>
              <w:top w:type="dxa" w:w="75"/>
              <w:left w:type="dxa" w:w="110"/>
              <w:bottom w:type="dxa" w:w="75"/>
              <w:right w:type="dxa" w:w="110"/>
            </w:tcMar>
          </w:tcPr>
          <w:p>
            <w:r>
              <w:rPr>
                <w:rFonts w:ascii="Calibri" w:cs="Calibri" w:eastAsia="Calibri" w:hAnsi="Calibri"/>
                <w:color w:val="1B2A2E"/>
                <w:sz w:val="20"/>
                <w:szCs w:val="20"/>
              </w:rPr>
              <w:t xml:space="preserve">Impute with median grouped by Shipping Mode</w:t>
            </w:r>
          </w:p>
        </w:tc>
        <w:tc>
          <w:tcPr>
            <w:tcW w:type="dxa" w:w="1800"/>
            <w:shd w:fill="E4EEEE" w:val="clear"/>
            <w:tcMar>
              <w:top w:type="dxa" w:w="75"/>
              <w:left w:type="dxa" w:w="110"/>
              <w:bottom w:type="dxa" w:w="75"/>
              <w:right w:type="dxa" w:w="110"/>
            </w:tcMar>
          </w:tcPr>
          <w:p>
            <w:r>
              <w:rPr>
                <w:rFonts w:ascii="Calibri" w:cs="Calibri" w:eastAsia="Calibri" w:hAnsi="Calibri"/>
                <w:color w:val="1B2A2E"/>
                <w:sz w:val="20"/>
                <w:szCs w:val="20"/>
              </w:rPr>
              <w:t xml:space="preserve">Median is robust to skew; grouping avoids blending fast/slow shipping modes</w:t>
            </w:r>
          </w:p>
        </w:tc>
      </w:tr>
    </w:tbl>
    <w:p>
      <w:pPr>
        <w:spacing w:after="120"/>
      </w:pPr>
    </w:p>
    <w:tbl>
      <w:tblPr>
        <w:tblW w:type="pct" w:w="100%"/>
        <w:tblBorders>
          <w:top w:val="single" w:color="0A3A3D" w:sz="4"/>
          <w:left w:val="single" w:color="0A3A3D" w:sz="4"/>
          <w:bottom w:val="single" w:color="0A3A3D" w:sz="4"/>
          <w:right w:val="single" w:color="0A3A3D" w:sz="4"/>
          <w:insideH w:val="single" w:color="auto" w:sz="4"/>
          <w:insideV w:val="single" w:color="auto" w:sz="4"/>
        </w:tblBorders>
      </w:tblPr>
      <w:tblGrid>
        <w:gridCol w:w="100"/>
      </w:tblGrid>
      <w:tr>
        <w:tc>
          <w:tcPr>
            <w:shd w:fill="0D2426" w:val="clear"/>
            <w:tcMar>
              <w:top w:type="dxa" w:w="130"/>
              <w:left w:type="dxa" w:w="180"/>
              <w:bottom w:type="dxa" w:w="130"/>
              <w:right w:type="dxa" w:w="180"/>
            </w:tcMar>
          </w:tcPr>
          <w:p>
            <w:pPr>
              <w:spacing w:after="20"/>
            </w:pPr>
            <w:r>
              <w:rPr>
                <w:rFonts w:ascii="Consolas" w:cs="Consolas" w:eastAsia="Consolas" w:hAnsi="Consolas"/>
                <w:color w:val="D7F2EC"/>
                <w:sz w:val="19"/>
                <w:szCs w:val="19"/>
              </w:rPr>
              <w:t xml:space="preserve"># Handling missing values</w:t>
            </w:r>
          </w:p>
          <w:p>
            <w:pPr>
              <w:spacing w:after="20"/>
            </w:pPr>
            <w:r>
              <w:rPr>
                <w:rFonts w:ascii="Consolas" w:cs="Consolas" w:eastAsia="Consolas" w:hAnsi="Consolas"/>
                <w:color w:val="D7F2EC"/>
                <w:sz w:val="19"/>
                <w:szCs w:val="19"/>
              </w:rPr>
              <w:t xml:space="preserve">missing_pct = raw_df.isnull().mean() * 100</w:t>
            </w:r>
          </w:p>
          <w:p>
            <w:pPr>
              <w:spacing w:after="20"/>
            </w:pPr>
            <w:r>
              <w:rPr>
                <w:rFonts w:ascii="Consolas" w:cs="Consolas" w:eastAsia="Consolas" w:hAnsi="Consolas"/>
                <w:color w:val="D7F2EC"/>
                <w:sz w:val="19"/>
                <w:szCs w:val="19"/>
              </w:rPr>
              <w:t xml:space="preserve">cols_to_drop = missing_pct[missing_pct &gt; 50].index.tolist()</w:t>
            </w:r>
          </w:p>
          <w:p>
            <w:pPr>
              <w:spacing w:after="20"/>
            </w:pPr>
            <w:r>
              <w:rPr>
                <w:rFonts w:ascii="Consolas" w:cs="Consolas" w:eastAsia="Consolas" w:hAnsi="Consolas"/>
                <w:color w:val="D7F2EC"/>
                <w:sz w:val="19"/>
                <w:szCs w:val="19"/>
              </w:rPr>
              <w:t xml:space="preserve">df = raw_df.drop(columns=cols_to_drop)</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Group-wise median imputation for shipping duration</w:t>
            </w:r>
          </w:p>
          <w:p>
            <w:pPr>
              <w:spacing w:after="20"/>
            </w:pPr>
            <w:r>
              <w:rPr>
                <w:rFonts w:ascii="Consolas" w:cs="Consolas" w:eastAsia="Consolas" w:hAnsi="Consolas"/>
                <w:color w:val="D7F2EC"/>
                <w:sz w:val="19"/>
                <w:szCs w:val="19"/>
              </w:rPr>
              <w:t xml:space="preserve">df['Days for shipping (real)'] = (</w:t>
            </w:r>
          </w:p>
          <w:p>
            <w:pPr>
              <w:spacing w:after="20"/>
            </w:pPr>
            <w:r>
              <w:rPr>
                <w:rFonts w:ascii="Consolas" w:cs="Consolas" w:eastAsia="Consolas" w:hAnsi="Consolas"/>
                <w:color w:val="D7F2EC"/>
                <w:sz w:val="19"/>
                <w:szCs w:val="19"/>
              </w:rPr>
              <w:t xml:space="preserve">    df.groupby('Shipping Mode')['Days for shipping (real)']</w:t>
            </w:r>
          </w:p>
          <w:p>
            <w:pPr>
              <w:spacing w:after="20"/>
            </w:pPr>
            <w:r>
              <w:rPr>
                <w:rFonts w:ascii="Consolas" w:cs="Consolas" w:eastAsia="Consolas" w:hAnsi="Consolas"/>
                <w:color w:val="D7F2EC"/>
                <w:sz w:val="19"/>
                <w:szCs w:val="19"/>
              </w:rPr>
              <w:t xml:space="preserve">      .transform(lambda x: x.fillna(x.median()))</w:t>
            </w:r>
          </w:p>
          <w:p>
            <w:pPr>
              <w:spacing w:after="20"/>
            </w:pPr>
            <w:r>
              <w:rPr>
                <w:rFonts w:ascii="Consolas" w:cs="Consolas" w:eastAsia="Consolas" w:hAnsi="Consolas"/>
                <w:color w:val="D7F2EC"/>
                <w:sz w:val="19"/>
                <w:szCs w:val="19"/>
              </w:rPr>
              <w:t xml:space="preserve">)</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Mode imputation for low-cardinality categorical gaps</w:t>
            </w:r>
          </w:p>
          <w:p>
            <w:pPr>
              <w:spacing w:after="20"/>
            </w:pPr>
            <w:r>
              <w:rPr>
                <w:rFonts w:ascii="Consolas" w:cs="Consolas" w:eastAsia="Consolas" w:hAnsi="Consolas"/>
                <w:color w:val="D7F2EC"/>
                <w:sz w:val="19"/>
                <w:szCs w:val="19"/>
              </w:rPr>
              <w:t xml:space="preserve">for col in ['Customer Zipcode']:</w:t>
            </w:r>
          </w:p>
          <w:p>
            <w:pPr>
              <w:spacing w:after="20"/>
            </w:pPr>
            <w:r>
              <w:rPr>
                <w:rFonts w:ascii="Consolas" w:cs="Consolas" w:eastAsia="Consolas" w:hAnsi="Consolas"/>
                <w:color w:val="D7F2EC"/>
                <w:sz w:val="19"/>
                <w:szCs w:val="19"/>
              </w:rPr>
              <w:t xml:space="preserve">    df[col] = df[col].fillna(df[col].mode()[0])</w:t>
            </w:r>
          </w:p>
        </w:tc>
      </w:tr>
    </w:tbl>
    <w:p>
      <w:pPr>
        <w:spacing w:after="220" w:before="70"/>
      </w:pPr>
      <w:r>
        <w:rPr>
          <w:rFonts w:ascii="Calibri" w:cs="Calibri" w:eastAsia="Calibri" w:hAnsi="Calibri"/>
          <w:i/>
          <w:iCs/>
          <w:color w:val="5B6B6C"/>
          <w:sz w:val="18"/>
          <w:szCs w:val="18"/>
        </w:rPr>
        <w:t xml:space="preserve">Snippet 2 — Threshold-based column dropping plus grouped median / mode imputation.</w:t>
      </w:r>
    </w:p>
    <w:p>
      <w:pPr>
        <w:spacing w:after="130" w:before="280"/>
      </w:pPr>
      <w:r>
        <w:rPr>
          <w:rFonts w:ascii="Georgia" w:cs="Georgia" w:eastAsia="Georgia" w:hAnsi="Georgia"/>
          <w:b/>
          <w:bCs/>
          <w:i/>
          <w:iCs/>
          <w:color w:val="0F5257"/>
          <w:sz w:val="24"/>
          <w:szCs w:val="24"/>
        </w:rPr>
        <w:t xml:space="preserve">3.2  Outlier Detection</w:t>
      </w:r>
    </w:p>
    <w:p>
      <w:pPr>
        <w:spacing w:after="170" w:line="300"/>
      </w:pPr>
      <w:r>
        <w:rPr>
          <w:rFonts w:ascii="Calibri" w:cs="Calibri" w:eastAsia="Calibri" w:hAnsi="Calibri"/>
          <w:color w:val="1B2A2E"/>
          <w:sz w:val="22"/>
          <w:szCs w:val="22"/>
        </w:rPr>
        <w:t xml:space="preserve">Numeric fields such as Order Item Quantity, Sales, and Order Profit Per Order contain extreme values — for example, a small number of records show profit-per-order figures more than 15 standard deviations from the mean, almost certainly reflecting data-entry errors or return/refund adjustments rather than genuine transactions. The Interquartile Range (IQR) method is used rather than a z-score cutoff, because logistics financial data is typically right-skewed and z-scores assume a roughly normal distribution.</w:t>
      </w:r>
    </w:p>
    <w:tbl>
      <w:tblPr>
        <w:tblW w:type="pct" w:w="100%"/>
        <w:tblBorders>
          <w:top w:val="single" w:color="0A3A3D" w:sz="4"/>
          <w:left w:val="single" w:color="0A3A3D" w:sz="4"/>
          <w:bottom w:val="single" w:color="0A3A3D" w:sz="4"/>
          <w:right w:val="single" w:color="0A3A3D" w:sz="4"/>
          <w:insideH w:val="single" w:color="auto" w:sz="4"/>
          <w:insideV w:val="single" w:color="auto" w:sz="4"/>
        </w:tblBorders>
      </w:tblPr>
      <w:tblGrid>
        <w:gridCol w:w="100"/>
      </w:tblGrid>
      <w:tr>
        <w:tc>
          <w:tcPr>
            <w:shd w:fill="0D2426" w:val="clear"/>
            <w:tcMar>
              <w:top w:type="dxa" w:w="130"/>
              <w:left w:type="dxa" w:w="180"/>
              <w:bottom w:type="dxa" w:w="130"/>
              <w:right w:type="dxa" w:w="180"/>
            </w:tcMar>
          </w:tcPr>
          <w:p>
            <w:pPr>
              <w:spacing w:after="20"/>
            </w:pPr>
            <w:r>
              <w:rPr>
                <w:rFonts w:ascii="Consolas" w:cs="Consolas" w:eastAsia="Consolas" w:hAnsi="Consolas"/>
                <w:color w:val="D7F2EC"/>
                <w:sz w:val="19"/>
                <w:szCs w:val="19"/>
              </w:rPr>
              <w:t xml:space="preserve"># IQR-based outlier detection and capping (winsorization)</w:t>
            </w:r>
          </w:p>
          <w:p>
            <w:pPr>
              <w:spacing w:after="20"/>
            </w:pPr>
            <w:r>
              <w:rPr>
                <w:rFonts w:ascii="Consolas" w:cs="Consolas" w:eastAsia="Consolas" w:hAnsi="Consolas"/>
                <w:color w:val="D7F2EC"/>
                <w:sz w:val="19"/>
                <w:szCs w:val="19"/>
              </w:rPr>
              <w:t xml:space="preserve">def cap_outliers_iqr(series, k=1.5):</w:t>
            </w:r>
          </w:p>
          <w:p>
            <w:pPr>
              <w:spacing w:after="20"/>
            </w:pPr>
            <w:r>
              <w:rPr>
                <w:rFonts w:ascii="Consolas" w:cs="Consolas" w:eastAsia="Consolas" w:hAnsi="Consolas"/>
                <w:color w:val="D7F2EC"/>
                <w:sz w:val="19"/>
                <w:szCs w:val="19"/>
              </w:rPr>
              <w:t xml:space="preserve">    q1, q3 = series.quantile(0.25), series.quantile(0.75)</w:t>
            </w:r>
          </w:p>
          <w:p>
            <w:pPr>
              <w:spacing w:after="20"/>
            </w:pPr>
            <w:r>
              <w:rPr>
                <w:rFonts w:ascii="Consolas" w:cs="Consolas" w:eastAsia="Consolas" w:hAnsi="Consolas"/>
                <w:color w:val="D7F2EC"/>
                <w:sz w:val="19"/>
                <w:szCs w:val="19"/>
              </w:rPr>
              <w:t xml:space="preserve">    iqr = q3 - q1</w:t>
            </w:r>
          </w:p>
          <w:p>
            <w:pPr>
              <w:spacing w:after="20"/>
            </w:pPr>
            <w:r>
              <w:rPr>
                <w:rFonts w:ascii="Consolas" w:cs="Consolas" w:eastAsia="Consolas" w:hAnsi="Consolas"/>
                <w:color w:val="D7F2EC"/>
                <w:sz w:val="19"/>
                <w:szCs w:val="19"/>
              </w:rPr>
              <w:t xml:space="preserve">    lower, upper = q1 - k * iqr, q3 + k * iqr</w:t>
            </w:r>
          </w:p>
          <w:p>
            <w:pPr>
              <w:spacing w:after="20"/>
            </w:pPr>
            <w:r>
              <w:rPr>
                <w:rFonts w:ascii="Consolas" w:cs="Consolas" w:eastAsia="Consolas" w:hAnsi="Consolas"/>
                <w:color w:val="D7F2EC"/>
                <w:sz w:val="19"/>
                <w:szCs w:val="19"/>
              </w:rPr>
              <w:t xml:space="preserve">    return series.clip(lower, upper)</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for col in ['Sales', 'Order Item Quantity', 'Order Profit Per Order']:</w:t>
            </w:r>
          </w:p>
          <w:p>
            <w:pPr>
              <w:spacing w:after="20"/>
            </w:pPr>
            <w:r>
              <w:rPr>
                <w:rFonts w:ascii="Consolas" w:cs="Consolas" w:eastAsia="Consolas" w:hAnsi="Consolas"/>
                <w:color w:val="D7F2EC"/>
                <w:sz w:val="19"/>
                <w:szCs w:val="19"/>
              </w:rPr>
              <w:t xml:space="preserve">    before_outliers = ((df[col] &lt; df[col].quantile(0.25) - 1.5*(df[col].quantile(0.75)-df[col].quantile(0.25))) |</w:t>
            </w:r>
          </w:p>
          <w:p>
            <w:pPr>
              <w:spacing w:after="20"/>
            </w:pPr>
            <w:r>
              <w:rPr>
                <w:rFonts w:ascii="Consolas" w:cs="Consolas" w:eastAsia="Consolas" w:hAnsi="Consolas"/>
                <w:color w:val="D7F2EC"/>
                <w:sz w:val="19"/>
                <w:szCs w:val="19"/>
              </w:rPr>
              <w:t xml:space="preserve">                        (df[col] &gt; df[col].quantile(0.75) + 1.5*(df[col].quantile(0.75)-df[col].quantile(0.25)))).sum()</w:t>
            </w:r>
          </w:p>
          <w:p>
            <w:pPr>
              <w:spacing w:after="20"/>
            </w:pPr>
            <w:r>
              <w:rPr>
                <w:rFonts w:ascii="Consolas" w:cs="Consolas" w:eastAsia="Consolas" w:hAnsi="Consolas"/>
                <w:color w:val="D7F2EC"/>
                <w:sz w:val="19"/>
                <w:szCs w:val="19"/>
              </w:rPr>
              <w:t xml:space="preserve">    df[col] = cap_outliers_iqr(df[col])</w:t>
            </w:r>
          </w:p>
          <w:p>
            <w:pPr>
              <w:spacing w:after="20"/>
            </w:pPr>
            <w:r>
              <w:rPr>
                <w:rFonts w:ascii="Consolas" w:cs="Consolas" w:eastAsia="Consolas" w:hAnsi="Consolas"/>
                <w:color w:val="D7F2EC"/>
                <w:sz w:val="19"/>
                <w:szCs w:val="19"/>
              </w:rPr>
              <w:t xml:space="preserve">    print(f'{col}: {before_outliers} outliers capped')</w:t>
            </w:r>
          </w:p>
        </w:tc>
      </w:tr>
    </w:tbl>
    <w:p>
      <w:pPr>
        <w:spacing w:after="220" w:before="70"/>
      </w:pPr>
      <w:r>
        <w:rPr>
          <w:rFonts w:ascii="Calibri" w:cs="Calibri" w:eastAsia="Calibri" w:hAnsi="Calibri"/>
          <w:i/>
          <w:iCs/>
          <w:color w:val="5B6B6C"/>
          <w:sz w:val="18"/>
          <w:szCs w:val="18"/>
        </w:rPr>
        <w:t xml:space="preserve">Snippet 3 — IQR-based winsorization; values beyond 1.5×IQR are capped, not deleted, to preserve row count.</w:t>
      </w:r>
    </w:p>
    <w:tbl>
      <w:tblPr>
        <w:tblW w:type="pct" w:w="100%"/>
        <w:tblBorders>
          <w:top w:val="none" w:color="FFFFFF" w:sz="0"/>
          <w:left w:val="single" w:color="B8862B" w:sz="36"/>
          <w:bottom w:val="none" w:color="FFFFFF" w:sz="0"/>
          <w:right w:val="none" w:color="FFFFFF" w:sz="0"/>
          <w:insideH w:val="single" w:color="auto" w:sz="4"/>
          <w:insideV w:val="single" w:color="auto" w:sz="4"/>
        </w:tblBorders>
      </w:tblPr>
      <w:tblGrid>
        <w:gridCol w:w="100"/>
      </w:tblGrid>
      <w:tr>
        <w:tc>
          <w:tcPr>
            <w:shd w:fill="E4EEEE" w:val="clear"/>
            <w:tcMar>
              <w:top w:type="dxa" w:w="180"/>
              <w:left w:type="dxa" w:w="260"/>
              <w:bottom w:type="dxa" w:w="180"/>
              <w:right w:type="dxa" w:w="260"/>
            </w:tcMar>
          </w:tcPr>
          <w:p>
            <w:r>
              <w:rPr>
                <w:rFonts w:ascii="Georgia" w:cs="Georgia" w:eastAsia="Georgia" w:hAnsi="Georgia"/>
                <w:i/>
                <w:iCs/>
                <w:color w:val="0A3A3D"/>
                <w:sz w:val="22"/>
                <w:szCs w:val="22"/>
              </w:rPr>
              <w:t xml:space="preserve">Capping (winsorization) is preferred over deletion here: dropping rows would bias downstream demand and delay models toward 'typical' orders only, understating tail risk that operations teams specifically care about — e.g. unusually large bulk orders.</w:t>
            </w:r>
          </w:p>
        </w:tc>
      </w:tr>
    </w:tbl>
    <w:p>
      <w:pPr>
        <w:spacing w:after="160"/>
      </w:pPr>
    </w:p>
    <w:p>
      <w:pPr>
        <w:spacing w:after="130" w:before="280"/>
      </w:pPr>
      <w:r>
        <w:rPr>
          <w:rFonts w:ascii="Georgia" w:cs="Georgia" w:eastAsia="Georgia" w:hAnsi="Georgia"/>
          <w:b/>
          <w:bCs/>
          <w:i/>
          <w:iCs/>
          <w:color w:val="0F5257"/>
          <w:sz w:val="24"/>
          <w:szCs w:val="24"/>
        </w:rPr>
        <w:t xml:space="preserve">3.3  Normalization and Scaling</w:t>
      </w:r>
    </w:p>
    <w:p>
      <w:pPr>
        <w:spacing w:after="170" w:line="300"/>
      </w:pPr>
      <w:r>
        <w:rPr>
          <w:rFonts w:ascii="Calibri" w:cs="Calibri" w:eastAsia="Calibri" w:hAnsi="Calibri"/>
          <w:color w:val="1B2A2E"/>
          <w:sz w:val="22"/>
          <w:szCs w:val="22"/>
        </w:rPr>
        <w:t xml:space="preserve">Fields like Sales, Order Item Quantity, and shipping duration operate on very different numeric scales, which would bias distance-based algorithms (e.g. k-means clustering used later for delivery-zone segmentation) toward whichever feature has the largest raw magnitude. Min-Max scaling is applied to bound all features to [0, 1] while preserving the shape of the distribution; StandardScaler is used instead wherever the downstream technique (e.g. PCA or regression) assumes approximately normal, zero-centered inputs.</w:t>
      </w:r>
    </w:p>
    <w:tbl>
      <w:tblPr>
        <w:tblW w:type="pct" w:w="100%"/>
        <w:tblBorders>
          <w:top w:val="single" w:color="0A3A3D" w:sz="4"/>
          <w:left w:val="single" w:color="0A3A3D" w:sz="4"/>
          <w:bottom w:val="single" w:color="0A3A3D" w:sz="4"/>
          <w:right w:val="single" w:color="0A3A3D" w:sz="4"/>
          <w:insideH w:val="single" w:color="auto" w:sz="4"/>
          <w:insideV w:val="single" w:color="auto" w:sz="4"/>
        </w:tblBorders>
      </w:tblPr>
      <w:tblGrid>
        <w:gridCol w:w="100"/>
      </w:tblGrid>
      <w:tr>
        <w:tc>
          <w:tcPr>
            <w:shd w:fill="0D2426" w:val="clear"/>
            <w:tcMar>
              <w:top w:type="dxa" w:w="130"/>
              <w:left w:type="dxa" w:w="180"/>
              <w:bottom w:type="dxa" w:w="130"/>
              <w:right w:type="dxa" w:w="180"/>
            </w:tcMar>
          </w:tcPr>
          <w:p>
            <w:pPr>
              <w:spacing w:after="20"/>
            </w:pPr>
            <w:r>
              <w:rPr>
                <w:rFonts w:ascii="Consolas" w:cs="Consolas" w:eastAsia="Consolas" w:hAnsi="Consolas"/>
                <w:color w:val="D7F2EC"/>
                <w:sz w:val="19"/>
                <w:szCs w:val="19"/>
              </w:rPr>
              <w:t xml:space="preserve">from sklearn.preprocessing import MinMaxScaler, StandardScaler</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minmax_cols = ['Order Item Quantity', 'Days for shipping (real)']</w:t>
            </w:r>
          </w:p>
          <w:p>
            <w:pPr>
              <w:spacing w:after="20"/>
            </w:pPr>
            <w:r>
              <w:rPr>
                <w:rFonts w:ascii="Consolas" w:cs="Consolas" w:eastAsia="Consolas" w:hAnsi="Consolas"/>
                <w:color w:val="D7F2EC"/>
                <w:sz w:val="19"/>
                <w:szCs w:val="19"/>
              </w:rPr>
              <w:t xml:space="preserve">standard_cols = ['Sales', 'Order Profit Per Order']</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mm_scaler = MinMaxScaler()</w:t>
            </w:r>
          </w:p>
          <w:p>
            <w:pPr>
              <w:spacing w:after="20"/>
            </w:pPr>
            <w:r>
              <w:rPr>
                <w:rFonts w:ascii="Consolas" w:cs="Consolas" w:eastAsia="Consolas" w:hAnsi="Consolas"/>
                <w:color w:val="D7F2EC"/>
                <w:sz w:val="19"/>
                <w:szCs w:val="19"/>
              </w:rPr>
              <w:t xml:space="preserve">df[minmax_cols] = mm_scaler.fit_transform(df[minmax_cols])</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std_scaler = StandardScaler()</w:t>
            </w:r>
          </w:p>
          <w:p>
            <w:pPr>
              <w:spacing w:after="20"/>
            </w:pPr>
            <w:r>
              <w:rPr>
                <w:rFonts w:ascii="Consolas" w:cs="Consolas" w:eastAsia="Consolas" w:hAnsi="Consolas"/>
                <w:color w:val="D7F2EC"/>
                <w:sz w:val="19"/>
                <w:szCs w:val="19"/>
              </w:rPr>
              <w:t xml:space="preserve">df[standard_cols] = std_scaler.fit_transform(df[standard_cols])</w:t>
            </w:r>
          </w:p>
        </w:tc>
      </w:tr>
    </w:tbl>
    <w:p>
      <w:pPr>
        <w:spacing w:after="220" w:before="70"/>
      </w:pPr>
      <w:r>
        <w:rPr>
          <w:rFonts w:ascii="Calibri" w:cs="Calibri" w:eastAsia="Calibri" w:hAnsi="Calibri"/>
          <w:i/>
          <w:iCs/>
          <w:color w:val="5B6B6C"/>
          <w:sz w:val="18"/>
          <w:szCs w:val="18"/>
        </w:rPr>
        <w:t xml:space="preserve">Snippet 4 — Dual scaling strategy: Min-Max for bounded clustering inputs, StandardScaler for regression-ready fields.</w:t>
      </w:r>
    </w:p>
    <w:p>
      <w:pPr>
        <w:pBdr>
          <w:bottom w:val="single" w:color="0F5257" w:sz="10" w:space="6"/>
        </w:pBdr>
        <w:spacing w:after="200" w:before="440"/>
      </w:pPr>
      <w:r>
        <w:rPr>
          <w:rFonts w:ascii="Georgia" w:cs="Georgia" w:eastAsia="Georgia" w:hAnsi="Georgia"/>
          <w:b/>
          <w:bCs/>
          <w:color w:val="B8862B"/>
          <w:sz w:val="32"/>
          <w:szCs w:val="32"/>
        </w:rPr>
        <w:t xml:space="preserve">4.  </w:t>
      </w:r>
      <w:r>
        <w:rPr>
          <w:rFonts w:ascii="Georgia" w:cs="Georgia" w:eastAsia="Georgia" w:hAnsi="Georgia"/>
          <w:b/>
          <w:bCs/>
          <w:color w:val="0A3A3D"/>
          <w:sz w:val="32"/>
          <w:szCs w:val="32"/>
        </w:rPr>
        <w:t xml:space="preserve"> Methodological Explanation: Why These Techniques</w:t>
      </w:r>
    </w:p>
    <w:tbl>
      <w:tblPr>
        <w:tblW w:type="dxa" w:w="9000"/>
        <w:tblBorders>
          <w:top w:val="single" w:color="0F5257" w:sz="4"/>
          <w:left w:val="single" w:color="0F5257" w:sz="4"/>
          <w:bottom w:val="single" w:color="0F5257" w:sz="4"/>
          <w:right w:val="single" w:color="0F5257" w:sz="4"/>
          <w:insideH w:val="single" w:color="BFD6D6" w:sz="2"/>
          <w:insideV w:val="single" w:color="BFD6D6" w:sz="2"/>
        </w:tblBorders>
      </w:tblPr>
      <w:tblGrid>
        <w:gridCol w:w="2400"/>
        <w:gridCol w:w="3400"/>
        <w:gridCol w:w="3200"/>
      </w:tblGrid>
      <w:tr>
        <w:trPr>
          <w:cantSplit/>
          <w:tblHeader/>
        </w:trPr>
        <w:tc>
          <w:tcPr>
            <w:tcW w:type="dxa" w:w="24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Technique</w:t>
            </w:r>
          </w:p>
        </w:tc>
        <w:tc>
          <w:tcPr>
            <w:tcW w:type="dxa" w:w="34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Why Chosen</w:t>
            </w:r>
          </w:p>
        </w:tc>
        <w:tc>
          <w:tcPr>
            <w:tcW w:type="dxa" w:w="32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Effect on Downstream Analysis</w:t>
            </w:r>
          </w:p>
        </w:tc>
      </w:tr>
      <w:tr>
        <w:trPr>
          <w:cantSplit/>
        </w:trPr>
        <w:tc>
          <w:tcPr>
            <w:tcW w:type="dxa" w:w="2400"/>
            <w:shd w:fill="FFFFFF" w:val="clear"/>
            <w:tcMar>
              <w:top w:type="dxa" w:w="75"/>
              <w:left w:type="dxa" w:w="110"/>
              <w:bottom w:type="dxa" w:w="75"/>
              <w:right w:type="dxa" w:w="110"/>
            </w:tcMar>
          </w:tcPr>
          <w:p>
            <w:r>
              <w:rPr>
                <w:rFonts w:ascii="Calibri" w:cs="Calibri" w:eastAsia="Calibri" w:hAnsi="Calibri"/>
                <w:color w:val="1B2A2E"/>
                <w:sz w:val="20"/>
                <w:szCs w:val="20"/>
              </w:rPr>
              <w:t xml:space="preserve">Threshold column drop (&gt;50% missing)</w:t>
            </w:r>
          </w:p>
        </w:tc>
        <w:tc>
          <w:tcPr>
            <w:tcW w:type="dxa" w:w="3400"/>
            <w:shd w:fill="FFFFFF" w:val="clear"/>
            <w:tcMar>
              <w:top w:type="dxa" w:w="75"/>
              <w:left w:type="dxa" w:w="110"/>
              <w:bottom w:type="dxa" w:w="75"/>
              <w:right w:type="dxa" w:w="110"/>
            </w:tcMar>
          </w:tcPr>
          <w:p>
            <w:r>
              <w:rPr>
                <w:rFonts w:ascii="Calibri" w:cs="Calibri" w:eastAsia="Calibri" w:hAnsi="Calibri"/>
                <w:color w:val="1B2A2E"/>
                <w:sz w:val="20"/>
                <w:szCs w:val="20"/>
              </w:rPr>
              <w:t xml:space="preserve">Avoids inventing data where almost none exists</w:t>
            </w:r>
          </w:p>
        </w:tc>
        <w:tc>
          <w:tcPr>
            <w:tcW w:type="dxa" w:w="3200"/>
            <w:shd w:fill="FFFFFF" w:val="clear"/>
            <w:tcMar>
              <w:top w:type="dxa" w:w="75"/>
              <w:left w:type="dxa" w:w="110"/>
              <w:bottom w:type="dxa" w:w="75"/>
              <w:right w:type="dxa" w:w="110"/>
            </w:tcMar>
          </w:tcPr>
          <w:p>
            <w:r>
              <w:rPr>
                <w:rFonts w:ascii="Calibri" w:cs="Calibri" w:eastAsia="Calibri" w:hAnsi="Calibri"/>
                <w:color w:val="1B2A2E"/>
                <w:sz w:val="20"/>
                <w:szCs w:val="20"/>
              </w:rPr>
              <w:t xml:space="preserve">Prevents imputation noise from diluting model signal</w:t>
            </w:r>
          </w:p>
        </w:tc>
      </w:tr>
      <w:tr>
        <w:trPr>
          <w:cantSplit/>
        </w:trPr>
        <w:tc>
          <w:tcPr>
            <w:tcW w:type="dxa" w:w="2400"/>
            <w:shd w:fill="E4EEEE" w:val="clear"/>
            <w:tcMar>
              <w:top w:type="dxa" w:w="75"/>
              <w:left w:type="dxa" w:w="110"/>
              <w:bottom w:type="dxa" w:w="75"/>
              <w:right w:type="dxa" w:w="110"/>
            </w:tcMar>
          </w:tcPr>
          <w:p>
            <w:r>
              <w:rPr>
                <w:rFonts w:ascii="Calibri" w:cs="Calibri" w:eastAsia="Calibri" w:hAnsi="Calibri"/>
                <w:color w:val="1B2A2E"/>
                <w:sz w:val="20"/>
                <w:szCs w:val="20"/>
              </w:rPr>
              <w:t xml:space="preserve">Grouped median imputation</w:t>
            </w:r>
          </w:p>
        </w:tc>
        <w:tc>
          <w:tcPr>
            <w:tcW w:type="dxa" w:w="3400"/>
            <w:shd w:fill="E4EEEE" w:val="clear"/>
            <w:tcMar>
              <w:top w:type="dxa" w:w="75"/>
              <w:left w:type="dxa" w:w="110"/>
              <w:bottom w:type="dxa" w:w="75"/>
              <w:right w:type="dxa" w:w="110"/>
            </w:tcMar>
          </w:tcPr>
          <w:p>
            <w:r>
              <w:rPr>
                <w:rFonts w:ascii="Calibri" w:cs="Calibri" w:eastAsia="Calibri" w:hAnsi="Calibri"/>
                <w:color w:val="1B2A2E"/>
                <w:sz w:val="20"/>
                <w:szCs w:val="20"/>
              </w:rPr>
              <w:t xml:space="preserve">Median resists skew; grouping respects operational context (shipping mode)</w:t>
            </w:r>
          </w:p>
        </w:tc>
        <w:tc>
          <w:tcPr>
            <w:tcW w:type="dxa" w:w="3200"/>
            <w:shd w:fill="E4EEEE" w:val="clear"/>
            <w:tcMar>
              <w:top w:type="dxa" w:w="75"/>
              <w:left w:type="dxa" w:w="110"/>
              <w:bottom w:type="dxa" w:w="75"/>
              <w:right w:type="dxa" w:w="110"/>
            </w:tcMar>
          </w:tcPr>
          <w:p>
            <w:r>
              <w:rPr>
                <w:rFonts w:ascii="Calibri" w:cs="Calibri" w:eastAsia="Calibri" w:hAnsi="Calibri"/>
                <w:color w:val="1B2A2E"/>
                <w:sz w:val="20"/>
                <w:szCs w:val="20"/>
              </w:rPr>
              <w:t xml:space="preserve">Keeps shipping-time distributions realistic per mode rather than blending fast/slow shipping</w:t>
            </w:r>
          </w:p>
        </w:tc>
      </w:tr>
      <w:tr>
        <w:trPr>
          <w:cantSplit/>
        </w:trPr>
        <w:tc>
          <w:tcPr>
            <w:tcW w:type="dxa" w:w="2400"/>
            <w:shd w:fill="FFFFFF" w:val="clear"/>
            <w:tcMar>
              <w:top w:type="dxa" w:w="75"/>
              <w:left w:type="dxa" w:w="110"/>
              <w:bottom w:type="dxa" w:w="75"/>
              <w:right w:type="dxa" w:w="110"/>
            </w:tcMar>
          </w:tcPr>
          <w:p>
            <w:r>
              <w:rPr>
                <w:rFonts w:ascii="Calibri" w:cs="Calibri" w:eastAsia="Calibri" w:hAnsi="Calibri"/>
                <w:color w:val="1B2A2E"/>
                <w:sz w:val="20"/>
                <w:szCs w:val="20"/>
              </w:rPr>
              <w:t xml:space="preserve">IQR-based capping</w:t>
            </w:r>
          </w:p>
        </w:tc>
        <w:tc>
          <w:tcPr>
            <w:tcW w:type="dxa" w:w="3400"/>
            <w:shd w:fill="FFFFFF" w:val="clear"/>
            <w:tcMar>
              <w:top w:type="dxa" w:w="75"/>
              <w:left w:type="dxa" w:w="110"/>
              <w:bottom w:type="dxa" w:w="75"/>
              <w:right w:type="dxa" w:w="110"/>
            </w:tcMar>
          </w:tcPr>
          <w:p>
            <w:r>
              <w:rPr>
                <w:rFonts w:ascii="Calibri" w:cs="Calibri" w:eastAsia="Calibri" w:hAnsi="Calibri"/>
                <w:color w:val="1B2A2E"/>
                <w:sz w:val="20"/>
                <w:szCs w:val="20"/>
              </w:rPr>
              <w:t xml:space="preserve">Robust to non-normal, right-skewed financial data; retains all rows</w:t>
            </w:r>
          </w:p>
        </w:tc>
        <w:tc>
          <w:tcPr>
            <w:tcW w:type="dxa" w:w="3200"/>
            <w:shd w:fill="FFFFFF" w:val="clear"/>
            <w:tcMar>
              <w:top w:type="dxa" w:w="75"/>
              <w:left w:type="dxa" w:w="110"/>
              <w:bottom w:type="dxa" w:w="75"/>
              <w:right w:type="dxa" w:w="110"/>
            </w:tcMar>
          </w:tcPr>
          <w:p>
            <w:r>
              <w:rPr>
                <w:rFonts w:ascii="Calibri" w:cs="Calibri" w:eastAsia="Calibri" w:hAnsi="Calibri"/>
                <w:color w:val="1B2A2E"/>
                <w:sz w:val="20"/>
                <w:szCs w:val="20"/>
              </w:rPr>
              <w:t xml:space="preserve">Prevents a handful of extreme orders from dominating regression coefficients or cluster centroids</w:t>
            </w:r>
          </w:p>
        </w:tc>
      </w:tr>
      <w:tr>
        <w:trPr>
          <w:cantSplit/>
        </w:trPr>
        <w:tc>
          <w:tcPr>
            <w:tcW w:type="dxa" w:w="2400"/>
            <w:shd w:fill="E4EEEE" w:val="clear"/>
            <w:tcMar>
              <w:top w:type="dxa" w:w="75"/>
              <w:left w:type="dxa" w:w="110"/>
              <w:bottom w:type="dxa" w:w="75"/>
              <w:right w:type="dxa" w:w="110"/>
            </w:tcMar>
          </w:tcPr>
          <w:p>
            <w:r>
              <w:rPr>
                <w:rFonts w:ascii="Calibri" w:cs="Calibri" w:eastAsia="Calibri" w:hAnsi="Calibri"/>
                <w:color w:val="1B2A2E"/>
                <w:sz w:val="20"/>
                <w:szCs w:val="20"/>
              </w:rPr>
              <w:t xml:space="preserve">Min-Max scaling</w:t>
            </w:r>
          </w:p>
        </w:tc>
        <w:tc>
          <w:tcPr>
            <w:tcW w:type="dxa" w:w="3400"/>
            <w:shd w:fill="E4EEEE" w:val="clear"/>
            <w:tcMar>
              <w:top w:type="dxa" w:w="75"/>
              <w:left w:type="dxa" w:w="110"/>
              <w:bottom w:type="dxa" w:w="75"/>
              <w:right w:type="dxa" w:w="110"/>
            </w:tcMar>
          </w:tcPr>
          <w:p>
            <w:r>
              <w:rPr>
                <w:rFonts w:ascii="Calibri" w:cs="Calibri" w:eastAsia="Calibri" w:hAnsi="Calibri"/>
                <w:color w:val="1B2A2E"/>
                <w:sz w:val="20"/>
                <w:szCs w:val="20"/>
              </w:rPr>
              <w:t xml:space="preserve">Bounds features to [0,1] for distance-based algorithms</w:t>
            </w:r>
          </w:p>
        </w:tc>
        <w:tc>
          <w:tcPr>
            <w:tcW w:type="dxa" w:w="3200"/>
            <w:shd w:fill="E4EEEE" w:val="clear"/>
            <w:tcMar>
              <w:top w:type="dxa" w:w="75"/>
              <w:left w:type="dxa" w:w="110"/>
              <w:bottom w:type="dxa" w:w="75"/>
              <w:right w:type="dxa" w:w="110"/>
            </w:tcMar>
          </w:tcPr>
          <w:p>
            <w:r>
              <w:rPr>
                <w:rFonts w:ascii="Calibri" w:cs="Calibri" w:eastAsia="Calibri" w:hAnsi="Calibri"/>
                <w:color w:val="1B2A2E"/>
                <w:sz w:val="20"/>
                <w:szCs w:val="20"/>
              </w:rPr>
              <w:t xml:space="preserve">Ensures no single feature dominates k-means/kNN purely due to raw scale</w:t>
            </w:r>
          </w:p>
        </w:tc>
      </w:tr>
      <w:tr>
        <w:trPr>
          <w:cantSplit/>
        </w:trPr>
        <w:tc>
          <w:tcPr>
            <w:tcW w:type="dxa" w:w="2400"/>
            <w:shd w:fill="FFFFFF" w:val="clear"/>
            <w:tcMar>
              <w:top w:type="dxa" w:w="75"/>
              <w:left w:type="dxa" w:w="110"/>
              <w:bottom w:type="dxa" w:w="75"/>
              <w:right w:type="dxa" w:w="110"/>
            </w:tcMar>
          </w:tcPr>
          <w:p>
            <w:r>
              <w:rPr>
                <w:rFonts w:ascii="Calibri" w:cs="Calibri" w:eastAsia="Calibri" w:hAnsi="Calibri"/>
                <w:color w:val="1B2A2E"/>
                <w:sz w:val="20"/>
                <w:szCs w:val="20"/>
              </w:rPr>
              <w:t xml:space="preserve">Standard scaling</w:t>
            </w:r>
          </w:p>
        </w:tc>
        <w:tc>
          <w:tcPr>
            <w:tcW w:type="dxa" w:w="3400"/>
            <w:shd w:fill="FFFFFF" w:val="clear"/>
            <w:tcMar>
              <w:top w:type="dxa" w:w="75"/>
              <w:left w:type="dxa" w:w="110"/>
              <w:bottom w:type="dxa" w:w="75"/>
              <w:right w:type="dxa" w:w="110"/>
            </w:tcMar>
          </w:tcPr>
          <w:p>
            <w:r>
              <w:rPr>
                <w:rFonts w:ascii="Calibri" w:cs="Calibri" w:eastAsia="Calibri" w:hAnsi="Calibri"/>
                <w:color w:val="1B2A2E"/>
                <w:sz w:val="20"/>
                <w:szCs w:val="20"/>
              </w:rPr>
              <w:t xml:space="preserve">Centers/normalizes for algorithms assuming Gaussian-like inputs</w:t>
            </w:r>
          </w:p>
        </w:tc>
        <w:tc>
          <w:tcPr>
            <w:tcW w:type="dxa" w:w="3200"/>
            <w:shd w:fill="FFFFFF" w:val="clear"/>
            <w:tcMar>
              <w:top w:type="dxa" w:w="75"/>
              <w:left w:type="dxa" w:w="110"/>
              <w:bottom w:type="dxa" w:w="75"/>
              <w:right w:type="dxa" w:w="110"/>
            </w:tcMar>
          </w:tcPr>
          <w:p>
            <w:r>
              <w:rPr>
                <w:rFonts w:ascii="Calibri" w:cs="Calibri" w:eastAsia="Calibri" w:hAnsi="Calibri"/>
                <w:color w:val="1B2A2E"/>
                <w:sz w:val="20"/>
                <w:szCs w:val="20"/>
              </w:rPr>
              <w:t xml:space="preserve">Improves convergence and coefficient interpretability in linear regression</w:t>
            </w:r>
          </w:p>
        </w:tc>
      </w:tr>
    </w:tbl>
    <w:p>
      <w:pPr>
        <w:spacing w:after="120"/>
      </w:pPr>
    </w:p>
    <w:p>
      <w:pPr>
        <w:pBdr>
          <w:bottom w:val="single" w:color="0F5257" w:sz="10" w:space="6"/>
        </w:pBdr>
        <w:spacing w:after="200" w:before="440"/>
      </w:pPr>
      <w:r>
        <w:rPr>
          <w:rFonts w:ascii="Georgia" w:cs="Georgia" w:eastAsia="Georgia" w:hAnsi="Georgia"/>
          <w:b/>
          <w:bCs/>
          <w:color w:val="B8862B"/>
          <w:sz w:val="32"/>
          <w:szCs w:val="32"/>
        </w:rPr>
        <w:t xml:space="preserve">5.  </w:t>
      </w:r>
      <w:r>
        <w:rPr>
          <w:rFonts w:ascii="Georgia" w:cs="Georgia" w:eastAsia="Georgia" w:hAnsi="Georgia"/>
          <w:b/>
          <w:bCs/>
          <w:color w:val="0A3A3D"/>
          <w:sz w:val="32"/>
          <w:szCs w:val="32"/>
        </w:rPr>
        <w:t xml:space="preserve"> End-to-End Preprocessing Pipeline</w:t>
      </w:r>
    </w:p>
    <w:p>
      <w:pPr>
        <w:spacing w:after="170" w:line="300"/>
      </w:pPr>
      <w:r>
        <w:rPr>
          <w:rFonts w:ascii="Calibri" w:cs="Calibri" w:eastAsia="Calibri" w:hAnsi="Calibri"/>
          <w:color w:val="1B2A2E"/>
          <w:sz w:val="22"/>
          <w:szCs w:val="22"/>
        </w:rPr>
        <w:t xml:space="preserve">Consolidating the steps above into a single reusable pipeline function makes the process auditable and repeatable across future data pulls:</w:t>
      </w:r>
    </w:p>
    <w:tbl>
      <w:tblPr>
        <w:tblW w:type="pct" w:w="100%"/>
        <w:tblBorders>
          <w:top w:val="single" w:color="0A3A3D" w:sz="4"/>
          <w:left w:val="single" w:color="0A3A3D" w:sz="4"/>
          <w:bottom w:val="single" w:color="0A3A3D" w:sz="4"/>
          <w:right w:val="single" w:color="0A3A3D" w:sz="4"/>
          <w:insideH w:val="single" w:color="auto" w:sz="4"/>
          <w:insideV w:val="single" w:color="auto" w:sz="4"/>
        </w:tblBorders>
      </w:tblPr>
      <w:tblGrid>
        <w:gridCol w:w="100"/>
      </w:tblGrid>
      <w:tr>
        <w:tc>
          <w:tcPr>
            <w:shd w:fill="0D2426" w:val="clear"/>
            <w:tcMar>
              <w:top w:type="dxa" w:w="130"/>
              <w:left w:type="dxa" w:w="180"/>
              <w:bottom w:type="dxa" w:w="130"/>
              <w:right w:type="dxa" w:w="180"/>
            </w:tcMar>
          </w:tcPr>
          <w:p>
            <w:pPr>
              <w:spacing w:after="20"/>
            </w:pPr>
            <w:r>
              <w:rPr>
                <w:rFonts w:ascii="Consolas" w:cs="Consolas" w:eastAsia="Consolas" w:hAnsi="Consolas"/>
                <w:color w:val="D7F2EC"/>
                <w:sz w:val="19"/>
                <w:szCs w:val="19"/>
              </w:rPr>
              <w:t xml:space="preserve">def preprocess_logistics_data(path):</w:t>
            </w:r>
          </w:p>
          <w:p>
            <w:pPr>
              <w:spacing w:after="20"/>
            </w:pPr>
            <w:r>
              <w:rPr>
                <w:rFonts w:ascii="Consolas" w:cs="Consolas" w:eastAsia="Consolas" w:hAnsi="Consolas"/>
                <w:color w:val="D7F2EC"/>
                <w:sz w:val="19"/>
                <w:szCs w:val="19"/>
              </w:rPr>
              <w:t xml:space="preserve">    df = pd.read_csv(path, encoding='latin-1')</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 1. Drop structurally empty / near-empty columns</w:t>
            </w:r>
          </w:p>
          <w:p>
            <w:pPr>
              <w:spacing w:after="20"/>
            </w:pPr>
            <w:r>
              <w:rPr>
                <w:rFonts w:ascii="Consolas" w:cs="Consolas" w:eastAsia="Consolas" w:hAnsi="Consolas"/>
                <w:color w:val="D7F2EC"/>
                <w:sz w:val="19"/>
                <w:szCs w:val="19"/>
              </w:rPr>
              <w:t xml:space="preserve">    missing_pct = df.isnull().mean() * 100</w:t>
            </w:r>
          </w:p>
          <w:p>
            <w:pPr>
              <w:spacing w:after="20"/>
            </w:pPr>
            <w:r>
              <w:rPr>
                <w:rFonts w:ascii="Consolas" w:cs="Consolas" w:eastAsia="Consolas" w:hAnsi="Consolas"/>
                <w:color w:val="D7F2EC"/>
                <w:sz w:val="19"/>
                <w:szCs w:val="19"/>
              </w:rPr>
              <w:t xml:space="preserve">    df = df.drop(columns=missing_pct[missing_pct &gt; 50].index.tolist())</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 2. Impute remaining gaps</w:t>
            </w:r>
          </w:p>
          <w:p>
            <w:pPr>
              <w:spacing w:after="20"/>
            </w:pPr>
            <w:r>
              <w:rPr>
                <w:rFonts w:ascii="Consolas" w:cs="Consolas" w:eastAsia="Consolas" w:hAnsi="Consolas"/>
                <w:color w:val="D7F2EC"/>
                <w:sz w:val="19"/>
                <w:szCs w:val="19"/>
              </w:rPr>
              <w:t xml:space="preserve">    df['Days for shipping (real)'] = (</w:t>
            </w:r>
          </w:p>
          <w:p>
            <w:pPr>
              <w:spacing w:after="20"/>
            </w:pPr>
            <w:r>
              <w:rPr>
                <w:rFonts w:ascii="Consolas" w:cs="Consolas" w:eastAsia="Consolas" w:hAnsi="Consolas"/>
                <w:color w:val="D7F2EC"/>
                <w:sz w:val="19"/>
                <w:szCs w:val="19"/>
              </w:rPr>
              <w:t xml:space="preserve">        df.groupby('Shipping Mode')['Days for shipping (real)']</w:t>
            </w:r>
          </w:p>
          <w:p>
            <w:pPr>
              <w:spacing w:after="20"/>
            </w:pPr>
            <w:r>
              <w:rPr>
                <w:rFonts w:ascii="Consolas" w:cs="Consolas" w:eastAsia="Consolas" w:hAnsi="Consolas"/>
                <w:color w:val="D7F2EC"/>
                <w:sz w:val="19"/>
                <w:szCs w:val="19"/>
              </w:rPr>
              <w:t xml:space="preserve">          .transform(lambda x: x.fillna(x.median()))</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 3. Cap outliers (IQR)</w:t>
            </w:r>
          </w:p>
          <w:p>
            <w:pPr>
              <w:spacing w:after="20"/>
            </w:pPr>
            <w:r>
              <w:rPr>
                <w:rFonts w:ascii="Consolas" w:cs="Consolas" w:eastAsia="Consolas" w:hAnsi="Consolas"/>
                <w:color w:val="D7F2EC"/>
                <w:sz w:val="19"/>
                <w:szCs w:val="19"/>
              </w:rPr>
              <w:t xml:space="preserve">    for col in ['Sales', 'Order Item Quantity', 'Order Profit Per Order']:</w:t>
            </w:r>
          </w:p>
          <w:p>
            <w:pPr>
              <w:spacing w:after="20"/>
            </w:pPr>
            <w:r>
              <w:rPr>
                <w:rFonts w:ascii="Consolas" w:cs="Consolas" w:eastAsia="Consolas" w:hAnsi="Consolas"/>
                <w:color w:val="D7F2EC"/>
                <w:sz w:val="19"/>
                <w:szCs w:val="19"/>
              </w:rPr>
              <w:t xml:space="preserve">        q1, q3 = df[col].quantile([0.25, 0.75])</w:t>
            </w:r>
          </w:p>
          <w:p>
            <w:pPr>
              <w:spacing w:after="20"/>
            </w:pPr>
            <w:r>
              <w:rPr>
                <w:rFonts w:ascii="Consolas" w:cs="Consolas" w:eastAsia="Consolas" w:hAnsi="Consolas"/>
                <w:color w:val="D7F2EC"/>
                <w:sz w:val="19"/>
                <w:szCs w:val="19"/>
              </w:rPr>
              <w:t xml:space="preserve">        iqr = q3 - q1</w:t>
            </w:r>
          </w:p>
          <w:p>
            <w:pPr>
              <w:spacing w:after="20"/>
            </w:pPr>
            <w:r>
              <w:rPr>
                <w:rFonts w:ascii="Consolas" w:cs="Consolas" w:eastAsia="Consolas" w:hAnsi="Consolas"/>
                <w:color w:val="D7F2EC"/>
                <w:sz w:val="19"/>
                <w:szCs w:val="19"/>
              </w:rPr>
              <w:t xml:space="preserve">        df[col] = df[col].clip(q1 - 1.5*iqr, q3 + 1.5*iqr)</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 4. Scale features</w:t>
            </w:r>
          </w:p>
          <w:p>
            <w:pPr>
              <w:spacing w:after="20"/>
            </w:pPr>
            <w:r>
              <w:rPr>
                <w:rFonts w:ascii="Consolas" w:cs="Consolas" w:eastAsia="Consolas" w:hAnsi="Consolas"/>
                <w:color w:val="D7F2EC"/>
                <w:sz w:val="19"/>
                <w:szCs w:val="19"/>
              </w:rPr>
              <w:t xml:space="preserve">    df[['Order Item Quantity','Days for shipping (real)']] = MinMaxScaler().fit_transform(</w:t>
            </w:r>
          </w:p>
          <w:p>
            <w:pPr>
              <w:spacing w:after="20"/>
            </w:pPr>
            <w:r>
              <w:rPr>
                <w:rFonts w:ascii="Consolas" w:cs="Consolas" w:eastAsia="Consolas" w:hAnsi="Consolas"/>
                <w:color w:val="D7F2EC"/>
                <w:sz w:val="19"/>
                <w:szCs w:val="19"/>
              </w:rPr>
              <w:t xml:space="preserve">        df[['Order Item Quantity','Days for shipping (real)']])</w:t>
            </w:r>
          </w:p>
          <w:p>
            <w:pPr>
              <w:spacing w:after="20"/>
            </w:pPr>
            <w:r>
              <w:rPr>
                <w:rFonts w:ascii="Consolas" w:cs="Consolas" w:eastAsia="Consolas" w:hAnsi="Consolas"/>
                <w:color w:val="D7F2EC"/>
                <w:sz w:val="19"/>
                <w:szCs w:val="19"/>
              </w:rPr>
              <w:t xml:space="preserve">    df[['Sales','Order Profit Per Order']] = StandardScaler().fit_transform(</w:t>
            </w:r>
          </w:p>
          <w:p>
            <w:pPr>
              <w:spacing w:after="20"/>
            </w:pPr>
            <w:r>
              <w:rPr>
                <w:rFonts w:ascii="Consolas" w:cs="Consolas" w:eastAsia="Consolas" w:hAnsi="Consolas"/>
                <w:color w:val="D7F2EC"/>
                <w:sz w:val="19"/>
                <w:szCs w:val="19"/>
              </w:rPr>
              <w:t xml:space="preserve">        df[['Sales','Order Profit Per Order']])</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    return df</w:t>
            </w:r>
          </w:p>
          <w:p>
            <w:pPr>
              <w:spacing w:after="20"/>
            </w:pPr>
            <w:r>
              <w:rPr>
                <w:rFonts w:ascii="Consolas" w:cs="Consolas" w:eastAsia="Consolas" w:hAnsi="Consolas"/>
                <w:color w:val="D7F2EC"/>
                <w:sz w:val="19"/>
                <w:szCs w:val="19"/>
              </w:rPr>
              <w:t xml:space="preserve"> </w:t>
            </w:r>
          </w:p>
          <w:p>
            <w:pPr>
              <w:spacing w:after="20"/>
            </w:pPr>
            <w:r>
              <w:rPr>
                <w:rFonts w:ascii="Consolas" w:cs="Consolas" w:eastAsia="Consolas" w:hAnsi="Consolas"/>
                <w:color w:val="D7F2EC"/>
                <w:sz w:val="19"/>
                <w:szCs w:val="19"/>
              </w:rPr>
              <w:t xml:space="preserve">clean_df = preprocess_logistics_data('dataco_supply_chain.csv')</w:t>
            </w:r>
          </w:p>
          <w:p>
            <w:pPr>
              <w:spacing w:after="20"/>
            </w:pPr>
            <w:r>
              <w:rPr>
                <w:rFonts w:ascii="Consolas" w:cs="Consolas" w:eastAsia="Consolas" w:hAnsi="Consolas"/>
                <w:color w:val="D7F2EC"/>
                <w:sz w:val="19"/>
                <w:szCs w:val="19"/>
              </w:rPr>
              <w:t xml:space="preserve">clean_df.to_csv('logistics_clean.csv', index=False)</w:t>
            </w:r>
          </w:p>
        </w:tc>
      </w:tr>
    </w:tbl>
    <w:p>
      <w:pPr>
        <w:spacing w:after="220" w:before="70"/>
      </w:pPr>
      <w:r>
        <w:rPr>
          <w:rFonts w:ascii="Calibri" w:cs="Calibri" w:eastAsia="Calibri" w:hAnsi="Calibri"/>
          <w:i/>
          <w:iCs/>
          <w:color w:val="5B6B6C"/>
          <w:sz w:val="18"/>
          <w:szCs w:val="18"/>
        </w:rPr>
        <w:t xml:space="preserve">Snippet 5 — Full preprocessing pipeline packaged as a single, re-runnable function.</w:t>
      </w:r>
    </w:p>
    <w:p>
      <w:pPr>
        <w:pBdr>
          <w:bottom w:val="single" w:color="0F5257" w:sz="10" w:space="6"/>
        </w:pBdr>
        <w:spacing w:after="200" w:before="440"/>
      </w:pPr>
      <w:r>
        <w:rPr>
          <w:rFonts w:ascii="Georgia" w:cs="Georgia" w:eastAsia="Georgia" w:hAnsi="Georgia"/>
          <w:b/>
          <w:bCs/>
          <w:color w:val="B8862B"/>
          <w:sz w:val="32"/>
          <w:szCs w:val="32"/>
        </w:rPr>
        <w:t xml:space="preserve">6.  </w:t>
      </w:r>
      <w:r>
        <w:rPr>
          <w:rFonts w:ascii="Georgia" w:cs="Georgia" w:eastAsia="Georgia" w:hAnsi="Georgia"/>
          <w:b/>
          <w:bCs/>
          <w:color w:val="0A3A3D"/>
          <w:sz w:val="32"/>
          <w:szCs w:val="32"/>
        </w:rPr>
        <w:t xml:space="preserve"> Impact of Preprocessing: Before vs. After</w:t>
      </w:r>
    </w:p>
    <w:p>
      <w:pPr>
        <w:spacing w:after="170" w:line="300"/>
      </w:pPr>
      <w:r>
        <w:rPr>
          <w:rFonts w:ascii="Calibri" w:cs="Calibri" w:eastAsia="Calibri" w:hAnsi="Calibri"/>
          <w:color w:val="1B2A2E"/>
          <w:sz w:val="22"/>
          <w:szCs w:val="22"/>
        </w:rPr>
        <w:t xml:space="preserve">Applying this pipeline to the reference dataset produces measurable improvements in data quality, summarized below (figures illustrative of typical results on this dataset):</w:t>
      </w:r>
    </w:p>
    <w:tbl>
      <w:tblPr>
        <w:tblW w:type="dxa" w:w="9000"/>
        <w:tblBorders>
          <w:top w:val="single" w:color="0F5257" w:sz="4"/>
          <w:left w:val="single" w:color="0F5257" w:sz="4"/>
          <w:bottom w:val="single" w:color="0F5257" w:sz="4"/>
          <w:right w:val="single" w:color="0F5257" w:sz="4"/>
          <w:insideH w:val="single" w:color="BFD6D6" w:sz="2"/>
          <w:insideV w:val="single" w:color="BFD6D6" w:sz="2"/>
        </w:tblBorders>
      </w:tblPr>
      <w:tblGrid>
        <w:gridCol w:w="3600"/>
        <w:gridCol w:w="2700"/>
        <w:gridCol w:w="2700"/>
      </w:tblGrid>
      <w:tr>
        <w:trPr>
          <w:cantSplit/>
          <w:tblHeader/>
        </w:trPr>
        <w:tc>
          <w:tcPr>
            <w:tcW w:type="dxa" w:w="36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Metric</w:t>
            </w:r>
          </w:p>
        </w:tc>
        <w:tc>
          <w:tcPr>
            <w:tcW w:type="dxa" w:w="27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Before Cleaning</w:t>
            </w:r>
          </w:p>
        </w:tc>
        <w:tc>
          <w:tcPr>
            <w:tcW w:type="dxa" w:w="2700"/>
            <w:shd w:fill="0A3A3D" w:val="clear"/>
            <w:tcMar>
              <w:top w:type="dxa" w:w="90"/>
              <w:left w:type="dxa" w:w="110"/>
              <w:bottom w:type="dxa" w:w="90"/>
              <w:right w:type="dxa" w:w="110"/>
            </w:tcMar>
            <w:vAlign w:val="center"/>
          </w:tcPr>
          <w:p>
            <w:r>
              <w:rPr>
                <w:rFonts w:ascii="Georgia" w:cs="Georgia" w:eastAsia="Georgia" w:hAnsi="Georgia"/>
                <w:b/>
                <w:bCs/>
                <w:color w:val="FFFFFF"/>
                <w:sz w:val="20"/>
                <w:szCs w:val="20"/>
              </w:rPr>
              <w:t xml:space="preserve">After Cleaning</w:t>
            </w:r>
          </w:p>
        </w:tc>
      </w:tr>
      <w:tr>
        <w:trPr>
          <w:cantSplit/>
        </w:trPr>
        <w:tc>
          <w:tcPr>
            <w:tcW w:type="dxa" w:w="3600"/>
            <w:shd w:fill="FFFFFF" w:val="clear"/>
            <w:tcMar>
              <w:top w:type="dxa" w:w="75"/>
              <w:left w:type="dxa" w:w="110"/>
              <w:bottom w:type="dxa" w:w="75"/>
              <w:right w:type="dxa" w:w="110"/>
            </w:tcMar>
          </w:tcPr>
          <w:p>
            <w:r>
              <w:rPr>
                <w:rFonts w:ascii="Calibri" w:cs="Calibri" w:eastAsia="Calibri" w:hAnsi="Calibri"/>
                <w:color w:val="1B2A2E"/>
                <w:sz w:val="20"/>
                <w:szCs w:val="20"/>
              </w:rPr>
              <w:t xml:space="preserve">Columns with &gt;50% missing values</w:t>
            </w:r>
          </w:p>
        </w:tc>
        <w:tc>
          <w:tcPr>
            <w:tcW w:type="dxa" w:w="2700"/>
            <w:shd w:fill="FFFFFF" w:val="clear"/>
            <w:tcMar>
              <w:top w:type="dxa" w:w="75"/>
              <w:left w:type="dxa" w:w="110"/>
              <w:bottom w:type="dxa" w:w="75"/>
              <w:right w:type="dxa" w:w="110"/>
            </w:tcMar>
          </w:tcPr>
          <w:p>
            <w:r>
              <w:rPr>
                <w:rFonts w:ascii="Calibri" w:cs="Calibri" w:eastAsia="Calibri" w:hAnsi="Calibri"/>
                <w:color w:val="1B2A2E"/>
                <w:sz w:val="20"/>
                <w:szCs w:val="20"/>
              </w:rPr>
              <w:t xml:space="preserve">3</w:t>
            </w:r>
          </w:p>
        </w:tc>
        <w:tc>
          <w:tcPr>
            <w:tcW w:type="dxa" w:w="2700"/>
            <w:shd w:fill="FFFFFF" w:val="clear"/>
            <w:tcMar>
              <w:top w:type="dxa" w:w="75"/>
              <w:left w:type="dxa" w:w="110"/>
              <w:bottom w:type="dxa" w:w="75"/>
              <w:right w:type="dxa" w:w="110"/>
            </w:tcMar>
          </w:tcPr>
          <w:p>
            <w:r>
              <w:rPr>
                <w:rFonts w:ascii="Calibri" w:cs="Calibri" w:eastAsia="Calibri" w:hAnsi="Calibri"/>
                <w:color w:val="1B2A2E"/>
                <w:sz w:val="20"/>
                <w:szCs w:val="20"/>
              </w:rPr>
              <w:t xml:space="preserve">0</w:t>
            </w:r>
          </w:p>
        </w:tc>
      </w:tr>
      <w:tr>
        <w:trPr>
          <w:cantSplit/>
        </w:trPr>
        <w:tc>
          <w:tcPr>
            <w:tcW w:type="dxa" w:w="3600"/>
            <w:shd w:fill="E4EEEE" w:val="clear"/>
            <w:tcMar>
              <w:top w:type="dxa" w:w="75"/>
              <w:left w:type="dxa" w:w="110"/>
              <w:bottom w:type="dxa" w:w="75"/>
              <w:right w:type="dxa" w:w="110"/>
            </w:tcMar>
          </w:tcPr>
          <w:p>
            <w:r>
              <w:rPr>
                <w:rFonts w:ascii="Calibri" w:cs="Calibri" w:eastAsia="Calibri" w:hAnsi="Calibri"/>
                <w:color w:val="1B2A2E"/>
                <w:sz w:val="20"/>
                <w:szCs w:val="20"/>
              </w:rPr>
              <w:t xml:space="preserve">Rows with any missing value in key fields</w:t>
            </w:r>
          </w:p>
        </w:tc>
        <w:tc>
          <w:tcPr>
            <w:tcW w:type="dxa" w:w="2700"/>
            <w:shd w:fill="E4EEEE" w:val="clear"/>
            <w:tcMar>
              <w:top w:type="dxa" w:w="75"/>
              <w:left w:type="dxa" w:w="110"/>
              <w:bottom w:type="dxa" w:w="75"/>
              <w:right w:type="dxa" w:w="110"/>
            </w:tcMar>
          </w:tcPr>
          <w:p>
            <w:r>
              <w:rPr>
                <w:rFonts w:ascii="Calibri" w:cs="Calibri" w:eastAsia="Calibri" w:hAnsi="Calibri"/>
                <w:color w:val="1B2A2E"/>
                <w:sz w:val="20"/>
                <w:szCs w:val="20"/>
              </w:rPr>
              <w:t xml:space="preserve">Approx. 4.8%</w:t>
            </w:r>
          </w:p>
        </w:tc>
        <w:tc>
          <w:tcPr>
            <w:tcW w:type="dxa" w:w="2700"/>
            <w:shd w:fill="E4EEEE" w:val="clear"/>
            <w:tcMar>
              <w:top w:type="dxa" w:w="75"/>
              <w:left w:type="dxa" w:w="110"/>
              <w:bottom w:type="dxa" w:w="75"/>
              <w:right w:type="dxa" w:w="110"/>
            </w:tcMar>
          </w:tcPr>
          <w:p>
            <w:r>
              <w:rPr>
                <w:rFonts w:ascii="Calibri" w:cs="Calibri" w:eastAsia="Calibri" w:hAnsi="Calibri"/>
                <w:color w:val="1B2A2E"/>
                <w:sz w:val="20"/>
                <w:szCs w:val="20"/>
              </w:rPr>
              <w:t xml:space="preserve">0%</w:t>
            </w:r>
          </w:p>
        </w:tc>
      </w:tr>
      <w:tr>
        <w:trPr>
          <w:cantSplit/>
        </w:trPr>
        <w:tc>
          <w:tcPr>
            <w:tcW w:type="dxa" w:w="3600"/>
            <w:shd w:fill="FFFFFF" w:val="clear"/>
            <w:tcMar>
              <w:top w:type="dxa" w:w="75"/>
              <w:left w:type="dxa" w:w="110"/>
              <w:bottom w:type="dxa" w:w="75"/>
              <w:right w:type="dxa" w:w="110"/>
            </w:tcMar>
          </w:tcPr>
          <w:p>
            <w:r>
              <w:rPr>
                <w:rFonts w:ascii="Calibri" w:cs="Calibri" w:eastAsia="Calibri" w:hAnsi="Calibri"/>
                <w:color w:val="1B2A2E"/>
                <w:sz w:val="20"/>
                <w:szCs w:val="20"/>
              </w:rPr>
              <w:t xml:space="preserve">Outlier records in Sales / Profit fields</w:t>
            </w:r>
          </w:p>
        </w:tc>
        <w:tc>
          <w:tcPr>
            <w:tcW w:type="dxa" w:w="2700"/>
            <w:shd w:fill="FFFFFF" w:val="clear"/>
            <w:tcMar>
              <w:top w:type="dxa" w:w="75"/>
              <w:left w:type="dxa" w:w="110"/>
              <w:bottom w:type="dxa" w:w="75"/>
              <w:right w:type="dxa" w:w="110"/>
            </w:tcMar>
          </w:tcPr>
          <w:p>
            <w:r>
              <w:rPr>
                <w:rFonts w:ascii="Calibri" w:cs="Calibri" w:eastAsia="Calibri" w:hAnsi="Calibri"/>
                <w:color w:val="1B2A2E"/>
                <w:sz w:val="20"/>
                <w:szCs w:val="20"/>
              </w:rPr>
              <w:t xml:space="preserve">Approx. 2.1% of rows</w:t>
            </w:r>
          </w:p>
        </w:tc>
        <w:tc>
          <w:tcPr>
            <w:tcW w:type="dxa" w:w="2700"/>
            <w:shd w:fill="FFFFFF" w:val="clear"/>
            <w:tcMar>
              <w:top w:type="dxa" w:w="75"/>
              <w:left w:type="dxa" w:w="110"/>
              <w:bottom w:type="dxa" w:w="75"/>
              <w:right w:type="dxa" w:w="110"/>
            </w:tcMar>
          </w:tcPr>
          <w:p>
            <w:r>
              <w:rPr>
                <w:rFonts w:ascii="Calibri" w:cs="Calibri" w:eastAsia="Calibri" w:hAnsi="Calibri"/>
                <w:color w:val="1B2A2E"/>
                <w:sz w:val="20"/>
                <w:szCs w:val="20"/>
              </w:rPr>
              <w:t xml:space="preserve">0% (capped, not removed)</w:t>
            </w:r>
          </w:p>
        </w:tc>
      </w:tr>
      <w:tr>
        <w:trPr>
          <w:cantSplit/>
        </w:trPr>
        <w:tc>
          <w:tcPr>
            <w:tcW w:type="dxa" w:w="3600"/>
            <w:shd w:fill="E4EEEE" w:val="clear"/>
            <w:tcMar>
              <w:top w:type="dxa" w:w="75"/>
              <w:left w:type="dxa" w:w="110"/>
              <w:bottom w:type="dxa" w:w="75"/>
              <w:right w:type="dxa" w:w="110"/>
            </w:tcMar>
          </w:tcPr>
          <w:p>
            <w:r>
              <w:rPr>
                <w:rFonts w:ascii="Calibri" w:cs="Calibri" w:eastAsia="Calibri" w:hAnsi="Calibri"/>
                <w:color w:val="1B2A2E"/>
                <w:sz w:val="20"/>
                <w:szCs w:val="20"/>
              </w:rPr>
              <w:t xml:space="preserve">Feature scale range (Sales vs. Quantity)</w:t>
            </w:r>
          </w:p>
        </w:tc>
        <w:tc>
          <w:tcPr>
            <w:tcW w:type="dxa" w:w="2700"/>
            <w:shd w:fill="E4EEEE" w:val="clear"/>
            <w:tcMar>
              <w:top w:type="dxa" w:w="75"/>
              <w:left w:type="dxa" w:w="110"/>
              <w:bottom w:type="dxa" w:w="75"/>
              <w:right w:type="dxa" w:w="110"/>
            </w:tcMar>
          </w:tcPr>
          <w:p>
            <w:r>
              <w:rPr>
                <w:rFonts w:ascii="Calibri" w:cs="Calibri" w:eastAsia="Calibri" w:hAnsi="Calibri"/>
                <w:color w:val="1B2A2E"/>
                <w:sz w:val="20"/>
                <w:szCs w:val="20"/>
              </w:rPr>
              <w:t xml:space="preserve">Orders of magnitude apart</w:t>
            </w:r>
          </w:p>
        </w:tc>
        <w:tc>
          <w:tcPr>
            <w:tcW w:type="dxa" w:w="2700"/>
            <w:shd w:fill="E4EEEE" w:val="clear"/>
            <w:tcMar>
              <w:top w:type="dxa" w:w="75"/>
              <w:left w:type="dxa" w:w="110"/>
              <w:bottom w:type="dxa" w:w="75"/>
              <w:right w:type="dxa" w:w="110"/>
            </w:tcMar>
          </w:tcPr>
          <w:p>
            <w:r>
              <w:rPr>
                <w:rFonts w:ascii="Calibri" w:cs="Calibri" w:eastAsia="Calibri" w:hAnsi="Calibri"/>
                <w:color w:val="1B2A2E"/>
                <w:sz w:val="20"/>
                <w:szCs w:val="20"/>
              </w:rPr>
              <w:t xml:space="preserve">Normalized to comparable ranges</w:t>
            </w:r>
          </w:p>
        </w:tc>
      </w:tr>
      <w:tr>
        <w:trPr>
          <w:cantSplit/>
        </w:trPr>
        <w:tc>
          <w:tcPr>
            <w:tcW w:type="dxa" w:w="3600"/>
            <w:shd w:fill="FFFFFF" w:val="clear"/>
            <w:tcMar>
              <w:top w:type="dxa" w:w="75"/>
              <w:left w:type="dxa" w:w="110"/>
              <w:bottom w:type="dxa" w:w="75"/>
              <w:right w:type="dxa" w:w="110"/>
            </w:tcMar>
          </w:tcPr>
          <w:p>
            <w:r>
              <w:rPr>
                <w:rFonts w:ascii="Calibri" w:cs="Calibri" w:eastAsia="Calibri" w:hAnsi="Calibri"/>
                <w:color w:val="1B2A2E"/>
                <w:sz w:val="20"/>
                <w:szCs w:val="20"/>
              </w:rPr>
              <w:t xml:space="preserve">Usable columns for modeling</w:t>
            </w:r>
          </w:p>
        </w:tc>
        <w:tc>
          <w:tcPr>
            <w:tcW w:type="dxa" w:w="2700"/>
            <w:shd w:fill="FFFFFF" w:val="clear"/>
            <w:tcMar>
              <w:top w:type="dxa" w:w="75"/>
              <w:left w:type="dxa" w:w="110"/>
              <w:bottom w:type="dxa" w:w="75"/>
              <w:right w:type="dxa" w:w="110"/>
            </w:tcMar>
          </w:tcPr>
          <w:p>
            <w:r>
              <w:rPr>
                <w:rFonts w:ascii="Calibri" w:cs="Calibri" w:eastAsia="Calibri" w:hAnsi="Calibri"/>
                <w:color w:val="1B2A2E"/>
                <w:sz w:val="20"/>
                <w:szCs w:val="20"/>
              </w:rPr>
              <w:t xml:space="preserve">50</w:t>
            </w:r>
          </w:p>
        </w:tc>
        <w:tc>
          <w:tcPr>
            <w:tcW w:type="dxa" w:w="2700"/>
            <w:shd w:fill="FFFFFF" w:val="clear"/>
            <w:tcMar>
              <w:top w:type="dxa" w:w="75"/>
              <w:left w:type="dxa" w:w="110"/>
              <w:bottom w:type="dxa" w:w="75"/>
              <w:right w:type="dxa" w:w="110"/>
            </w:tcMar>
          </w:tcPr>
          <w:p>
            <w:r>
              <w:rPr>
                <w:rFonts w:ascii="Calibri" w:cs="Calibri" w:eastAsia="Calibri" w:hAnsi="Calibri"/>
                <w:color w:val="1B2A2E"/>
                <w:sz w:val="20"/>
                <w:szCs w:val="20"/>
              </w:rPr>
              <w:t xml:space="preserve">47 (after dropping empty columns)</w:t>
            </w:r>
          </w:p>
        </w:tc>
      </w:tr>
    </w:tbl>
    <w:p>
      <w:pPr>
        <w:spacing w:after="120"/>
      </w:pPr>
    </w:p>
    <w:p>
      <w:pPr>
        <w:pBdr>
          <w:bottom w:val="single" w:color="0F5257" w:sz="10" w:space="6"/>
        </w:pBdr>
        <w:spacing w:after="200" w:before="440"/>
      </w:pPr>
      <w:r>
        <w:rPr>
          <w:rFonts w:ascii="Georgia" w:cs="Georgia" w:eastAsia="Georgia" w:hAnsi="Georgia"/>
          <w:b/>
          <w:bCs/>
          <w:color w:val="B8862B"/>
          <w:sz w:val="32"/>
          <w:szCs w:val="32"/>
        </w:rPr>
        <w:t xml:space="preserve">7.  </w:t>
      </w:r>
      <w:r>
        <w:rPr>
          <w:rFonts w:ascii="Georgia" w:cs="Georgia" w:eastAsia="Georgia" w:hAnsi="Georgia"/>
          <w:b/>
          <w:bCs/>
          <w:color w:val="0A3A3D"/>
          <w:sz w:val="32"/>
          <w:szCs w:val="32"/>
        </w:rPr>
        <w:t xml:space="preserve"> Reflection: Data Quality and Decision-Making in Logistics</w:t>
      </w:r>
    </w:p>
    <w:p>
      <w:pPr>
        <w:spacing w:after="170" w:line="300"/>
      </w:pPr>
      <w:r>
        <w:rPr>
          <w:rFonts w:ascii="Calibri" w:cs="Calibri" w:eastAsia="Calibri" w:hAnsi="Calibri"/>
          <w:color w:val="1B2A2E"/>
          <w:sz w:val="22"/>
          <w:szCs w:val="22"/>
        </w:rPr>
        <w:t xml:space="preserve">Every downstream decision in logistics — reordering thresholds, carrier selection, delivery-time promises to customers — ultimately traces back to the quality of the data feeding the analysis. Unaddressed missing values would have silently biased shipping-time estimates toward whichever shipping mode happened to have more complete records. Uncapped outliers would have skewed profit and demand models toward a handful of anomalous transactions, leading planners to over- or under-provision inventory. Unscaled features would have caused clustering algorithms used for delivery-zone segmentation to weight raw sales volume far more heavily than shipping duration simply because of its larger numeric range, producing zone groupings that don't reflect actual delivery patterns.</w:t>
      </w:r>
    </w:p>
    <w:p>
      <w:pPr>
        <w:spacing w:after="170" w:line="300"/>
      </w:pPr>
      <w:r>
        <w:rPr>
          <w:rFonts w:ascii="Calibri" w:cs="Calibri" w:eastAsia="Calibri" w:hAnsi="Calibri"/>
          <w:color w:val="1B2A2E"/>
          <w:sz w:val="22"/>
          <w:szCs w:val="22"/>
        </w:rPr>
        <w:t xml:space="preserve">By systematically cleaning, imputing, capping, and scaling the dataset before analysis, the resulting dataset supports more trustworthy predictive modeling — for example, a regression model trained on the cleaned data can be expected to produce demand forecasts with materially lower error than one trained on the raw extract, simply because the noise from missing values and outliers has been removed rather than left to distort the model's coefficients.</w:t>
      </w:r>
    </w:p>
    <w:tbl>
      <w:tblPr>
        <w:tblW w:type="pct" w:w="100%"/>
        <w:tblBorders>
          <w:top w:val="none" w:color="FFFFFF" w:sz="0"/>
          <w:left w:val="single" w:color="B8862B" w:sz="36"/>
          <w:bottom w:val="none" w:color="FFFFFF" w:sz="0"/>
          <w:right w:val="none" w:color="FFFFFF" w:sz="0"/>
          <w:insideH w:val="single" w:color="auto" w:sz="4"/>
          <w:insideV w:val="single" w:color="auto" w:sz="4"/>
        </w:tblBorders>
      </w:tblPr>
      <w:tblGrid>
        <w:gridCol w:w="100"/>
      </w:tblGrid>
      <w:tr>
        <w:tc>
          <w:tcPr>
            <w:shd w:fill="E4EEEE" w:val="clear"/>
            <w:tcMar>
              <w:top w:type="dxa" w:w="180"/>
              <w:left w:type="dxa" w:w="260"/>
              <w:bottom w:type="dxa" w:w="180"/>
              <w:right w:type="dxa" w:w="260"/>
            </w:tcMar>
          </w:tcPr>
          <w:p>
            <w:r>
              <w:rPr>
                <w:rFonts w:ascii="Georgia" w:cs="Georgia" w:eastAsia="Georgia" w:hAnsi="Georgia"/>
                <w:i/>
                <w:iCs/>
                <w:color w:val="0A3A3D"/>
                <w:sz w:val="22"/>
                <w:szCs w:val="22"/>
              </w:rPr>
              <w:t xml:space="preserve">Most reported failures of supply chain analytics initiatives are attributed not to model choice, but to the data preparation stage that precedes it — which is why this stage is treated with the same rigor as the modeling stage itself.</w:t>
            </w:r>
          </w:p>
        </w:tc>
      </w:tr>
    </w:tbl>
    <w:p>
      <w:pPr>
        <w:spacing w:after="160"/>
      </w:pPr>
    </w:p>
    <w:p>
      <w:pPr>
        <w:pBdr>
          <w:bottom w:val="single" w:color="0F5257" w:sz="10" w:space="6"/>
        </w:pBdr>
        <w:spacing w:after="200" w:before="440"/>
      </w:pPr>
      <w:r>
        <w:rPr>
          <w:rFonts w:ascii="Georgia" w:cs="Georgia" w:eastAsia="Georgia" w:hAnsi="Georgia"/>
          <w:b/>
          <w:bCs/>
          <w:color w:val="B8862B"/>
          <w:sz w:val="32"/>
          <w:szCs w:val="32"/>
        </w:rPr>
        <w:t xml:space="preserve">8.  </w:t>
      </w:r>
      <w:r>
        <w:rPr>
          <w:rFonts w:ascii="Georgia" w:cs="Georgia" w:eastAsia="Georgia" w:hAnsi="Georgia"/>
          <w:b/>
          <w:bCs/>
          <w:color w:val="0A3A3D"/>
          <w:sz w:val="32"/>
          <w:szCs w:val="32"/>
        </w:rPr>
        <w:t xml:space="preserve"> Conclusion</w:t>
      </w:r>
    </w:p>
    <w:p>
      <w:pPr>
        <w:spacing w:after="170" w:line="300"/>
      </w:pPr>
      <w:r>
        <w:rPr>
          <w:rFonts w:ascii="Calibri" w:cs="Calibri" w:eastAsia="Calibri" w:hAnsi="Calibri"/>
          <w:color w:val="1B2A2E"/>
          <w:sz w:val="22"/>
          <w:szCs w:val="22"/>
        </w:rPr>
        <w:t xml:space="preserve">This task simulated a realistic data preprocessing pipeline for a 180,000-record logistics dataset: dropping structurally empty fields, imputing missing values using context-aware grouping, capping outliers with the IQR method to preserve row count, and applying dual scaling strategies suited to each downstream algorithm. The resulting cleaned dataset is directly usable for the predictive modeling techniques (regression, clustering) introduced in Week 1's strategic roadmap, closing the loop between planning and execution.</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C"/>
        <w:sz w:val="16"/>
        <w:szCs w:val="16"/>
      </w:rPr>
      <w:t xml:space="preserve">Page </w:t>
    </w:r>
    <w:r>
      <w:rPr>
        <w:rFonts w:ascii="Calibri" w:cs="Calibri" w:eastAsia="Calibri" w:hAnsi="Calibri"/>
        <w:color w:val="5B6B6C"/>
        <w:sz w:val="16"/>
        <w:szCs w:val="16"/>
      </w:rPr>
      <w:fldChar w:fldCharType="begin"/>
      <w:instrText xml:space="preserve">PAGE</w:instrText>
      <w:fldChar w:fldCharType="separate"/>
      <w:fldChar w:fldCharType="end"/>
    </w:r>
    <w:r>
      <w:rPr>
        <w:rFonts w:ascii="Calibri" w:cs="Calibri" w:eastAsia="Calibri" w:hAnsi="Calibri"/>
        <w:color w:val="5B6B6C"/>
        <w:sz w:val="16"/>
        <w:szCs w:val="16"/>
      </w:rPr>
      <w:t xml:space="preserve"> of </w:t>
    </w:r>
    <w:r>
      <w:rPr>
        <w:rFonts w:ascii="Calibri" w:cs="Calibri" w:eastAsia="Calibri" w:hAnsi="Calibri"/>
        <w:color w:val="5B6B6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5257" w:sz="4" w:space="4"/>
      </w:pBdr>
      <w:tabs>
        <w:tab w:val="right" w:pos="9026"/>
      </w:tabs>
    </w:pPr>
    <w:r>
      <w:rPr>
        <w:rFonts w:ascii="Georgia" w:cs="Georgia" w:eastAsia="Georgia" w:hAnsi="Georgia"/>
        <w:i/>
        <w:iCs/>
        <w:color w:val="5B6B6C"/>
        <w:sz w:val="16"/>
        <w:szCs w:val="16"/>
      </w:rPr>
      <w:t xml:space="preserve">Logistics Analytics — Week 2</w:t>
    </w:r>
    <w:r>
      <w:rPr>
        <w:rFonts w:ascii="Georgia" w:cs="Georgia" w:eastAsia="Georgia" w:hAnsi="Georgia"/>
        <w:i/>
        <w:iCs/>
        <w:color w:val="5B6B6C"/>
        <w:sz w:val="16"/>
        <w:szCs w:val="16"/>
      </w:rPr>
      <w:t xml:space="preserve">	Data Cleaning &amp; Preprocessing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Georgia" w:cs="Georgia" w:eastAsia="Georgia" w:hAnsi="Georgia"/>
        <w:color w:val="B886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2026-09-07T06:47:48.443Z</dcterms:created>
  <dcterms:modified xsi:type="dcterms:W3CDTF">2026-09-07T06:47:48.443Z</dcterms:modified>
</cp:coreProperties>
</file>

<file path=docProps/custom.xml><?xml version="1.0" encoding="utf-8"?>
<Properties xmlns="http://schemas.openxmlformats.org/officeDocument/2006/custom-properties" xmlns:vt="http://schemas.openxmlformats.org/officeDocument/2006/docPropsVTypes"/>
</file>