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1B4965"/>
          <w:sz w:val="60"/>
        </w:rPr>
        <w:t>HealthWise Insurance</w:t>
      </w:r>
    </w:p>
    <w:p>
      <w:pPr>
        <w:spacing w:after="320"/>
        <w:jc w:val="center"/>
      </w:pPr>
      <w:r>
        <w:rPr>
          <w:b w:val="0"/>
          <w:i w:val="0"/>
          <w:color w:val="5FA8D3"/>
          <w:sz w:val="38"/>
        </w:rPr>
        <w:t>Building a Smart Premium Engine</w:t>
      </w:r>
    </w:p>
    <w:p>
      <w:pPr>
        <w:spacing w:after="600"/>
        <w:jc w:val="center"/>
      </w:pPr>
      <w:r>
        <w:rPr>
          <w:b/>
          <w:i w:val="0"/>
          <w:color w:val="5A6A78"/>
          <w:sz w:val="24"/>
        </w:rPr>
        <w:t>An End-to-End Machine Learning and Insurance Analytics Project</w:t>
      </w:r>
    </w:p>
    <w:tbl>
      <w:tblPr>
        <w:tblStyle w:val="TableGrid"/>
        <w:tblW w:type="auto" w:w="0"/>
        <w:jc w:val="center"/>
        <w:tblLook w:firstColumn="1" w:firstRow="1" w:lastColumn="0" w:lastRow="0" w:noHBand="0" w:noVBand="1" w:val="04A0"/>
      </w:tblPr>
      <w:tblGrid>
        <w:gridCol w:w="4824"/>
        <w:gridCol w:w="4824"/>
      </w:tblGrid>
      <w:tr>
        <w:tc>
          <w:tcPr>
            <w:tcW w:type="dxa" w:w="2160"/>
            <w:shd w:fill="1B4965"/>
          </w:tcPr>
          <w:p>
            <w:r/>
            <w:r>
              <w:rPr>
                <w:b/>
                <w:color w:val="FFFFFF"/>
                <w:sz w:val="20"/>
              </w:rPr>
              <w:t>Student</w:t>
            </w:r>
          </w:p>
        </w:tc>
        <w:tc>
          <w:tcPr>
            <w:tcW w:type="dxa" w:w="6336"/>
            <w:shd w:fill="EEF4F8"/>
          </w:tcPr>
          <w:p>
            <w:r/>
            <w:r>
              <w:rPr>
                <w:sz w:val="20"/>
              </w:rPr>
              <w:t>Sparsh Saraya</w:t>
            </w:r>
          </w:p>
        </w:tc>
      </w:tr>
      <w:tr>
        <w:tc>
          <w:tcPr>
            <w:tcW w:type="dxa" w:w="2160"/>
            <w:shd w:fill="1B4965"/>
          </w:tcPr>
          <w:p>
            <w:r/>
            <w:r>
              <w:rPr>
                <w:b/>
                <w:color w:val="FFFFFF"/>
                <w:sz w:val="20"/>
              </w:rPr>
              <w:t>Course</w:t>
            </w:r>
          </w:p>
        </w:tc>
        <w:tc>
          <w:tcPr>
            <w:tcW w:type="dxa" w:w="6336"/>
            <w:shd w:fill="EEF4F8"/>
          </w:tcPr>
          <w:p>
            <w:r/>
            <w:r>
              <w:rPr>
                <w:sz w:val="20"/>
              </w:rPr>
              <w:t>Machine Learning — MAIB</w:t>
            </w:r>
          </w:p>
        </w:tc>
      </w:tr>
      <w:tr>
        <w:tc>
          <w:tcPr>
            <w:tcW w:type="dxa" w:w="2160"/>
            <w:shd w:fill="1B4965"/>
          </w:tcPr>
          <w:p>
            <w:r/>
            <w:r>
              <w:rPr>
                <w:b/>
                <w:color w:val="FFFFFF"/>
                <w:sz w:val="20"/>
              </w:rPr>
              <w:t>Institution</w:t>
            </w:r>
          </w:p>
        </w:tc>
        <w:tc>
          <w:tcPr>
            <w:tcW w:type="dxa" w:w="6336"/>
            <w:shd w:fill="EEF4F8"/>
          </w:tcPr>
          <w:p>
            <w:r/>
            <w:r>
              <w:rPr>
                <w:sz w:val="20"/>
              </w:rPr>
              <w:t>SP Jain School of Global Management</w:t>
            </w:r>
          </w:p>
        </w:tc>
      </w:tr>
      <w:tr>
        <w:tc>
          <w:tcPr>
            <w:tcW w:type="dxa" w:w="2160"/>
            <w:shd w:fill="1B4965"/>
          </w:tcPr>
          <w:p>
            <w:r/>
            <w:r>
              <w:rPr>
                <w:b/>
                <w:color w:val="FFFFFF"/>
                <w:sz w:val="20"/>
              </w:rPr>
              <w:t>Dataset</w:t>
            </w:r>
          </w:p>
        </w:tc>
        <w:tc>
          <w:tcPr>
            <w:tcW w:type="dxa" w:w="6336"/>
            <w:shd w:fill="EEF4F8"/>
          </w:tcPr>
          <w:p>
            <w:r/>
            <w:r>
              <w:rPr>
                <w:sz w:val="20"/>
              </w:rPr>
              <w:t>healthwise.csv — 1,203 records × 17 columns</w:t>
            </w:r>
          </w:p>
        </w:tc>
      </w:tr>
      <w:tr>
        <w:tc>
          <w:tcPr>
            <w:tcW w:type="dxa" w:w="2160"/>
            <w:shd w:fill="1B4965"/>
          </w:tcPr>
          <w:p>
            <w:r/>
            <w:r>
              <w:rPr>
                <w:b/>
                <w:color w:val="FFFFFF"/>
                <w:sz w:val="20"/>
              </w:rPr>
              <w:t>Date</w:t>
            </w:r>
          </w:p>
        </w:tc>
        <w:tc>
          <w:tcPr>
            <w:tcW w:type="dxa" w:w="6336"/>
            <w:shd w:fill="EEF4F8"/>
          </w:tcPr>
          <w:p>
            <w:r/>
            <w:r>
              <w:rPr>
                <w:sz w:val="20"/>
              </w:rPr>
              <w:t>29 September 2026</w:t>
            </w:r>
          </w:p>
        </w:tc>
      </w:tr>
    </w:tbl>
    <w:p/>
    <w:tbl>
      <w:tblPr>
        <w:tblStyle w:val="TableGrid"/>
        <w:tblW w:type="auto" w:w="0"/>
        <w:tblLook w:firstColumn="1" w:firstRow="1" w:lastColumn="0" w:lastRow="0" w:noHBand="0" w:noVBand="1" w:val="04A0"/>
      </w:tblPr>
      <w:tblGrid>
        <w:gridCol w:w="9648"/>
      </w:tblGrid>
      <w:tr>
        <w:tc>
          <w:tcPr>
            <w:tcW w:type="dxa" w:w="9648"/>
            <w:shd w:fill="EAF4FA"/>
          </w:tcPr>
          <w:p>
            <w:r/>
            <w:r>
              <w:rPr>
                <w:b/>
                <w:color w:val="1B4965"/>
                <w:sz w:val="20"/>
              </w:rPr>
              <w:t xml:space="preserve">Headline result:  </w:t>
            </w:r>
            <w:r>
              <w:rPr>
                <w:sz w:val="20"/>
              </w:rPr>
              <w:t>The two-stage engine reduces average pricing error by 75% versus the current flat model ($6,167 → $1,535 MAE), with R² rising from 0.715 to 0.919. Measured end-to-end, with Stage 1 predicting its own tiers.</w:t>
            </w:r>
          </w:p>
        </w:tc>
      </w:tr>
    </w:tbl>
    <w:p>
      <w:pPr>
        <w:spacing w:after="80"/>
      </w:pPr>
    </w:p>
    <w:p>
      <w:r>
        <w:br w:type="page"/>
      </w:r>
    </w:p>
    <w:p>
      <w:pPr>
        <w:pStyle w:val="Heading1"/>
      </w:pPr>
      <w:r>
        <w:t>1. Executive Summary</w:t>
      </w:r>
    </w:p>
    <w:p>
      <w:pPr>
        <w:spacing w:after="120"/>
      </w:pPr>
      <w:r>
        <w:rPr>
          <w:b w:val="0"/>
          <w:i w:val="0"/>
          <w:sz w:val="21"/>
        </w:rPr>
        <w:t>HealthWise Insurance prices every annual health policy with a single flat formula. That approach systematically overcharges low-risk customers, who then leave for cheaper competitors, and undercharges high-risk customers, who are retained at a loss. This project builds and evaluates the proposed alternative: a two-stage Smart Premium Engine that first classifies a customer into a risk tier, then prices them with a regression model trained only on customers in that tier.</w:t>
      </w:r>
    </w:p>
    <w:p>
      <w:pPr>
        <w:pStyle w:val="Heading2"/>
      </w:pPr>
      <w:r>
        <w:t>Does the two-stage engine beat one flat model?</w:t>
      </w:r>
    </w:p>
    <w:p>
      <w:pPr>
        <w:spacing w:after="120"/>
      </w:pPr>
      <w:r>
        <w:rPr>
          <w:b w:val="0"/>
          <w:i w:val="0"/>
          <w:sz w:val="21"/>
        </w:rPr>
        <w:t>Yes, decisively — and the claim survives honest measurement. On 240 held-out customers the flat model misprices by an average of $6,167, roughly 28% of the mean annual charge. The two-stage engine misprices by $1,535, a 75.1% reduction, with R² rising from 0.715 to 0.919.</w:t>
      </w:r>
    </w:p>
    <w:tbl>
      <w:tblPr>
        <w:tblStyle w:val="TableGrid"/>
        <w:tblW w:type="auto" w:w="0"/>
        <w:tblLook w:firstColumn="1" w:firstRow="1" w:lastColumn="0" w:lastRow="0" w:noHBand="0" w:noVBand="1" w:val="04A0"/>
      </w:tblPr>
      <w:tblGrid>
        <w:gridCol w:w="9648"/>
      </w:tblGrid>
      <w:tr>
        <w:tc>
          <w:tcPr>
            <w:tcW w:type="dxa" w:w="9648"/>
            <w:shd w:fill="FFF4E6"/>
          </w:tcPr>
          <w:p>
            <w:r/>
            <w:r>
              <w:rPr>
                <w:b/>
                <w:color w:val="1B4965"/>
                <w:sz w:val="20"/>
              </w:rPr>
              <w:t xml:space="preserve">A methodological point that changes the number:  </w:t>
            </w:r>
            <w:r>
              <w:rPr>
                <w:sz w:val="20"/>
              </w:rPr>
              <w:t>Evaluating the per-tier models using the true risk_tier label gives a far more flattering MAE of $816 and R² of 0.993. Those figures assume perfect tier assignment, which the engine cannot deliver at quote time. That oracle figure understates the engine's true pricing error by 47% ($816 against a real $1,535). Every headline figure in this report uses the predicted tier.</w:t>
            </w:r>
          </w:p>
        </w:tc>
      </w:tr>
    </w:tbl>
    <w:p>
      <w:pPr>
        <w:spacing w:after="80"/>
      </w:pPr>
    </w:p>
    <w:p>
      <w:pPr>
        <w:pStyle w:val="Heading2"/>
      </w:pPr>
      <w:r>
        <w:t>Which attributes drive cost?</w:t>
      </w:r>
    </w:p>
    <w:p>
      <w:pPr>
        <w:spacing w:after="120"/>
      </w:pPr>
      <w:r>
        <w:rPr>
          <w:b w:val="0"/>
          <w:i w:val="0"/>
          <w:sz w:val="21"/>
        </w:rPr>
        <w:t>Smoking dominates. Smokers cost $34,511 a year against $14,474 for non-smokers — a gap of $20,037, or 2.38×, which is overwhelmingly significant (Welch t = 24.1, p &lt; 0.001, Cohen's d = 1.84). Age and BMI follow, and their relative importance switches between tiers: age dominates among low-risk customers, BMI among high-risk ones.</w:t>
      </w:r>
    </w:p>
    <w:p>
      <w:pPr>
        <w:spacing w:after="120"/>
      </w:pPr>
      <w:r>
        <w:rPr>
          <w:b w:val="0"/>
          <w:i w:val="0"/>
          <w:sz w:val="21"/>
        </w:rPr>
        <w:t>Five columns carry no signal at all — zodiac sign, favourite colour, lucky number, preferred contact channel and marketing opt-in. All five were dropped on business reasoning, confirmed insignificant by ANOVA, and independently discarded by Lasso. Removing them improved out-of-sample R² from 0.6831 to 0.6913. Geography also fails to matter: region's pricing effect is under $155 against BMI's $3,778.</w:t>
      </w:r>
    </w:p>
    <w:p>
      <w:pPr>
        <w:pStyle w:val="Heading2"/>
      </w:pPr>
      <w:r>
        <w:t>Recommendation</w:t>
      </w:r>
    </w:p>
    <w:p>
      <w:pPr>
        <w:spacing w:after="120"/>
      </w:pPr>
      <w:r>
        <w:rPr>
          <w:b w:val="0"/>
          <w:i w:val="0"/>
          <w:sz w:val="21"/>
        </w:rPr>
        <w:t>Deploy, in a controlled rollout, with confidence-based routing to manual underwriting. The governing risk is tier misclassification: Stage 1 is correct 94.6% of the time, but the 13 customers it gets wrong carry a mean pricing error of $14,377 against $799 for correctly classified ones — an 18× difference. The danger is concentrated, not averaged, and that is what should govern the deployment design.</w:t>
      </w:r>
    </w:p>
    <w:p>
      <w:r>
        <w:br w:type="page"/>
      </w:r>
    </w:p>
    <w:p>
      <w:pPr>
        <w:pStyle w:val="Heading1"/>
      </w:pPr>
      <w:r>
        <w:t>2. Assignment Requirements and Compliance</w:t>
      </w:r>
    </w:p>
    <w:p>
      <w:pPr>
        <w:spacing w:after="120"/>
      </w:pPr>
      <w:r>
        <w:rPr>
          <w:b w:val="0"/>
          <w:i/>
          <w:color w:val="5A6A78"/>
          <w:sz w:val="20"/>
        </w:rPr>
        <w:t>Every requirement from the lab brief, mapped to where it is implemented and what it produced.</w:t>
      </w:r>
    </w:p>
    <w:tbl>
      <w:tblPr>
        <w:tblStyle w:val="TableGrid"/>
        <w:tblW w:type="auto" w:w="0"/>
        <w:jc w:val="center"/>
        <w:tblLook w:firstColumn="1" w:firstRow="1" w:lastColumn="0" w:lastRow="0" w:noHBand="0" w:noVBand="1" w:val="04A0"/>
      </w:tblPr>
      <w:tblGrid>
        <w:gridCol w:w="3216"/>
        <w:gridCol w:w="3216"/>
        <w:gridCol w:w="3216"/>
      </w:tblGrid>
      <w:tr>
        <w:tc>
          <w:tcPr>
            <w:tcW w:type="dxa" w:w="2520"/>
            <w:shd w:fill="1B4965"/>
          </w:tcPr>
          <w:p>
            <w:r/>
            <w:r>
              <w:rPr>
                <w:b/>
                <w:color w:val="FFFFFF"/>
                <w:sz w:val="16"/>
              </w:rPr>
              <w:t>Requirement from the brief</w:t>
            </w:r>
          </w:p>
        </w:tc>
        <w:tc>
          <w:tcPr>
            <w:tcW w:type="dxa" w:w="4824"/>
            <w:shd w:fill="1B4965"/>
          </w:tcPr>
          <w:p>
            <w:r/>
            <w:r>
              <w:rPr>
                <w:b/>
                <w:color w:val="FFFFFF"/>
                <w:sz w:val="16"/>
              </w:rPr>
              <w:t>How it was addressed</w:t>
            </w:r>
          </w:p>
        </w:tc>
        <w:tc>
          <w:tcPr>
            <w:tcW w:type="dxa" w:w="1944"/>
            <w:shd w:fill="1B4965"/>
          </w:tcPr>
          <w:p>
            <w:r/>
            <w:r>
              <w:rPr>
                <w:b/>
                <w:color w:val="FFFFFF"/>
                <w:sz w:val="16"/>
              </w:rPr>
              <w:t>Location</w:t>
            </w:r>
          </w:p>
        </w:tc>
      </w:tr>
      <w:tr>
        <w:tc>
          <w:tcPr>
            <w:tcW w:type="dxa" w:w="2520"/>
          </w:tcPr>
          <w:p>
            <w:r/>
            <w:r>
              <w:rPr>
                <w:sz w:val="16"/>
              </w:rPr>
              <w:t>A1 — Load and inspect</w:t>
            </w:r>
          </w:p>
        </w:tc>
        <w:tc>
          <w:tcPr>
            <w:tcW w:type="dxa" w:w="4824"/>
          </w:tcPr>
          <w:p>
            <w:r/>
            <w:r>
              <w:rPr>
                <w:sz w:val="16"/>
              </w:rPr>
              <w:t>Shape, dtypes, describe(); reflection on unit of observation and suspicious columns</w:t>
            </w:r>
          </w:p>
        </w:tc>
        <w:tc>
          <w:tcPr>
            <w:tcW w:type="dxa" w:w="1944"/>
          </w:tcPr>
          <w:p>
            <w:r/>
            <w:r>
              <w:rPr>
                <w:sz w:val="16"/>
              </w:rPr>
              <w:t>Notebook Task A1</w:t>
            </w:r>
          </w:p>
        </w:tc>
      </w:tr>
      <w:tr>
        <w:tc>
          <w:tcPr>
            <w:tcW w:type="dxa" w:w="2520"/>
            <w:shd w:fill="EEF4F8"/>
          </w:tcPr>
          <w:p>
            <w:r/>
            <w:r>
              <w:rPr>
                <w:sz w:val="16"/>
              </w:rPr>
              <w:t>A2 — Clean the data</w:t>
            </w:r>
          </w:p>
        </w:tc>
        <w:tc>
          <w:tcPr>
            <w:tcW w:type="dxa" w:w="4824"/>
            <w:shd w:fill="EEF4F8"/>
          </w:tcPr>
          <w:p>
            <w:r/>
            <w:r>
              <w:rPr>
                <w:sz w:val="16"/>
              </w:rPr>
              <w:t>3 exact duplicates removed; 18 bmi + 18 exercise_freq median-imputed; invalid-value and IQR outlier audit</w:t>
            </w:r>
          </w:p>
        </w:tc>
        <w:tc>
          <w:tcPr>
            <w:tcW w:type="dxa" w:w="1944"/>
            <w:shd w:fill="EEF4F8"/>
          </w:tcPr>
          <w:p>
            <w:r/>
            <w:r>
              <w:rPr>
                <w:sz w:val="16"/>
              </w:rPr>
              <w:t>Notebook A2; Report §5</w:t>
            </w:r>
          </w:p>
        </w:tc>
      </w:tr>
      <w:tr>
        <w:tc>
          <w:tcPr>
            <w:tcW w:type="dxa" w:w="2520"/>
          </w:tcPr>
          <w:p>
            <w:r/>
            <w:r>
              <w:rPr>
                <w:sz w:val="16"/>
              </w:rPr>
              <w:t>A3 — EDA</w:t>
            </w:r>
          </w:p>
        </w:tc>
        <w:tc>
          <w:tcPr>
            <w:tcW w:type="dxa" w:w="4824"/>
          </w:tcPr>
          <w:p>
            <w:r/>
            <w:r>
              <w:rPr>
                <w:sz w:val="16"/>
              </w:rPr>
              <w:t>Charge distribution (skew +1.15, bimodal), smoker boxplot, tier boxplot, class balance</w:t>
            </w:r>
          </w:p>
        </w:tc>
        <w:tc>
          <w:tcPr>
            <w:tcW w:type="dxa" w:w="1944"/>
          </w:tcPr>
          <w:p>
            <w:r/>
            <w:r>
              <w:rPr>
                <w:sz w:val="16"/>
              </w:rPr>
              <w:t>Notebook A3; Fig. 1–2</w:t>
            </w:r>
          </w:p>
        </w:tc>
      </w:tr>
      <w:tr>
        <w:tc>
          <w:tcPr>
            <w:tcW w:type="dxa" w:w="2520"/>
            <w:shd w:fill="EEF4F8"/>
          </w:tcPr>
          <w:p>
            <w:r/>
            <w:r>
              <w:rPr>
                <w:sz w:val="16"/>
              </w:rPr>
              <w:t>A4 — Feature audit ⭐</w:t>
            </w:r>
          </w:p>
        </w:tc>
        <w:tc>
          <w:tcPr>
            <w:tcW w:type="dxa" w:w="4824"/>
            <w:shd w:fill="EEF4F8"/>
          </w:tcPr>
          <w:p>
            <w:r/>
            <w:r>
              <w:rPr>
                <w:sz w:val="16"/>
              </w:rPr>
              <w:t>Business reasoning + Pearson/Spearman + one-way ANOVA per categorical; 5 junk columns dropped; zodiac trap explained</w:t>
            </w:r>
          </w:p>
        </w:tc>
        <w:tc>
          <w:tcPr>
            <w:tcW w:type="dxa" w:w="1944"/>
            <w:shd w:fill="EEF4F8"/>
          </w:tcPr>
          <w:p>
            <w:r/>
            <w:r>
              <w:rPr>
                <w:sz w:val="16"/>
              </w:rPr>
              <w:t>Notebook A4; Fig. 3–4</w:t>
            </w:r>
          </w:p>
        </w:tc>
      </w:tr>
      <w:tr>
        <w:tc>
          <w:tcPr>
            <w:tcW w:type="dxa" w:w="2520"/>
          </w:tcPr>
          <w:p>
            <w:r/>
            <w:r>
              <w:rPr>
                <w:sz w:val="16"/>
              </w:rPr>
              <w:t>A5 — Hypothesis testing</w:t>
            </w:r>
          </w:p>
        </w:tc>
        <w:tc>
          <w:tcPr>
            <w:tcW w:type="dxa" w:w="4824"/>
          </w:tcPr>
          <w:p>
            <w:r/>
            <w:r>
              <w:rPr>
                <w:sz w:val="16"/>
              </w:rPr>
              <w:t>Welch t-test (t=24.08, p=2.3e-84), Mann-Whitney confirmation, Cohen's d=1.84, age-charge Pearson</w:t>
            </w:r>
          </w:p>
        </w:tc>
        <w:tc>
          <w:tcPr>
            <w:tcW w:type="dxa" w:w="1944"/>
          </w:tcPr>
          <w:p>
            <w:r/>
            <w:r>
              <w:rPr>
                <w:sz w:val="16"/>
              </w:rPr>
              <w:t>Notebook A5</w:t>
            </w:r>
          </w:p>
        </w:tc>
      </w:tr>
      <w:tr>
        <w:tc>
          <w:tcPr>
            <w:tcW w:type="dxa" w:w="2520"/>
            <w:shd w:fill="EEF4F8"/>
          </w:tcPr>
          <w:p>
            <w:r/>
            <w:r>
              <w:rPr>
                <w:sz w:val="16"/>
              </w:rPr>
              <w:t>A6 — VIF &amp; redundancy</w:t>
            </w:r>
          </w:p>
        </w:tc>
        <w:tc>
          <w:tcPr>
            <w:tcW w:type="dxa" w:w="4824"/>
            <w:shd w:fill="EEF4F8"/>
          </w:tcPr>
          <w:p>
            <w:r/>
            <w:r>
              <w:rPr>
                <w:sz w:val="16"/>
              </w:rPr>
              <w:t>bmi/weight_kg r=0.987 VIF 37.8→2.5; age/date_of_birth r=1.000; one column dropped per pair</w:t>
            </w:r>
          </w:p>
        </w:tc>
        <w:tc>
          <w:tcPr>
            <w:tcW w:type="dxa" w:w="1944"/>
            <w:shd w:fill="EEF4F8"/>
          </w:tcPr>
          <w:p>
            <w:r/>
            <w:r>
              <w:rPr>
                <w:sz w:val="16"/>
              </w:rPr>
              <w:t>Notebook A6; Fig. 5</w:t>
            </w:r>
          </w:p>
        </w:tc>
      </w:tr>
      <w:tr>
        <w:tc>
          <w:tcPr>
            <w:tcW w:type="dxa" w:w="2520"/>
          </w:tcPr>
          <w:p>
            <w:r/>
            <w:r>
              <w:rPr>
                <w:sz w:val="16"/>
              </w:rPr>
              <w:t>A7 — Encoding &amp; bias/variance</w:t>
            </w:r>
          </w:p>
        </w:tc>
        <w:tc>
          <w:tcPr>
            <w:tcW w:type="dxa" w:w="4824"/>
          </w:tcPr>
          <w:p>
            <w:r/>
            <w:r>
              <w:rPr>
                <w:sz w:val="16"/>
              </w:rPr>
              <w:t>get_dummies(drop_first=True); dummy-variable trap explained; business consequences of under/overfitting</w:t>
            </w:r>
          </w:p>
        </w:tc>
        <w:tc>
          <w:tcPr>
            <w:tcW w:type="dxa" w:w="1944"/>
          </w:tcPr>
          <w:p>
            <w:r/>
            <w:r>
              <w:rPr>
                <w:sz w:val="16"/>
              </w:rPr>
              <w:t>Notebook A7</w:t>
            </w:r>
          </w:p>
        </w:tc>
      </w:tr>
      <w:tr>
        <w:tc>
          <w:tcPr>
            <w:tcW w:type="dxa" w:w="2520"/>
            <w:shd w:fill="EEF4F8"/>
          </w:tcPr>
          <w:p>
            <w:r/>
            <w:r>
              <w:rPr>
                <w:sz w:val="16"/>
              </w:rPr>
              <w:t>A8 — Lasso feature selection ⭐</w:t>
            </w:r>
          </w:p>
        </w:tc>
        <w:tc>
          <w:tcPr>
            <w:tcW w:type="dxa" w:w="4824"/>
            <w:shd w:fill="EEF4F8"/>
          </w:tcPr>
          <w:p>
            <w:r/>
            <w:r>
              <w:rPr>
                <w:sz w:val="16"/>
              </w:rPr>
              <w:t>Alpha sweep 10→1500 on the full junk-inclusive set; all junk zeroed by alpha=800; R² comparison</w:t>
            </w:r>
          </w:p>
        </w:tc>
        <w:tc>
          <w:tcPr>
            <w:tcW w:type="dxa" w:w="1944"/>
            <w:shd w:fill="EEF4F8"/>
          </w:tcPr>
          <w:p>
            <w:r/>
            <w:r>
              <w:rPr>
                <w:sz w:val="16"/>
              </w:rPr>
              <w:t>Notebook A8</w:t>
            </w:r>
          </w:p>
        </w:tc>
      </w:tr>
      <w:tr>
        <w:tc>
          <w:tcPr>
            <w:tcW w:type="dxa" w:w="2520"/>
          </w:tcPr>
          <w:p>
            <w:r/>
            <w:r>
              <w:rPr>
                <w:sz w:val="16"/>
              </w:rPr>
              <w:t>B1 — Build a classifier</w:t>
            </w:r>
          </w:p>
        </w:tc>
        <w:tc>
          <w:tcPr>
            <w:tcW w:type="dxa" w:w="4824"/>
          </w:tcPr>
          <w:p>
            <w:r/>
            <w:r>
              <w:rPr>
                <w:sz w:val="16"/>
              </w:rPr>
              <w:t>7 candidates compared; Decision Tree depth 4 chosen on cross-validated accuracy; stratification justified</w:t>
            </w:r>
          </w:p>
        </w:tc>
        <w:tc>
          <w:tcPr>
            <w:tcW w:type="dxa" w:w="1944"/>
          </w:tcPr>
          <w:p>
            <w:r/>
            <w:r>
              <w:rPr>
                <w:sz w:val="16"/>
              </w:rPr>
              <w:t>Notebook B1</w:t>
            </w:r>
          </w:p>
        </w:tc>
      </w:tr>
      <w:tr>
        <w:tc>
          <w:tcPr>
            <w:tcW w:type="dxa" w:w="2520"/>
            <w:shd w:fill="EEF4F8"/>
          </w:tcPr>
          <w:p>
            <w:r/>
            <w:r>
              <w:rPr>
                <w:sz w:val="16"/>
              </w:rPr>
              <w:t>B2 — Evaluate the classifier</w:t>
            </w:r>
          </w:p>
        </w:tc>
        <w:tc>
          <w:tcPr>
            <w:tcW w:type="dxa" w:w="4824"/>
            <w:shd w:fill="EEF4F8"/>
          </w:tcPr>
          <w:p>
            <w:r/>
            <w:r>
              <w:rPr>
                <w:sz w:val="16"/>
              </w:rPr>
              <w:t>Accuracy, balanced accuracy, macro-F1, confusion matrix, per-tier precision/recall, business-risk asymmetry</w:t>
            </w:r>
          </w:p>
        </w:tc>
        <w:tc>
          <w:tcPr>
            <w:tcW w:type="dxa" w:w="1944"/>
            <w:shd w:fill="EEF4F8"/>
          </w:tcPr>
          <w:p>
            <w:r/>
            <w:r>
              <w:rPr>
                <w:sz w:val="16"/>
              </w:rPr>
              <w:t>Notebook B2; Fig. 11</w:t>
            </w:r>
          </w:p>
        </w:tc>
      </w:tr>
      <w:tr>
        <w:tc>
          <w:tcPr>
            <w:tcW w:type="dxa" w:w="2520"/>
          </w:tcPr>
          <w:p>
            <w:r/>
            <w:r>
              <w:rPr>
                <w:sz w:val="16"/>
              </w:rPr>
              <w:t>B3 — Bias/variance check</w:t>
            </w:r>
          </w:p>
        </w:tc>
        <w:tc>
          <w:tcPr>
            <w:tcW w:type="dxa" w:w="4824"/>
          </w:tcPr>
          <w:p>
            <w:r/>
            <w:r>
              <w:rPr>
                <w:sz w:val="16"/>
              </w:rPr>
              <w:t>Train vs test gap, 5-fold CV, depth complexity curve, learning curve</w:t>
            </w:r>
          </w:p>
        </w:tc>
        <w:tc>
          <w:tcPr>
            <w:tcW w:type="dxa" w:w="1944"/>
          </w:tcPr>
          <w:p>
            <w:r/>
            <w:r>
              <w:rPr>
                <w:sz w:val="16"/>
              </w:rPr>
              <w:t>Notebook B3; Fig. 14</w:t>
            </w:r>
          </w:p>
        </w:tc>
      </w:tr>
      <w:tr>
        <w:tc>
          <w:tcPr>
            <w:tcW w:type="dxa" w:w="2520"/>
            <w:shd w:fill="EEF4F8"/>
          </w:tcPr>
          <w:p>
            <w:r/>
            <w:r>
              <w:rPr>
                <w:sz w:val="16"/>
              </w:rPr>
              <w:t>C1 — Global baseline</w:t>
            </w:r>
          </w:p>
        </w:tc>
        <w:tc>
          <w:tcPr>
            <w:tcW w:type="dxa" w:w="4824"/>
            <w:shd w:fill="EEF4F8"/>
          </w:tcPr>
          <w:p>
            <w:r/>
            <w:r>
              <w:rPr>
                <w:sz w:val="16"/>
              </w:rPr>
              <w:t>MAE/MSE/RMSE/R²/adj-R²/CV; residual, Q-Q and Shapiro-Wilk diagnostics</w:t>
            </w:r>
          </w:p>
        </w:tc>
        <w:tc>
          <w:tcPr>
            <w:tcW w:type="dxa" w:w="1944"/>
            <w:shd w:fill="EEF4F8"/>
          </w:tcPr>
          <w:p>
            <w:r/>
            <w:r>
              <w:rPr>
                <w:sz w:val="16"/>
              </w:rPr>
              <w:t>Notebook C1; Fig. 13</w:t>
            </w:r>
          </w:p>
        </w:tc>
      </w:tr>
      <w:tr>
        <w:tc>
          <w:tcPr>
            <w:tcW w:type="dxa" w:w="2520"/>
          </w:tcPr>
          <w:p>
            <w:r/>
            <w:r>
              <w:rPr>
                <w:sz w:val="16"/>
              </w:rPr>
              <w:t>C2 — Simple vs multiple</w:t>
            </w:r>
          </w:p>
        </w:tc>
        <w:tc>
          <w:tcPr>
            <w:tcW w:type="dxa" w:w="4824"/>
          </w:tcPr>
          <w:p>
            <w:r/>
            <w:r>
              <w:rPr>
                <w:sz w:val="16"/>
              </w:rPr>
              <w:t>Strongest feature derived per tier from within-tier correlations; both models built for all three tiers</w:t>
            </w:r>
          </w:p>
        </w:tc>
        <w:tc>
          <w:tcPr>
            <w:tcW w:type="dxa" w:w="1944"/>
          </w:tcPr>
          <w:p>
            <w:r/>
            <w:r>
              <w:rPr>
                <w:sz w:val="16"/>
              </w:rPr>
              <w:t>Notebook C2</w:t>
            </w:r>
          </w:p>
        </w:tc>
      </w:tr>
      <w:tr>
        <w:tc>
          <w:tcPr>
            <w:tcW w:type="dxa" w:w="2520"/>
            <w:shd w:fill="EEF4F8"/>
          </w:tcPr>
          <w:p>
            <w:r/>
            <w:r>
              <w:rPr>
                <w:sz w:val="16"/>
              </w:rPr>
              <w:t>C3 — Two-stage engine</w:t>
            </w:r>
          </w:p>
        </w:tc>
        <w:tc>
          <w:tcPr>
            <w:tcW w:type="dxa" w:w="4824"/>
            <w:shd w:fill="EEF4F8"/>
          </w:tcPr>
          <w:p>
            <w:r/>
            <w:r>
              <w:rPr>
                <w:sz w:val="16"/>
              </w:rPr>
              <w:t>Per-tier regressions plus the end-to-end test using predicted tiers</w:t>
            </w:r>
          </w:p>
        </w:tc>
        <w:tc>
          <w:tcPr>
            <w:tcW w:type="dxa" w:w="1944"/>
            <w:shd w:fill="EEF4F8"/>
          </w:tcPr>
          <w:p>
            <w:r/>
            <w:r>
              <w:rPr>
                <w:sz w:val="16"/>
              </w:rPr>
              <w:t>Notebook C3; Fig. 12</w:t>
            </w:r>
          </w:p>
        </w:tc>
      </w:tr>
      <w:tr>
        <w:tc>
          <w:tcPr>
            <w:tcW w:type="dxa" w:w="2520"/>
          </w:tcPr>
          <w:p>
            <w:r/>
            <w:r>
              <w:rPr>
                <w:sz w:val="16"/>
              </w:rPr>
              <w:t>C4 — Ridge/Lasso tuning</w:t>
            </w:r>
          </w:p>
        </w:tc>
        <w:tc>
          <w:tcPr>
            <w:tcW w:type="dxa" w:w="4824"/>
          </w:tcPr>
          <w:p>
            <w:r/>
            <w:r>
              <w:rPr>
                <w:sz w:val="16"/>
              </w:rPr>
              <w:t>Alpha sweep across 8 values × 3 tiers; tuned coefficients compared; region shown to be irrelevant</w:t>
            </w:r>
          </w:p>
        </w:tc>
        <w:tc>
          <w:tcPr>
            <w:tcW w:type="dxa" w:w="1944"/>
          </w:tcPr>
          <w:p>
            <w:r/>
            <w:r>
              <w:rPr>
                <w:sz w:val="16"/>
              </w:rPr>
              <w:t>Notebook C4; Fig. 16</w:t>
            </w:r>
          </w:p>
        </w:tc>
      </w:tr>
      <w:tr>
        <w:tc>
          <w:tcPr>
            <w:tcW w:type="dxa" w:w="2520"/>
            <w:shd w:fill="EEF4F8"/>
          </w:tcPr>
          <w:p>
            <w:r/>
            <w:r>
              <w:rPr>
                <w:sz w:val="16"/>
              </w:rPr>
              <w:t>C5 — The verdict</w:t>
            </w:r>
          </w:p>
        </w:tc>
        <w:tc>
          <w:tcPr>
            <w:tcW w:type="dxa" w:w="4824"/>
            <w:shd w:fill="EEF4F8"/>
          </w:tcPr>
          <w:p>
            <w:r/>
            <w:r>
              <w:rPr>
                <w:sz w:val="16"/>
              </w:rPr>
              <w:t>Model ladder and ranked attribution of where the gains came from</w:t>
            </w:r>
          </w:p>
        </w:tc>
        <w:tc>
          <w:tcPr>
            <w:tcW w:type="dxa" w:w="1944"/>
            <w:shd w:fill="EEF4F8"/>
          </w:tcPr>
          <w:p>
            <w:r/>
            <w:r>
              <w:rPr>
                <w:sz w:val="16"/>
              </w:rPr>
              <w:t>Notebook C5</w:t>
            </w:r>
          </w:p>
        </w:tc>
      </w:tr>
      <w:tr>
        <w:tc>
          <w:tcPr>
            <w:tcW w:type="dxa" w:w="2520"/>
          </w:tcPr>
          <w:p>
            <w:r/>
            <w:r>
              <w:rPr>
                <w:sz w:val="16"/>
              </w:rPr>
              <w:t>D — Board memo</w:t>
            </w:r>
          </w:p>
        </w:tc>
        <w:tc>
          <w:tcPr>
            <w:tcW w:type="dxa" w:w="4824"/>
          </w:tcPr>
          <w:p>
            <w:r/>
            <w:r>
              <w:rPr>
                <w:sz w:val="16"/>
              </w:rPr>
              <w:t>150–250 word memo answering both board questions with figures and one named limitation</w:t>
            </w:r>
          </w:p>
        </w:tc>
        <w:tc>
          <w:tcPr>
            <w:tcW w:type="dxa" w:w="1944"/>
          </w:tcPr>
          <w:p>
            <w:r/>
            <w:r>
              <w:rPr>
                <w:sz w:val="16"/>
              </w:rPr>
              <w:t>Notebook Part D; Report §17</w:t>
            </w:r>
          </w:p>
        </w:tc>
      </w:tr>
      <w:tr>
        <w:tc>
          <w:tcPr>
            <w:tcW w:type="dxa" w:w="2520"/>
            <w:shd w:fill="EEF4F8"/>
          </w:tcPr>
          <w:p>
            <w:r/>
            <w:r>
              <w:rPr>
                <w:sz w:val="16"/>
              </w:rPr>
              <w:t>E1 — Save the model</w:t>
            </w:r>
          </w:p>
        </w:tc>
        <w:tc>
          <w:tcPr>
            <w:tcW w:type="dxa" w:w="4824"/>
            <w:shd w:fill="EEF4F8"/>
          </w:tcPr>
          <w:p>
            <w:r/>
            <w:r>
              <w:rPr>
                <w:sz w:val="16"/>
              </w:rPr>
              <w:t>sklearn Pipeline + ColumnTransformer; 1 classifier + 3 regressors saved to joblib</w:t>
            </w:r>
          </w:p>
        </w:tc>
        <w:tc>
          <w:tcPr>
            <w:tcW w:type="dxa" w:w="1944"/>
            <w:shd w:fill="EEF4F8"/>
          </w:tcPr>
          <w:p>
            <w:r/>
            <w:r>
              <w:rPr>
                <w:sz w:val="16"/>
              </w:rPr>
              <w:t>healthwise_model.joblib</w:t>
            </w:r>
          </w:p>
        </w:tc>
      </w:tr>
      <w:tr>
        <w:tc>
          <w:tcPr>
            <w:tcW w:type="dxa" w:w="2520"/>
          </w:tcPr>
          <w:p>
            <w:r/>
            <w:r>
              <w:rPr>
                <w:sz w:val="16"/>
              </w:rPr>
              <w:t>E2 — Build the app ⭐</w:t>
            </w:r>
          </w:p>
        </w:tc>
        <w:tc>
          <w:tcPr>
            <w:tcW w:type="dxa" w:w="4824"/>
          </w:tcPr>
          <w:p>
            <w:r/>
            <w:r>
              <w:rPr>
                <w:sz w:val="16"/>
              </w:rPr>
              <w:t>8-tab Streamlit dashboard; live recalculation verified; sensitivity analysis</w:t>
            </w:r>
          </w:p>
        </w:tc>
        <w:tc>
          <w:tcPr>
            <w:tcW w:type="dxa" w:w="1944"/>
          </w:tcPr>
          <w:p>
            <w:r/>
            <w:r>
              <w:rPr>
                <w:sz w:val="16"/>
              </w:rPr>
              <w:t>app.py; Fig. 20–21</w:t>
            </w:r>
          </w:p>
        </w:tc>
      </w:tr>
      <w:tr>
        <w:tc>
          <w:tcPr>
            <w:tcW w:type="dxa" w:w="2520"/>
            <w:shd w:fill="EEF4F8"/>
          </w:tcPr>
          <w:p>
            <w:r/>
            <w:r>
              <w:rPr>
                <w:sz w:val="16"/>
              </w:rPr>
              <w:t>E3 — Score unseen customers</w:t>
            </w:r>
          </w:p>
        </w:tc>
        <w:tc>
          <w:tcPr>
            <w:tcW w:type="dxa" w:w="4824"/>
            <w:shd w:fill="EEF4F8"/>
          </w:tcPr>
          <w:p>
            <w:r/>
            <w:r>
              <w:rPr>
                <w:sz w:val="16"/>
              </w:rPr>
              <w:t>5 unseen profiles scored, parameter changes applied, results table completed</w:t>
            </w:r>
          </w:p>
        </w:tc>
        <w:tc>
          <w:tcPr>
            <w:tcW w:type="dxa" w:w="1944"/>
            <w:shd w:fill="EEF4F8"/>
          </w:tcPr>
          <w:p>
            <w:r/>
            <w:r>
              <w:rPr>
                <w:sz w:val="16"/>
              </w:rPr>
              <w:t>Notebook E3</w:t>
            </w:r>
          </w:p>
        </w:tc>
      </w:tr>
      <w:tr>
        <w:tc>
          <w:tcPr>
            <w:tcW w:type="dxa" w:w="2520"/>
          </w:tcPr>
          <w:p>
            <w:r/>
            <w:r>
              <w:rPr>
                <w:sz w:val="16"/>
              </w:rPr>
              <w:t>Bonus 1 — Error propagation</w:t>
            </w:r>
          </w:p>
        </w:tc>
        <w:tc>
          <w:tcPr>
            <w:tcW w:type="dxa" w:w="4824"/>
          </w:tcPr>
          <w:p>
            <w:r/>
            <w:r>
              <w:rPr>
                <w:sz w:val="16"/>
              </w:rPr>
              <w:t>Cost of a Stage-1 mistake quantified (18×); four safeguards proposed</w:t>
            </w:r>
          </w:p>
        </w:tc>
        <w:tc>
          <w:tcPr>
            <w:tcW w:type="dxa" w:w="1944"/>
          </w:tcPr>
          <w:p>
            <w:r/>
            <w:r>
              <w:rPr>
                <w:sz w:val="16"/>
              </w:rPr>
              <w:t>Notebook Bonus 1; Fig. 19</w:t>
            </w:r>
          </w:p>
        </w:tc>
      </w:tr>
      <w:tr>
        <w:tc>
          <w:tcPr>
            <w:tcW w:type="dxa" w:w="2520"/>
            <w:shd w:fill="EEF4F8"/>
          </w:tcPr>
          <w:p>
            <w:r/>
            <w:r>
              <w:rPr>
                <w:sz w:val="16"/>
              </w:rPr>
              <w:t>Bonus 2 — PCA reasoning</w:t>
            </w:r>
          </w:p>
        </w:tc>
        <w:tc>
          <w:tcPr>
            <w:tcW w:type="dxa" w:w="4824"/>
            <w:shd w:fill="EEF4F8"/>
          </w:tcPr>
          <w:p>
            <w:r/>
            <w:r>
              <w:rPr>
                <w:sz w:val="16"/>
              </w:rPr>
              <w:t>When PCA applies, why it was wrong here, and the interpretability trade-off</w:t>
            </w:r>
          </w:p>
        </w:tc>
        <w:tc>
          <w:tcPr>
            <w:tcW w:type="dxa" w:w="1944"/>
            <w:shd w:fill="EEF4F8"/>
          </w:tcPr>
          <w:p>
            <w:r/>
            <w:r>
              <w:rPr>
                <w:sz w:val="16"/>
              </w:rPr>
              <w:t>Notebook Bonus 2</w:t>
            </w:r>
          </w:p>
        </w:tc>
      </w:tr>
    </w:tbl>
    <w:p>
      <w:pPr>
        <w:spacing w:after="80"/>
      </w:pPr>
    </w:p>
    <w:p>
      <w:pPr>
        <w:pStyle w:val="Heading2"/>
      </w:pPr>
      <w:r>
        <w:t>Supplementary project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2520"/>
            <w:shd w:fill="1B4965"/>
          </w:tcPr>
          <w:p>
            <w:r/>
            <w:r>
              <w:rPr>
                <w:b/>
                <w:color w:val="FFFFFF"/>
                <w:sz w:val="16"/>
              </w:rPr>
              <w:t>Supplementary requirement</w:t>
            </w:r>
          </w:p>
        </w:tc>
        <w:tc>
          <w:tcPr>
            <w:tcW w:type="dxa" w:w="4824"/>
            <w:shd w:fill="1B4965"/>
          </w:tcPr>
          <w:p>
            <w:r/>
            <w:r>
              <w:rPr>
                <w:b/>
                <w:color w:val="FFFFFF"/>
                <w:sz w:val="16"/>
              </w:rPr>
              <w:t>How it was addressed</w:t>
            </w:r>
          </w:p>
        </w:tc>
        <w:tc>
          <w:tcPr>
            <w:tcW w:type="dxa" w:w="1944"/>
            <w:shd w:fill="1B4965"/>
          </w:tcPr>
          <w:p>
            <w:r/>
            <w:r>
              <w:rPr>
                <w:b/>
                <w:color w:val="FFFFFF"/>
                <w:sz w:val="16"/>
              </w:rPr>
              <w:t>Location</w:t>
            </w:r>
          </w:p>
        </w:tc>
      </w:tr>
      <w:tr>
        <w:tc>
          <w:tcPr>
            <w:tcW w:type="dxa" w:w="2520"/>
          </w:tcPr>
          <w:p>
            <w:r/>
            <w:r>
              <w:rPr>
                <w:sz w:val="16"/>
              </w:rPr>
              <w:t>Health Score = Σ(Metric × Weight)</w:t>
            </w:r>
          </w:p>
        </w:tc>
        <w:tc>
          <w:tcPr>
            <w:tcW w:type="dxa" w:w="4824"/>
          </w:tcPr>
          <w:p>
            <w:r/>
            <w:r>
              <w:rPr>
                <w:sz w:val="16"/>
              </w:rPr>
              <w:t>4 metrics scored 0–100; weights derived from standardised coefficients on the training split only</w:t>
            </w:r>
          </w:p>
        </w:tc>
        <w:tc>
          <w:tcPr>
            <w:tcW w:type="dxa" w:w="1944"/>
          </w:tcPr>
          <w:p>
            <w:r/>
            <w:r>
              <w:rPr>
                <w:sz w:val="16"/>
              </w:rPr>
              <w:t>Report §7–8</w:t>
            </w:r>
          </w:p>
        </w:tc>
      </w:tr>
      <w:tr>
        <w:tc>
          <w:tcPr>
            <w:tcW w:type="dxa" w:w="2520"/>
            <w:shd w:fill="EEF4F8"/>
          </w:tcPr>
          <w:p>
            <w:r/>
            <w:r>
              <w:rPr>
                <w:sz w:val="16"/>
              </w:rPr>
              <w:t>Premium for every individual</w:t>
            </w:r>
          </w:p>
        </w:tc>
        <w:tc>
          <w:tcPr>
            <w:tcW w:type="dxa" w:w="4824"/>
            <w:shd w:fill="EEF4F8"/>
          </w:tcPr>
          <w:p>
            <w:r/>
            <w:r>
              <w:rPr>
                <w:sz w:val="16"/>
              </w:rPr>
              <w:t>All 1,200 customers priced out-of-fold; premium = predicted cost × 1.23</w:t>
            </w:r>
          </w:p>
        </w:tc>
        <w:tc>
          <w:tcPr>
            <w:tcW w:type="dxa" w:w="1944"/>
            <w:shd w:fill="EEF4F8"/>
          </w:tcPr>
          <w:p>
            <w:r/>
            <w:r>
              <w:rPr>
                <w:sz w:val="16"/>
              </w:rPr>
              <w:t>healthwise_enriched.csv</w:t>
            </w:r>
          </w:p>
        </w:tc>
      </w:tr>
      <w:tr>
        <w:tc>
          <w:tcPr>
            <w:tcW w:type="dxa" w:w="2520"/>
          </w:tcPr>
          <w:p>
            <w:r/>
            <w:r>
              <w:rPr>
                <w:sz w:val="16"/>
              </w:rPr>
              <w:t>Individual premium explanation</w:t>
            </w:r>
          </w:p>
        </w:tc>
        <w:tc>
          <w:tcPr>
            <w:tcW w:type="dxa" w:w="4824"/>
          </w:tcPr>
          <w:p>
            <w:r/>
            <w:r>
              <w:rPr>
                <w:sz w:val="16"/>
              </w:rPr>
              <w:t>1,096 distinct plain-English explanations generated from each customer's own attributes</w:t>
            </w:r>
          </w:p>
        </w:tc>
        <w:tc>
          <w:tcPr>
            <w:tcW w:type="dxa" w:w="1944"/>
          </w:tcPr>
          <w:p>
            <w:r/>
            <w:r>
              <w:rPr>
                <w:sz w:val="16"/>
              </w:rPr>
              <w:t>Report §16</w:t>
            </w:r>
          </w:p>
        </w:tc>
      </w:tr>
      <w:tr>
        <w:tc>
          <w:tcPr>
            <w:tcW w:type="dxa" w:w="2520"/>
            <w:shd w:fill="EEF4F8"/>
          </w:tcPr>
          <w:p>
            <w:r/>
            <w:r>
              <w:rPr>
                <w:sz w:val="16"/>
              </w:rPr>
              <w:t>Smoker vs non-smoker analysis</w:t>
            </w:r>
          </w:p>
        </w:tc>
        <w:tc>
          <w:tcPr>
            <w:tcW w:type="dxa" w:w="4824"/>
            <w:shd w:fill="EEF4F8"/>
          </w:tcPr>
          <w:p>
            <w:r/>
            <w:r>
              <w:rPr>
                <w:sz w:val="16"/>
              </w:rPr>
              <w:t>Quantified across counts, age, BMI, Health Score, charge, premium and tier mix</w:t>
            </w:r>
          </w:p>
        </w:tc>
        <w:tc>
          <w:tcPr>
            <w:tcW w:type="dxa" w:w="1944"/>
            <w:shd w:fill="EEF4F8"/>
          </w:tcPr>
          <w:p>
            <w:r/>
            <w:r>
              <w:rPr>
                <w:sz w:val="16"/>
              </w:rPr>
              <w:t>Report §10; Fig. 10</w:t>
            </w:r>
          </w:p>
        </w:tc>
      </w:tr>
      <w:tr>
        <w:tc>
          <w:tcPr>
            <w:tcW w:type="dxa" w:w="2520"/>
          </w:tcPr>
          <w:p>
            <w:r/>
            <w:r>
              <w:rPr>
                <w:sz w:val="16"/>
              </w:rPr>
              <w:t>Bias–variance (empirical)</w:t>
            </w:r>
          </w:p>
        </w:tc>
        <w:tc>
          <w:tcPr>
            <w:tcW w:type="dxa" w:w="4824"/>
          </w:tcPr>
          <w:p>
            <w:r/>
            <w:r>
              <w:rPr>
                <w:sz w:val="16"/>
              </w:rPr>
              <w:t>Learning curves, complexity curves, CV variability, train/test gaps per model</w:t>
            </w:r>
          </w:p>
        </w:tc>
        <w:tc>
          <w:tcPr>
            <w:tcW w:type="dxa" w:w="1944"/>
          </w:tcPr>
          <w:p>
            <w:r/>
            <w:r>
              <w:rPr>
                <w:sz w:val="16"/>
              </w:rPr>
              <w:t>Report §13; Fig. 14</w:t>
            </w:r>
          </w:p>
        </w:tc>
      </w:tr>
      <w:tr>
        <w:tc>
          <w:tcPr>
            <w:tcW w:type="dxa" w:w="2520"/>
            <w:shd w:fill="EEF4F8"/>
          </w:tcPr>
          <w:p>
            <w:r/>
            <w:r>
              <w:rPr>
                <w:sz w:val="16"/>
              </w:rPr>
              <w:t>Fairness and limitations</w:t>
            </w:r>
          </w:p>
        </w:tc>
        <w:tc>
          <w:tcPr>
            <w:tcW w:type="dxa" w:w="4824"/>
            <w:shd w:fill="EEF4F8"/>
          </w:tcPr>
          <w:p>
            <w:r/>
            <w:r>
              <w:rPr>
                <w:sz w:val="16"/>
              </w:rPr>
              <w:t>Error parity by sex/region/age/BMI; sex recommended for exclusion; 7 limitations stated</w:t>
            </w:r>
          </w:p>
        </w:tc>
        <w:tc>
          <w:tcPr>
            <w:tcW w:type="dxa" w:w="1944"/>
            <w:shd w:fill="EEF4F8"/>
          </w:tcPr>
          <w:p>
            <w:r/>
            <w:r>
              <w:rPr>
                <w:sz w:val="16"/>
              </w:rPr>
              <w:t>Report §18; Fig. 18</w:t>
            </w:r>
          </w:p>
        </w:tc>
      </w:tr>
      <w:tr>
        <w:tc>
          <w:tcPr>
            <w:tcW w:type="dxa" w:w="2520"/>
          </w:tcPr>
          <w:p>
            <w:r/>
            <w:r>
              <w:rPr>
                <w:sz w:val="16"/>
              </w:rPr>
              <w:t>Raw → cleaned → engineered → modelling</w:t>
            </w:r>
          </w:p>
        </w:tc>
        <w:tc>
          <w:tcPr>
            <w:tcW w:type="dxa" w:w="4824"/>
          </w:tcPr>
          <w:p>
            <w:r/>
            <w:r>
              <w:rPr>
                <w:sz w:val="16"/>
              </w:rPr>
              <w:t>Four distinct layers maintained and exported separately</w:t>
            </w:r>
          </w:p>
        </w:tc>
        <w:tc>
          <w:tcPr>
            <w:tcW w:type="dxa" w:w="1944"/>
          </w:tcPr>
          <w:p>
            <w:r/>
            <w:r>
              <w:rPr>
                <w:sz w:val="16"/>
              </w:rPr>
              <w:t>Report §5–6</w:t>
            </w:r>
          </w:p>
        </w:tc>
      </w:tr>
      <w:tr>
        <w:tc>
          <w:tcPr>
            <w:tcW w:type="dxa" w:w="2520"/>
            <w:shd w:fill="EEF4F8"/>
          </w:tcPr>
          <w:p>
            <w:r/>
            <w:r>
              <w:rPr>
                <w:sz w:val="16"/>
              </w:rPr>
              <w:t>Data dictionary</w:t>
            </w:r>
          </w:p>
        </w:tc>
        <w:tc>
          <w:tcPr>
            <w:tcW w:type="dxa" w:w="4824"/>
            <w:shd w:fill="EEF4F8"/>
          </w:tcPr>
          <w:p>
            <w:r/>
            <w:r>
              <w:rPr>
                <w:sz w:val="16"/>
              </w:rPr>
              <w:t>Every final column documented by layer and meaning</w:t>
            </w:r>
          </w:p>
        </w:tc>
        <w:tc>
          <w:tcPr>
            <w:tcW w:type="dxa" w:w="1944"/>
            <w:shd w:fill="EEF4F8"/>
          </w:tcPr>
          <w:p>
            <w:r/>
            <w:r>
              <w:rPr>
                <w:sz w:val="16"/>
              </w:rPr>
              <w:t>data_dictionary.csv</w:t>
            </w:r>
          </w:p>
        </w:tc>
      </w:tr>
      <w:tr>
        <w:tc>
          <w:tcPr>
            <w:tcW w:type="dxa" w:w="2520"/>
          </w:tcPr>
          <w:p>
            <w:r/>
            <w:r>
              <w:rPr>
                <w:sz w:val="16"/>
              </w:rPr>
              <w:t>Interactive GUI/dashboard</w:t>
            </w:r>
          </w:p>
        </w:tc>
        <w:tc>
          <w:tcPr>
            <w:tcW w:type="dxa" w:w="4824"/>
          </w:tcPr>
          <w:p>
            <w:r/>
            <w:r>
              <w:rPr>
                <w:sz w:val="16"/>
              </w:rPr>
              <w:t>8 tabs: overview, explorer, health score, premiums, classification, regression, bias-variance, calculator</w:t>
            </w:r>
          </w:p>
        </w:tc>
        <w:tc>
          <w:tcPr>
            <w:tcW w:type="dxa" w:w="1944"/>
          </w:tcPr>
          <w:p>
            <w:r/>
            <w:r>
              <w:rPr>
                <w:sz w:val="16"/>
              </w:rPr>
              <w:t>app.py</w:t>
            </w:r>
          </w:p>
        </w:tc>
      </w:tr>
    </w:tbl>
    <w:p>
      <w:pPr>
        <w:spacing w:after="80"/>
      </w:pPr>
    </w:p>
    <w:p>
      <w:r>
        <w:br w:type="page"/>
      </w:r>
    </w:p>
    <w:p>
      <w:pPr>
        <w:pStyle w:val="Heading1"/>
      </w:pPr>
      <w:r>
        <w:t>3. Dataset Overview</w:t>
      </w:r>
    </w:p>
    <w:p>
      <w:pPr>
        <w:spacing w:after="120"/>
      </w:pPr>
      <w:r>
        <w:rPr>
          <w:b w:val="0"/>
          <w:i w:val="0"/>
          <w:sz w:val="21"/>
        </w:rPr>
        <w:t>Each row is one customer's annual policy record: their demographic and health profile, the medical charge they incurred over the year, and the risk tier HealthWise assigned them. The brief described roughly 1,200 rows and 16 columns; the supplied file carries 1,203 rows and 17 columns, because both target variables are present alongside the 15 profile fields.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1B4965"/>
          </w:tcPr>
          <w:p>
            <w:r/>
            <w:r>
              <w:rPr>
                <w:b/>
                <w:color w:val="FFFFFF"/>
                <w:sz w:val="16"/>
              </w:rPr>
              <w:t>Column</w:t>
            </w:r>
          </w:p>
        </w:tc>
        <w:tc>
          <w:tcPr>
            <w:tcW w:type="dxa" w:w="1224"/>
            <w:shd w:fill="1B4965"/>
          </w:tcPr>
          <w:p>
            <w:r/>
            <w:r>
              <w:rPr>
                <w:b/>
                <w:color w:val="FFFFFF"/>
                <w:sz w:val="16"/>
              </w:rPr>
              <w:t>Type</w:t>
            </w:r>
          </w:p>
        </w:tc>
        <w:tc>
          <w:tcPr>
            <w:tcW w:type="dxa" w:w="2880"/>
            <w:shd w:fill="1B4965"/>
          </w:tcPr>
          <w:p>
            <w:r/>
            <w:r>
              <w:rPr>
                <w:b/>
                <w:color w:val="FFFFFF"/>
                <w:sz w:val="16"/>
              </w:rPr>
              <w:t>Meaning</w:t>
            </w:r>
          </w:p>
        </w:tc>
        <w:tc>
          <w:tcPr>
            <w:tcW w:type="dxa" w:w="3456"/>
            <w:shd w:fill="1B4965"/>
          </w:tcPr>
          <w:p>
            <w:r/>
            <w:r>
              <w:rPr>
                <w:b/>
                <w:color w:val="FFFFFF"/>
                <w:sz w:val="16"/>
              </w:rPr>
              <w:t>Verdict</w:t>
            </w:r>
          </w:p>
        </w:tc>
      </w:tr>
      <w:tr>
        <w:tc>
          <w:tcPr>
            <w:tcW w:type="dxa" w:w="1728"/>
          </w:tcPr>
          <w:p>
            <w:r/>
            <w:r>
              <w:rPr>
                <w:sz w:val="16"/>
              </w:rPr>
              <w:t>customer_id</w:t>
            </w:r>
          </w:p>
        </w:tc>
        <w:tc>
          <w:tcPr>
            <w:tcW w:type="dxa" w:w="1224"/>
          </w:tcPr>
          <w:p>
            <w:r/>
            <w:r>
              <w:rPr>
                <w:sz w:val="16"/>
              </w:rPr>
              <w:t>ID</w:t>
            </w:r>
          </w:p>
        </w:tc>
        <w:tc>
          <w:tcPr>
            <w:tcW w:type="dxa" w:w="2880"/>
          </w:tcPr>
          <w:p>
            <w:r/>
            <w:r>
              <w:rPr>
                <w:sz w:val="16"/>
              </w:rPr>
              <w:t>Unique customer reference</w:t>
            </w:r>
          </w:p>
        </w:tc>
        <w:tc>
          <w:tcPr>
            <w:tcW w:type="dxa" w:w="3456"/>
          </w:tcPr>
          <w:p>
            <w:r/>
            <w:r>
              <w:rPr>
                <w:sz w:val="16"/>
              </w:rPr>
              <w:t>Dropped — identifier</w:t>
            </w:r>
          </w:p>
        </w:tc>
      </w:tr>
      <w:tr>
        <w:tc>
          <w:tcPr>
            <w:tcW w:type="dxa" w:w="1728"/>
            <w:shd w:fill="EEF4F8"/>
          </w:tcPr>
          <w:p>
            <w:r/>
            <w:r>
              <w:rPr>
                <w:sz w:val="16"/>
              </w:rPr>
              <w:t>age</w:t>
            </w:r>
          </w:p>
        </w:tc>
        <w:tc>
          <w:tcPr>
            <w:tcW w:type="dxa" w:w="1224"/>
            <w:shd w:fill="EEF4F8"/>
          </w:tcPr>
          <w:p>
            <w:r/>
            <w:r>
              <w:rPr>
                <w:sz w:val="16"/>
              </w:rPr>
              <w:t>Numeric</w:t>
            </w:r>
          </w:p>
        </w:tc>
        <w:tc>
          <w:tcPr>
            <w:tcW w:type="dxa" w:w="2880"/>
            <w:shd w:fill="EEF4F8"/>
          </w:tcPr>
          <w:p>
            <w:r/>
            <w:r>
              <w:rPr>
                <w:sz w:val="16"/>
              </w:rPr>
              <w:t>Age in years (18–64)</w:t>
            </w:r>
          </w:p>
        </w:tc>
        <w:tc>
          <w:tcPr>
            <w:tcW w:type="dxa" w:w="3456"/>
            <w:shd w:fill="EEF4F8"/>
          </w:tcPr>
          <w:p>
            <w:r/>
            <w:r>
              <w:rPr>
                <w:sz w:val="16"/>
              </w:rPr>
              <w:t>KEPT — strong driver</w:t>
            </w:r>
          </w:p>
        </w:tc>
      </w:tr>
      <w:tr>
        <w:tc>
          <w:tcPr>
            <w:tcW w:type="dxa" w:w="1728"/>
          </w:tcPr>
          <w:p>
            <w:r/>
            <w:r>
              <w:rPr>
                <w:sz w:val="16"/>
              </w:rPr>
              <w:t>sex</w:t>
            </w:r>
          </w:p>
        </w:tc>
        <w:tc>
          <w:tcPr>
            <w:tcW w:type="dxa" w:w="1224"/>
          </w:tcPr>
          <w:p>
            <w:r/>
            <w:r>
              <w:rPr>
                <w:sz w:val="16"/>
              </w:rPr>
              <w:t>Categorical</w:t>
            </w:r>
          </w:p>
        </w:tc>
        <w:tc>
          <w:tcPr>
            <w:tcW w:type="dxa" w:w="2880"/>
          </w:tcPr>
          <w:p>
            <w:r/>
            <w:r>
              <w:rPr>
                <w:sz w:val="16"/>
              </w:rPr>
              <w:t>male / female</w:t>
            </w:r>
          </w:p>
        </w:tc>
        <w:tc>
          <w:tcPr>
            <w:tcW w:type="dxa" w:w="3456"/>
          </w:tcPr>
          <w:p>
            <w:r/>
            <w:r>
              <w:rPr>
                <w:sz w:val="16"/>
              </w:rPr>
              <w:t>Kept, but excluded from production (see §18)</w:t>
            </w:r>
          </w:p>
        </w:tc>
      </w:tr>
      <w:tr>
        <w:tc>
          <w:tcPr>
            <w:tcW w:type="dxa" w:w="1728"/>
            <w:shd w:fill="EEF4F8"/>
          </w:tcPr>
          <w:p>
            <w:r/>
            <w:r>
              <w:rPr>
                <w:sz w:val="16"/>
              </w:rPr>
              <w:t>bmi</w:t>
            </w:r>
          </w:p>
        </w:tc>
        <w:tc>
          <w:tcPr>
            <w:tcW w:type="dxa" w:w="1224"/>
            <w:shd w:fill="EEF4F8"/>
          </w:tcPr>
          <w:p>
            <w:r/>
            <w:r>
              <w:rPr>
                <w:sz w:val="16"/>
              </w:rPr>
              <w:t>Numeric</w:t>
            </w:r>
          </w:p>
        </w:tc>
        <w:tc>
          <w:tcPr>
            <w:tcW w:type="dxa" w:w="2880"/>
            <w:shd w:fill="EEF4F8"/>
          </w:tcPr>
          <w:p>
            <w:r/>
            <w:r>
              <w:rPr>
                <w:sz w:val="16"/>
              </w:rPr>
              <w:t>Body Mass Index (18 missing)</w:t>
            </w:r>
          </w:p>
        </w:tc>
        <w:tc>
          <w:tcPr>
            <w:tcW w:type="dxa" w:w="3456"/>
            <w:shd w:fill="EEF4F8"/>
          </w:tcPr>
          <w:p>
            <w:r/>
            <w:r>
              <w:rPr>
                <w:sz w:val="16"/>
              </w:rPr>
              <w:t>KEPT — strong driver</w:t>
            </w:r>
          </w:p>
        </w:tc>
      </w:tr>
      <w:tr>
        <w:tc>
          <w:tcPr>
            <w:tcW w:type="dxa" w:w="1728"/>
          </w:tcPr>
          <w:p>
            <w:r/>
            <w:r>
              <w:rPr>
                <w:sz w:val="16"/>
              </w:rPr>
              <w:t>weight_kg</w:t>
            </w:r>
          </w:p>
        </w:tc>
        <w:tc>
          <w:tcPr>
            <w:tcW w:type="dxa" w:w="1224"/>
          </w:tcPr>
          <w:p>
            <w:r/>
            <w:r>
              <w:rPr>
                <w:sz w:val="16"/>
              </w:rPr>
              <w:t>Numeric</w:t>
            </w:r>
          </w:p>
        </w:tc>
        <w:tc>
          <w:tcPr>
            <w:tcW w:type="dxa" w:w="2880"/>
          </w:tcPr>
          <w:p>
            <w:r/>
            <w:r>
              <w:rPr>
                <w:sz w:val="16"/>
              </w:rPr>
              <w:t>Weight in kg</w:t>
            </w:r>
          </w:p>
        </w:tc>
        <w:tc>
          <w:tcPr>
            <w:tcW w:type="dxa" w:w="3456"/>
          </w:tcPr>
          <w:p>
            <w:r/>
            <w:r>
              <w:rPr>
                <w:sz w:val="16"/>
              </w:rPr>
              <w:t>Dropped — redundant with bmi (r=0.987)</w:t>
            </w:r>
          </w:p>
        </w:tc>
      </w:tr>
      <w:tr>
        <w:tc>
          <w:tcPr>
            <w:tcW w:type="dxa" w:w="1728"/>
            <w:shd w:fill="EEF4F8"/>
          </w:tcPr>
          <w:p>
            <w:r/>
            <w:r>
              <w:rPr>
                <w:sz w:val="16"/>
              </w:rPr>
              <w:t>children</w:t>
            </w:r>
          </w:p>
        </w:tc>
        <w:tc>
          <w:tcPr>
            <w:tcW w:type="dxa" w:w="1224"/>
            <w:shd w:fill="EEF4F8"/>
          </w:tcPr>
          <w:p>
            <w:r/>
            <w:r>
              <w:rPr>
                <w:sz w:val="16"/>
              </w:rPr>
              <w:t>Numeric</w:t>
            </w:r>
          </w:p>
        </w:tc>
        <w:tc>
          <w:tcPr>
            <w:tcW w:type="dxa" w:w="2880"/>
            <w:shd w:fill="EEF4F8"/>
          </w:tcPr>
          <w:p>
            <w:r/>
            <w:r>
              <w:rPr>
                <w:sz w:val="16"/>
              </w:rPr>
              <w:t>Number of dependents (0–4)</w:t>
            </w:r>
          </w:p>
        </w:tc>
        <w:tc>
          <w:tcPr>
            <w:tcW w:type="dxa" w:w="3456"/>
            <w:shd w:fill="EEF4F8"/>
          </w:tcPr>
          <w:p>
            <w:r/>
            <w:r>
              <w:rPr>
                <w:sz w:val="16"/>
              </w:rPr>
              <w:t>KEPT — modest effect</w:t>
            </w:r>
          </w:p>
        </w:tc>
      </w:tr>
      <w:tr>
        <w:tc>
          <w:tcPr>
            <w:tcW w:type="dxa" w:w="1728"/>
          </w:tcPr>
          <w:p>
            <w:r/>
            <w:r>
              <w:rPr>
                <w:sz w:val="16"/>
              </w:rPr>
              <w:t>smoker</w:t>
            </w:r>
          </w:p>
        </w:tc>
        <w:tc>
          <w:tcPr>
            <w:tcW w:type="dxa" w:w="1224"/>
          </w:tcPr>
          <w:p>
            <w:r/>
            <w:r>
              <w:rPr>
                <w:sz w:val="16"/>
              </w:rPr>
              <w:t>Categorical</w:t>
            </w:r>
          </w:p>
        </w:tc>
        <w:tc>
          <w:tcPr>
            <w:tcW w:type="dxa" w:w="2880"/>
          </w:tcPr>
          <w:p>
            <w:r/>
            <w:r>
              <w:rPr>
                <w:sz w:val="16"/>
              </w:rPr>
              <w:t>yes / no</w:t>
            </w:r>
          </w:p>
        </w:tc>
        <w:tc>
          <w:tcPr>
            <w:tcW w:type="dxa" w:w="3456"/>
          </w:tcPr>
          <w:p>
            <w:r/>
            <w:r>
              <w:rPr>
                <w:sz w:val="16"/>
              </w:rPr>
              <w:t>KEPT — dominant driver</w:t>
            </w:r>
          </w:p>
        </w:tc>
      </w:tr>
      <w:tr>
        <w:tc>
          <w:tcPr>
            <w:tcW w:type="dxa" w:w="1728"/>
            <w:shd w:fill="EEF4F8"/>
          </w:tcPr>
          <w:p>
            <w:r/>
            <w:r>
              <w:rPr>
                <w:sz w:val="16"/>
              </w:rPr>
              <w:t>region</w:t>
            </w:r>
          </w:p>
        </w:tc>
        <w:tc>
          <w:tcPr>
            <w:tcW w:type="dxa" w:w="1224"/>
            <w:shd w:fill="EEF4F8"/>
          </w:tcPr>
          <w:p>
            <w:r/>
            <w:r>
              <w:rPr>
                <w:sz w:val="16"/>
              </w:rPr>
              <w:t>Categorical</w:t>
            </w:r>
          </w:p>
        </w:tc>
        <w:tc>
          <w:tcPr>
            <w:tcW w:type="dxa" w:w="2880"/>
            <w:shd w:fill="EEF4F8"/>
          </w:tcPr>
          <w:p>
            <w:r/>
            <w:r>
              <w:rPr>
                <w:sz w:val="16"/>
              </w:rPr>
              <w:t>north / south / east / west</w:t>
            </w:r>
          </w:p>
        </w:tc>
        <w:tc>
          <w:tcPr>
            <w:tcW w:type="dxa" w:w="3456"/>
            <w:shd w:fill="EEF4F8"/>
          </w:tcPr>
          <w:p>
            <w:r/>
            <w:r>
              <w:rPr>
                <w:sz w:val="16"/>
              </w:rPr>
              <w:t>Kept; shown to be irrelevant</w:t>
            </w:r>
          </w:p>
        </w:tc>
      </w:tr>
      <w:tr>
        <w:tc>
          <w:tcPr>
            <w:tcW w:type="dxa" w:w="1728"/>
          </w:tcPr>
          <w:p>
            <w:r/>
            <w:r>
              <w:rPr>
                <w:sz w:val="16"/>
              </w:rPr>
              <w:t>exercise_freq</w:t>
            </w:r>
          </w:p>
        </w:tc>
        <w:tc>
          <w:tcPr>
            <w:tcW w:type="dxa" w:w="1224"/>
          </w:tcPr>
          <w:p>
            <w:r/>
            <w:r>
              <w:rPr>
                <w:sz w:val="16"/>
              </w:rPr>
              <w:t>Numeric</w:t>
            </w:r>
          </w:p>
        </w:tc>
        <w:tc>
          <w:tcPr>
            <w:tcW w:type="dxa" w:w="2880"/>
          </w:tcPr>
          <w:p>
            <w:r/>
            <w:r>
              <w:rPr>
                <w:sz w:val="16"/>
              </w:rPr>
              <w:t>Workouts per week 0–7 (18 missing)</w:t>
            </w:r>
          </w:p>
        </w:tc>
        <w:tc>
          <w:tcPr>
            <w:tcW w:type="dxa" w:w="3456"/>
          </w:tcPr>
          <w:p>
            <w:r/>
            <w:r>
              <w:rPr>
                <w:sz w:val="16"/>
              </w:rPr>
              <w:t>KEPT — weak, absorbed by bmi</w:t>
            </w:r>
          </w:p>
        </w:tc>
      </w:tr>
      <w:tr>
        <w:tc>
          <w:tcPr>
            <w:tcW w:type="dxa" w:w="1728"/>
            <w:shd w:fill="EEF4F8"/>
          </w:tcPr>
          <w:p>
            <w:r/>
            <w:r>
              <w:rPr>
                <w:sz w:val="16"/>
              </w:rPr>
              <w:t>date_of_birth</w:t>
            </w:r>
          </w:p>
        </w:tc>
        <w:tc>
          <w:tcPr>
            <w:tcW w:type="dxa" w:w="1224"/>
            <w:shd w:fill="EEF4F8"/>
          </w:tcPr>
          <w:p>
            <w:r/>
            <w:r>
              <w:rPr>
                <w:sz w:val="16"/>
              </w:rPr>
              <w:t>Date</w:t>
            </w:r>
          </w:p>
        </w:tc>
        <w:tc>
          <w:tcPr>
            <w:tcW w:type="dxa" w:w="2880"/>
            <w:shd w:fill="EEF4F8"/>
          </w:tcPr>
          <w:p>
            <w:r/>
            <w:r>
              <w:rPr>
                <w:sz w:val="16"/>
              </w:rPr>
              <w:t>Date of birth</w:t>
            </w:r>
          </w:p>
        </w:tc>
        <w:tc>
          <w:tcPr>
            <w:tcW w:type="dxa" w:w="3456"/>
            <w:shd w:fill="EEF4F8"/>
          </w:tcPr>
          <w:p>
            <w:r/>
            <w:r>
              <w:rPr>
                <w:sz w:val="16"/>
              </w:rPr>
              <w:t>Dropped — redundant with age (r=1.000)</w:t>
            </w:r>
          </w:p>
        </w:tc>
      </w:tr>
      <w:tr>
        <w:tc>
          <w:tcPr>
            <w:tcW w:type="dxa" w:w="1728"/>
          </w:tcPr>
          <w:p>
            <w:r/>
            <w:r>
              <w:rPr>
                <w:sz w:val="16"/>
              </w:rPr>
              <w:t>favorite_color</w:t>
            </w:r>
          </w:p>
        </w:tc>
        <w:tc>
          <w:tcPr>
            <w:tcW w:type="dxa" w:w="1224"/>
          </w:tcPr>
          <w:p>
            <w:r/>
            <w:r>
              <w:rPr>
                <w:sz w:val="16"/>
              </w:rPr>
              <w:t>Categorical</w:t>
            </w:r>
          </w:p>
        </w:tc>
        <w:tc>
          <w:tcPr>
            <w:tcW w:type="dxa" w:w="2880"/>
          </w:tcPr>
          <w:p>
            <w:r/>
            <w:r>
              <w:rPr>
                <w:sz w:val="16"/>
              </w:rPr>
              <w:t>Favourite colour</w:t>
            </w:r>
          </w:p>
        </w:tc>
        <w:tc>
          <w:tcPr>
            <w:tcW w:type="dxa" w:w="3456"/>
          </w:tcPr>
          <w:p>
            <w:r/>
            <w:r>
              <w:rPr>
                <w:sz w:val="16"/>
              </w:rPr>
              <w:t>Dropped — irrelevant (p=0.761)</w:t>
            </w:r>
          </w:p>
        </w:tc>
      </w:tr>
      <w:tr>
        <w:tc>
          <w:tcPr>
            <w:tcW w:type="dxa" w:w="1728"/>
            <w:shd w:fill="EEF4F8"/>
          </w:tcPr>
          <w:p>
            <w:r/>
            <w:r>
              <w:rPr>
                <w:sz w:val="16"/>
              </w:rPr>
              <w:t>zodiac_sign</w:t>
            </w:r>
          </w:p>
        </w:tc>
        <w:tc>
          <w:tcPr>
            <w:tcW w:type="dxa" w:w="1224"/>
            <w:shd w:fill="EEF4F8"/>
          </w:tcPr>
          <w:p>
            <w:r/>
            <w:r>
              <w:rPr>
                <w:sz w:val="16"/>
              </w:rPr>
              <w:t>Categorical</w:t>
            </w:r>
          </w:p>
        </w:tc>
        <w:tc>
          <w:tcPr>
            <w:tcW w:type="dxa" w:w="2880"/>
            <w:shd w:fill="EEF4F8"/>
          </w:tcPr>
          <w:p>
            <w:r/>
            <w:r>
              <w:rPr>
                <w:sz w:val="16"/>
              </w:rPr>
              <w:t>Star sign, 12 categories</w:t>
            </w:r>
          </w:p>
        </w:tc>
        <w:tc>
          <w:tcPr>
            <w:tcW w:type="dxa" w:w="3456"/>
            <w:shd w:fill="EEF4F8"/>
          </w:tcPr>
          <w:p>
            <w:r/>
            <w:r>
              <w:rPr>
                <w:sz w:val="16"/>
              </w:rPr>
              <w:t>Dropped — irrelevant (p=0.822)</w:t>
            </w:r>
          </w:p>
        </w:tc>
      </w:tr>
      <w:tr>
        <w:tc>
          <w:tcPr>
            <w:tcW w:type="dxa" w:w="1728"/>
          </w:tcPr>
          <w:p>
            <w:r/>
            <w:r>
              <w:rPr>
                <w:sz w:val="16"/>
              </w:rPr>
              <w:t>lucky_number</w:t>
            </w:r>
          </w:p>
        </w:tc>
        <w:tc>
          <w:tcPr>
            <w:tcW w:type="dxa" w:w="1224"/>
          </w:tcPr>
          <w:p>
            <w:r/>
            <w:r>
              <w:rPr>
                <w:sz w:val="16"/>
              </w:rPr>
              <w:t>Numeric</w:t>
            </w:r>
          </w:p>
        </w:tc>
        <w:tc>
          <w:tcPr>
            <w:tcW w:type="dxa" w:w="2880"/>
          </w:tcPr>
          <w:p>
            <w:r/>
            <w:r>
              <w:rPr>
                <w:sz w:val="16"/>
              </w:rPr>
              <w:t>Self-chosen number 1–99</w:t>
            </w:r>
          </w:p>
        </w:tc>
        <w:tc>
          <w:tcPr>
            <w:tcW w:type="dxa" w:w="3456"/>
          </w:tcPr>
          <w:p>
            <w:r/>
            <w:r>
              <w:rPr>
                <w:sz w:val="16"/>
              </w:rPr>
              <w:t>Dropped — irrelevant (r=−0.031)</w:t>
            </w:r>
          </w:p>
        </w:tc>
      </w:tr>
      <w:tr>
        <w:tc>
          <w:tcPr>
            <w:tcW w:type="dxa" w:w="1728"/>
            <w:shd w:fill="EEF4F8"/>
          </w:tcPr>
          <w:p>
            <w:r/>
            <w:r>
              <w:rPr>
                <w:sz w:val="16"/>
              </w:rPr>
              <w:t>preferred_contact</w:t>
            </w:r>
          </w:p>
        </w:tc>
        <w:tc>
          <w:tcPr>
            <w:tcW w:type="dxa" w:w="1224"/>
            <w:shd w:fill="EEF4F8"/>
          </w:tcPr>
          <w:p>
            <w:r/>
            <w:r>
              <w:rPr>
                <w:sz w:val="16"/>
              </w:rPr>
              <w:t>Categorical</w:t>
            </w:r>
          </w:p>
        </w:tc>
        <w:tc>
          <w:tcPr>
            <w:tcW w:type="dxa" w:w="2880"/>
            <w:shd w:fill="EEF4F8"/>
          </w:tcPr>
          <w:p>
            <w:r/>
            <w:r>
              <w:rPr>
                <w:sz w:val="16"/>
              </w:rPr>
              <w:t>email / phone / sms</w:t>
            </w:r>
          </w:p>
        </w:tc>
        <w:tc>
          <w:tcPr>
            <w:tcW w:type="dxa" w:w="3456"/>
            <w:shd w:fill="EEF4F8"/>
          </w:tcPr>
          <w:p>
            <w:r/>
            <w:r>
              <w:rPr>
                <w:sz w:val="16"/>
              </w:rPr>
              <w:t>Dropped — irrelevant (p=0.861)</w:t>
            </w:r>
          </w:p>
        </w:tc>
      </w:tr>
      <w:tr>
        <w:tc>
          <w:tcPr>
            <w:tcW w:type="dxa" w:w="1728"/>
          </w:tcPr>
          <w:p>
            <w:r/>
            <w:r>
              <w:rPr>
                <w:sz w:val="16"/>
              </w:rPr>
              <w:t>marketing_opt_in</w:t>
            </w:r>
          </w:p>
        </w:tc>
        <w:tc>
          <w:tcPr>
            <w:tcW w:type="dxa" w:w="1224"/>
          </w:tcPr>
          <w:p>
            <w:r/>
            <w:r>
              <w:rPr>
                <w:sz w:val="16"/>
              </w:rPr>
              <w:t>Categorical</w:t>
            </w:r>
          </w:p>
        </w:tc>
        <w:tc>
          <w:tcPr>
            <w:tcW w:type="dxa" w:w="2880"/>
          </w:tcPr>
          <w:p>
            <w:r/>
            <w:r>
              <w:rPr>
                <w:sz w:val="16"/>
              </w:rPr>
              <w:t>Marketing consent</w:t>
            </w:r>
          </w:p>
        </w:tc>
        <w:tc>
          <w:tcPr>
            <w:tcW w:type="dxa" w:w="3456"/>
          </w:tcPr>
          <w:p>
            <w:r/>
            <w:r>
              <w:rPr>
                <w:sz w:val="16"/>
              </w:rPr>
              <w:t>Dropped — irrelevant (p=0.443)</w:t>
            </w:r>
          </w:p>
        </w:tc>
      </w:tr>
      <w:tr>
        <w:tc>
          <w:tcPr>
            <w:tcW w:type="dxa" w:w="1728"/>
            <w:shd w:fill="EEF4F8"/>
          </w:tcPr>
          <w:p>
            <w:r/>
            <w:r>
              <w:rPr>
                <w:sz w:val="16"/>
              </w:rPr>
              <w:t>annual_charge</w:t>
            </w:r>
          </w:p>
        </w:tc>
        <w:tc>
          <w:tcPr>
            <w:tcW w:type="dxa" w:w="1224"/>
            <w:shd w:fill="EEF4F8"/>
          </w:tcPr>
          <w:p>
            <w:r/>
            <w:r>
              <w:rPr>
                <w:sz w:val="16"/>
              </w:rPr>
              <w:t>Numeric</w:t>
            </w:r>
          </w:p>
        </w:tc>
        <w:tc>
          <w:tcPr>
            <w:tcW w:type="dxa" w:w="2880"/>
            <w:shd w:fill="EEF4F8"/>
          </w:tcPr>
          <w:p>
            <w:r/>
            <w:r>
              <w:rPr>
                <w:sz w:val="16"/>
              </w:rPr>
              <w:t>Annual medical charge</w:t>
            </w:r>
          </w:p>
        </w:tc>
        <w:tc>
          <w:tcPr>
            <w:tcW w:type="dxa" w:w="3456"/>
            <w:shd w:fill="EEF4F8"/>
          </w:tcPr>
          <w:p>
            <w:r/>
            <w:r>
              <w:rPr>
                <w:sz w:val="16"/>
              </w:rPr>
              <w:t>TARGET — Stage 2</w:t>
            </w:r>
          </w:p>
        </w:tc>
      </w:tr>
      <w:tr>
        <w:tc>
          <w:tcPr>
            <w:tcW w:type="dxa" w:w="1728"/>
          </w:tcPr>
          <w:p>
            <w:r/>
            <w:r>
              <w:rPr>
                <w:sz w:val="16"/>
              </w:rPr>
              <w:t>risk_tier</w:t>
            </w:r>
          </w:p>
        </w:tc>
        <w:tc>
          <w:tcPr>
            <w:tcW w:type="dxa" w:w="1224"/>
          </w:tcPr>
          <w:p>
            <w:r/>
            <w:r>
              <w:rPr>
                <w:sz w:val="16"/>
              </w:rPr>
              <w:t>Categorical</w:t>
            </w:r>
          </w:p>
        </w:tc>
        <w:tc>
          <w:tcPr>
            <w:tcW w:type="dxa" w:w="2880"/>
          </w:tcPr>
          <w:p>
            <w:r/>
            <w:r>
              <w:rPr>
                <w:sz w:val="16"/>
              </w:rPr>
              <w:t>Low / Medium / High</w:t>
            </w:r>
          </w:p>
        </w:tc>
        <w:tc>
          <w:tcPr>
            <w:tcW w:type="dxa" w:w="3456"/>
          </w:tcPr>
          <w:p>
            <w:r/>
            <w:r>
              <w:rPr>
                <w:sz w:val="16"/>
              </w:rPr>
              <w:t>TARGET — Stage 1</w:t>
            </w:r>
          </w:p>
        </w:tc>
      </w:tr>
    </w:tbl>
    <w:p>
      <w:pPr>
        <w:spacing w:after="80"/>
      </w:pPr>
    </w:p>
    <w:p>
      <w:r>
        <w:br w:type="page"/>
      </w:r>
    </w:p>
    <w:p>
      <w:pPr>
        <w:pStyle w:val="Heading1"/>
      </w:pPr>
      <w:r>
        <w:t>4. Data Quality Audit</w:t>
      </w:r>
    </w:p>
    <w:p>
      <w:pPr>
        <w:pStyle w:val="Heading2"/>
      </w:pPr>
      <w:r>
        <w:t>4.1 Structural findings</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fill="1B4965"/>
          </w:tcPr>
          <w:p>
            <w:r/>
            <w:r>
              <w:rPr>
                <w:b/>
                <w:color w:val="FFFFFF"/>
                <w:sz w:val="17"/>
              </w:rPr>
              <w:t>Check</w:t>
            </w:r>
          </w:p>
        </w:tc>
        <w:tc>
          <w:tcPr>
            <w:tcW w:type="dxa" w:w="1872"/>
            <w:shd w:fill="1B4965"/>
          </w:tcPr>
          <w:p>
            <w:r/>
            <w:r>
              <w:rPr>
                <w:b/>
                <w:color w:val="FFFFFF"/>
                <w:sz w:val="17"/>
              </w:rPr>
              <w:t>Result</w:t>
            </w:r>
          </w:p>
        </w:tc>
        <w:tc>
          <w:tcPr>
            <w:tcW w:type="dxa" w:w="4680"/>
            <w:shd w:fill="1B4965"/>
          </w:tcPr>
          <w:p>
            <w:r/>
            <w:r>
              <w:rPr>
                <w:b/>
                <w:color w:val="FFFFFF"/>
                <w:sz w:val="17"/>
              </w:rPr>
              <w:t>Action taken</w:t>
            </w:r>
          </w:p>
        </w:tc>
      </w:tr>
      <w:tr>
        <w:tc>
          <w:tcPr>
            <w:tcW w:type="dxa" w:w="2736"/>
          </w:tcPr>
          <w:p>
            <w:r/>
            <w:r>
              <w:rPr>
                <w:sz w:val="17"/>
              </w:rPr>
              <w:t>Rows / columns (raw)</w:t>
            </w:r>
          </w:p>
        </w:tc>
        <w:tc>
          <w:tcPr>
            <w:tcW w:type="dxa" w:w="1872"/>
          </w:tcPr>
          <w:p>
            <w:r/>
            <w:r>
              <w:rPr>
                <w:sz w:val="17"/>
              </w:rPr>
              <w:t>1,203 × 17</w:t>
            </w:r>
          </w:p>
        </w:tc>
        <w:tc>
          <w:tcPr>
            <w:tcW w:type="dxa" w:w="4680"/>
          </w:tcPr>
          <w:p>
            <w:r/>
            <w:r>
              <w:rPr>
                <w:sz w:val="17"/>
              </w:rPr>
              <w:t>—</w:t>
            </w:r>
          </w:p>
        </w:tc>
      </w:tr>
      <w:tr>
        <w:tc>
          <w:tcPr>
            <w:tcW w:type="dxa" w:w="2736"/>
            <w:shd w:fill="EEF4F8"/>
          </w:tcPr>
          <w:p>
            <w:r/>
            <w:r>
              <w:rPr>
                <w:sz w:val="17"/>
              </w:rPr>
              <w:t>Exact duplicate rows</w:t>
            </w:r>
          </w:p>
        </w:tc>
        <w:tc>
          <w:tcPr>
            <w:tcW w:type="dxa" w:w="1872"/>
            <w:shd w:fill="EEF4F8"/>
          </w:tcPr>
          <w:p>
            <w:r/>
            <w:r>
              <w:rPr>
                <w:sz w:val="17"/>
              </w:rPr>
              <w:t>3</w:t>
            </w:r>
          </w:p>
        </w:tc>
        <w:tc>
          <w:tcPr>
            <w:tcW w:type="dxa" w:w="4680"/>
            <w:shd w:fill="EEF4F8"/>
          </w:tcPr>
          <w:p>
            <w:r/>
            <w:r>
              <w:rPr>
                <w:sz w:val="17"/>
              </w:rPr>
              <w:t>Removed (same customer_id, all fields identical)</w:t>
            </w:r>
          </w:p>
        </w:tc>
      </w:tr>
      <w:tr>
        <w:tc>
          <w:tcPr>
            <w:tcW w:type="dxa" w:w="2736"/>
          </w:tcPr>
          <w:p>
            <w:r/>
            <w:r>
              <w:rPr>
                <w:sz w:val="17"/>
              </w:rPr>
              <w:t>Missing — bmi</w:t>
            </w:r>
          </w:p>
        </w:tc>
        <w:tc>
          <w:tcPr>
            <w:tcW w:type="dxa" w:w="1872"/>
          </w:tcPr>
          <w:p>
            <w:r/>
            <w:r>
              <w:rPr>
                <w:sz w:val="17"/>
              </w:rPr>
              <w:t>18 (1.50%)</w:t>
            </w:r>
          </w:p>
        </w:tc>
        <w:tc>
          <w:tcPr>
            <w:tcW w:type="dxa" w:w="4680"/>
          </w:tcPr>
          <w:p>
            <w:r/>
            <w:r>
              <w:rPr>
                <w:sz w:val="17"/>
              </w:rPr>
              <w:t>Median-imputed (28.0)</w:t>
            </w:r>
          </w:p>
        </w:tc>
      </w:tr>
      <w:tr>
        <w:tc>
          <w:tcPr>
            <w:tcW w:type="dxa" w:w="2736"/>
            <w:shd w:fill="EEF4F8"/>
          </w:tcPr>
          <w:p>
            <w:r/>
            <w:r>
              <w:rPr>
                <w:sz w:val="17"/>
              </w:rPr>
              <w:t>Missing — exercise_freq</w:t>
            </w:r>
          </w:p>
        </w:tc>
        <w:tc>
          <w:tcPr>
            <w:tcW w:type="dxa" w:w="1872"/>
            <w:shd w:fill="EEF4F8"/>
          </w:tcPr>
          <w:p>
            <w:r/>
            <w:r>
              <w:rPr>
                <w:sz w:val="17"/>
              </w:rPr>
              <w:t>18 (1.50%)</w:t>
            </w:r>
          </w:p>
        </w:tc>
        <w:tc>
          <w:tcPr>
            <w:tcW w:type="dxa" w:w="4680"/>
            <w:shd w:fill="EEF4F8"/>
          </w:tcPr>
          <w:p>
            <w:r/>
            <w:r>
              <w:rPr>
                <w:sz w:val="17"/>
              </w:rPr>
              <w:t>Median-imputed (4.0)</w:t>
            </w:r>
          </w:p>
        </w:tc>
      </w:tr>
      <w:tr>
        <w:tc>
          <w:tcPr>
            <w:tcW w:type="dxa" w:w="2736"/>
          </w:tcPr>
          <w:p>
            <w:r/>
            <w:r>
              <w:rPr>
                <w:sz w:val="17"/>
              </w:rPr>
              <w:t>Missing after treatment</w:t>
            </w:r>
          </w:p>
        </w:tc>
        <w:tc>
          <w:tcPr>
            <w:tcW w:type="dxa" w:w="1872"/>
          </w:tcPr>
          <w:p>
            <w:r/>
            <w:r>
              <w:rPr>
                <w:sz w:val="17"/>
              </w:rPr>
              <w:t>0</w:t>
            </w:r>
          </w:p>
        </w:tc>
        <w:tc>
          <w:tcPr>
            <w:tcW w:type="dxa" w:w="4680"/>
          </w:tcPr>
          <w:p>
            <w:r/>
            <w:r>
              <w:rPr>
                <w:sz w:val="17"/>
              </w:rPr>
              <w:t>Complete</w:t>
            </w:r>
          </w:p>
        </w:tc>
      </w:tr>
      <w:tr>
        <w:tc>
          <w:tcPr>
            <w:tcW w:type="dxa" w:w="2736"/>
            <w:shd w:fill="EEF4F8"/>
          </w:tcPr>
          <w:p>
            <w:r/>
            <w:r>
              <w:rPr>
                <w:sz w:val="17"/>
              </w:rPr>
              <w:t>Negative / impossible ages</w:t>
            </w:r>
          </w:p>
        </w:tc>
        <w:tc>
          <w:tcPr>
            <w:tcW w:type="dxa" w:w="1872"/>
            <w:shd w:fill="EEF4F8"/>
          </w:tcPr>
          <w:p>
            <w:r/>
            <w:r>
              <w:rPr>
                <w:sz w:val="17"/>
              </w:rPr>
              <w:t>0</w:t>
            </w:r>
          </w:p>
        </w:tc>
        <w:tc>
          <w:tcPr>
            <w:tcW w:type="dxa" w:w="4680"/>
            <w:shd w:fill="EEF4F8"/>
          </w:tcPr>
          <w:p>
            <w:r/>
            <w:r>
              <w:rPr>
                <w:sz w:val="17"/>
              </w:rPr>
              <w:t>None found</w:t>
            </w:r>
          </w:p>
        </w:tc>
      </w:tr>
      <w:tr>
        <w:tc>
          <w:tcPr>
            <w:tcW w:type="dxa" w:w="2736"/>
          </w:tcPr>
          <w:p>
            <w:r/>
            <w:r>
              <w:rPr>
                <w:sz w:val="17"/>
              </w:rPr>
              <w:t>Impossible BMI values</w:t>
            </w:r>
          </w:p>
        </w:tc>
        <w:tc>
          <w:tcPr>
            <w:tcW w:type="dxa" w:w="1872"/>
          </w:tcPr>
          <w:p>
            <w:r/>
            <w:r>
              <w:rPr>
                <w:sz w:val="17"/>
              </w:rPr>
              <w:t>0</w:t>
            </w:r>
          </w:p>
        </w:tc>
        <w:tc>
          <w:tcPr>
            <w:tcW w:type="dxa" w:w="4680"/>
          </w:tcPr>
          <w:p>
            <w:r/>
            <w:r>
              <w:rPr>
                <w:sz w:val="17"/>
              </w:rPr>
              <w:t>None found</w:t>
            </w:r>
          </w:p>
        </w:tc>
      </w:tr>
      <w:tr>
        <w:tc>
          <w:tcPr>
            <w:tcW w:type="dxa" w:w="2736"/>
            <w:shd w:fill="EEF4F8"/>
          </w:tcPr>
          <w:p>
            <w:r/>
            <w:r>
              <w:rPr>
                <w:sz w:val="17"/>
              </w:rPr>
              <w:t>Non-positive charges</w:t>
            </w:r>
          </w:p>
        </w:tc>
        <w:tc>
          <w:tcPr>
            <w:tcW w:type="dxa" w:w="1872"/>
            <w:shd w:fill="EEF4F8"/>
          </w:tcPr>
          <w:p>
            <w:r/>
            <w:r>
              <w:rPr>
                <w:sz w:val="17"/>
              </w:rPr>
              <w:t>0</w:t>
            </w:r>
          </w:p>
        </w:tc>
        <w:tc>
          <w:tcPr>
            <w:tcW w:type="dxa" w:w="4680"/>
            <w:shd w:fill="EEF4F8"/>
          </w:tcPr>
          <w:p>
            <w:r/>
            <w:r>
              <w:rPr>
                <w:sz w:val="17"/>
              </w:rPr>
              <w:t>None found</w:t>
            </w:r>
          </w:p>
        </w:tc>
      </w:tr>
      <w:tr>
        <w:tc>
          <w:tcPr>
            <w:tcW w:type="dxa" w:w="2736"/>
          </w:tcPr>
          <w:p>
            <w:r/>
            <w:r>
              <w:rPr>
                <w:sz w:val="17"/>
              </w:rPr>
              <w:t>exercise_freq outside 0–7</w:t>
            </w:r>
          </w:p>
        </w:tc>
        <w:tc>
          <w:tcPr>
            <w:tcW w:type="dxa" w:w="1872"/>
          </w:tcPr>
          <w:p>
            <w:r/>
            <w:r>
              <w:rPr>
                <w:sz w:val="17"/>
              </w:rPr>
              <w:t>0</w:t>
            </w:r>
          </w:p>
        </w:tc>
        <w:tc>
          <w:tcPr>
            <w:tcW w:type="dxa" w:w="4680"/>
          </w:tcPr>
          <w:p>
            <w:r/>
            <w:r>
              <w:rPr>
                <w:sz w:val="17"/>
              </w:rPr>
              <w:t>None found</w:t>
            </w:r>
          </w:p>
        </w:tc>
      </w:tr>
      <w:tr>
        <w:tc>
          <w:tcPr>
            <w:tcW w:type="dxa" w:w="2736"/>
            <w:shd w:fill="EEF4F8"/>
          </w:tcPr>
          <w:p>
            <w:r/>
            <w:r>
              <w:rPr>
                <w:sz w:val="17"/>
              </w:rPr>
              <w:t>Inconsistent category labels</w:t>
            </w:r>
          </w:p>
        </w:tc>
        <w:tc>
          <w:tcPr>
            <w:tcW w:type="dxa" w:w="1872"/>
            <w:shd w:fill="EEF4F8"/>
          </w:tcPr>
          <w:p>
            <w:r/>
            <w:r>
              <w:rPr>
                <w:sz w:val="17"/>
              </w:rPr>
              <w:t>0</w:t>
            </w:r>
          </w:p>
        </w:tc>
        <w:tc>
          <w:tcPr>
            <w:tcW w:type="dxa" w:w="4680"/>
            <w:shd w:fill="EEF4F8"/>
          </w:tcPr>
          <w:p>
            <w:r/>
            <w:r>
              <w:rPr>
                <w:sz w:val="17"/>
              </w:rPr>
              <w:t>Defensive strip/case-normalisation applied anyway</w:t>
            </w:r>
          </w:p>
        </w:tc>
      </w:tr>
    </w:tbl>
    <w:p>
      <w:pPr>
        <w:spacing w:after="80"/>
      </w:pPr>
    </w:p>
    <w:p>
      <w:pPr>
        <w:pStyle w:val="Heading2"/>
      </w:pPr>
      <w:r>
        <w:t>4.2 Outlier analysis — flagged, not deleted</w:t>
      </w:r>
    </w:p>
    <w:p>
      <w:pPr>
        <w:spacing w:after="120"/>
      </w:pPr>
      <w:r>
        <w:rPr>
          <w:b w:val="0"/>
          <w:i w:val="0"/>
          <w:sz w:val="21"/>
        </w:rPr>
        <w:t>An IQR scan flags outliers only in annual_charge (265 rows, 22.1%). These are not data errors — they are the high-cost smokers, and they are precisely the customers the business needs to price correctly. Deleting them would remove the very signal the project exists to capture. Every outlier was retained; the tier structure handles them instead.</w:t>
      </w:r>
    </w:p>
    <w:p>
      <w:r>
        <w:br w:type="page"/>
      </w:r>
    </w:p>
    <w:p>
      <w:pPr>
        <w:pStyle w:val="Heading1"/>
      </w:pPr>
      <w:r>
        <w:t>5. Data Cleaning and the Four Data Layers</w:t>
      </w:r>
    </w:p>
    <w:p>
      <w:pPr>
        <w:spacing w:after="120"/>
      </w:pPr>
      <w:r>
        <w:rPr>
          <w:b w:val="0"/>
          <w:i w:val="0"/>
          <w:sz w:val="21"/>
        </w:rPr>
        <w:t>Four distinct dataset versions are maintained throughout, so that no transformation is irreversible and every figure can be traced to the layer it was computed 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944"/>
            <w:shd w:fill="1B4965"/>
          </w:tcPr>
          <w:p>
            <w:r/>
            <w:r>
              <w:rPr>
                <w:b/>
                <w:color w:val="FFFFFF"/>
                <w:sz w:val="17"/>
              </w:rPr>
              <w:t>Layer</w:t>
            </w:r>
          </w:p>
        </w:tc>
        <w:tc>
          <w:tcPr>
            <w:tcW w:type="dxa" w:w="4104"/>
            <w:shd w:fill="1B4965"/>
          </w:tcPr>
          <w:p>
            <w:r/>
            <w:r>
              <w:rPr>
                <w:b/>
                <w:color w:val="FFFFFF"/>
                <w:sz w:val="17"/>
              </w:rPr>
              <w:t>Contents</w:t>
            </w:r>
          </w:p>
        </w:tc>
        <w:tc>
          <w:tcPr>
            <w:tcW w:type="dxa" w:w="1584"/>
            <w:shd w:fill="1B4965"/>
          </w:tcPr>
          <w:p>
            <w:r/>
            <w:r>
              <w:rPr>
                <w:b/>
                <w:color w:val="FFFFFF"/>
                <w:sz w:val="17"/>
              </w:rPr>
              <w:t>Rows × cols</w:t>
            </w:r>
          </w:p>
        </w:tc>
        <w:tc>
          <w:tcPr>
            <w:tcW w:type="dxa" w:w="1656"/>
            <w:shd w:fill="1B4965"/>
          </w:tcPr>
          <w:p>
            <w:r/>
            <w:r>
              <w:rPr>
                <w:b/>
                <w:color w:val="FFFFFF"/>
                <w:sz w:val="17"/>
              </w:rPr>
              <w:t>Artefact</w:t>
            </w:r>
          </w:p>
        </w:tc>
      </w:tr>
      <w:tr>
        <w:tc>
          <w:tcPr>
            <w:tcW w:type="dxa" w:w="1944"/>
          </w:tcPr>
          <w:p>
            <w:r/>
            <w:r>
              <w:rPr>
                <w:sz w:val="17"/>
              </w:rPr>
              <w:t>RAW</w:t>
            </w:r>
          </w:p>
        </w:tc>
        <w:tc>
          <w:tcPr>
            <w:tcW w:type="dxa" w:w="4104"/>
          </w:tcPr>
          <w:p>
            <w:r/>
            <w:r>
              <w:rPr>
                <w:sz w:val="17"/>
              </w:rPr>
              <w:t>The supplied file, never modified</w:t>
            </w:r>
          </w:p>
        </w:tc>
        <w:tc>
          <w:tcPr>
            <w:tcW w:type="dxa" w:w="1584"/>
          </w:tcPr>
          <w:p>
            <w:r/>
            <w:r>
              <w:rPr>
                <w:sz w:val="17"/>
              </w:rPr>
              <w:t>1,203 × 17</w:t>
            </w:r>
          </w:p>
        </w:tc>
        <w:tc>
          <w:tcPr>
            <w:tcW w:type="dxa" w:w="1656"/>
          </w:tcPr>
          <w:p>
            <w:r/>
            <w:r>
              <w:rPr>
                <w:sz w:val="17"/>
              </w:rPr>
              <w:t>healthwise.csv</w:t>
            </w:r>
          </w:p>
        </w:tc>
      </w:tr>
      <w:tr>
        <w:tc>
          <w:tcPr>
            <w:tcW w:type="dxa" w:w="1944"/>
            <w:shd w:fill="EEF4F8"/>
          </w:tcPr>
          <w:p>
            <w:r/>
            <w:r>
              <w:rPr>
                <w:sz w:val="17"/>
              </w:rPr>
              <w:t>CLEANED</w:t>
            </w:r>
          </w:p>
        </w:tc>
        <w:tc>
          <w:tcPr>
            <w:tcW w:type="dxa" w:w="4104"/>
            <w:shd w:fill="EEF4F8"/>
          </w:tcPr>
          <w:p>
            <w:r/>
            <w:r>
              <w:rPr>
                <w:sz w:val="17"/>
              </w:rPr>
              <w:t>Duplicates removed, missing values imputed, labels standardised</w:t>
            </w:r>
          </w:p>
        </w:tc>
        <w:tc>
          <w:tcPr>
            <w:tcW w:type="dxa" w:w="1584"/>
            <w:shd w:fill="EEF4F8"/>
          </w:tcPr>
          <w:p>
            <w:r/>
            <w:r>
              <w:rPr>
                <w:sz w:val="17"/>
              </w:rPr>
              <w:t>1,200 × 17</w:t>
            </w:r>
          </w:p>
        </w:tc>
        <w:tc>
          <w:tcPr>
            <w:tcW w:type="dxa" w:w="1656"/>
            <w:shd w:fill="EEF4F8"/>
          </w:tcPr>
          <w:p>
            <w:r/>
            <w:r>
              <w:rPr>
                <w:sz w:val="17"/>
              </w:rPr>
              <w:t>healthwise_cleaned.csv</w:t>
            </w:r>
          </w:p>
        </w:tc>
      </w:tr>
      <w:tr>
        <w:tc>
          <w:tcPr>
            <w:tcW w:type="dxa" w:w="1944"/>
          </w:tcPr>
          <w:p>
            <w:r/>
            <w:r>
              <w:rPr>
                <w:sz w:val="17"/>
              </w:rPr>
              <w:t>FEATURE-ENGINEERED</w:t>
            </w:r>
          </w:p>
        </w:tc>
        <w:tc>
          <w:tcPr>
            <w:tcW w:type="dxa" w:w="4104"/>
          </w:tcPr>
          <w:p>
            <w:r/>
            <w:r>
              <w:rPr>
                <w:sz w:val="17"/>
              </w:rPr>
              <w:t>+ Health Score, component scores, bands, age/BMI groups</w:t>
            </w:r>
          </w:p>
        </w:tc>
        <w:tc>
          <w:tcPr>
            <w:tcW w:type="dxa" w:w="1584"/>
          </w:tcPr>
          <w:p>
            <w:r/>
            <w:r>
              <w:rPr>
                <w:sz w:val="17"/>
              </w:rPr>
              <w:t>1,200 × 27</w:t>
            </w:r>
          </w:p>
        </w:tc>
        <w:tc>
          <w:tcPr>
            <w:tcW w:type="dxa" w:w="1656"/>
          </w:tcPr>
          <w:p>
            <w:r/>
            <w:r>
              <w:rPr>
                <w:sz w:val="17"/>
              </w:rPr>
              <w:t>in-memory / enriched export</w:t>
            </w:r>
          </w:p>
        </w:tc>
      </w:tr>
      <w:tr>
        <w:tc>
          <w:tcPr>
            <w:tcW w:type="dxa" w:w="1944"/>
            <w:shd w:fill="EEF4F8"/>
          </w:tcPr>
          <w:p>
            <w:r/>
            <w:r>
              <w:rPr>
                <w:sz w:val="17"/>
              </w:rPr>
              <w:t>MODELLING</w:t>
            </w:r>
          </w:p>
        </w:tc>
        <w:tc>
          <w:tcPr>
            <w:tcW w:type="dxa" w:w="4104"/>
            <w:shd w:fill="EEF4F8"/>
          </w:tcPr>
          <w:p>
            <w:r/>
            <w:r>
              <w:rPr>
                <w:sz w:val="17"/>
              </w:rPr>
              <w:t>Junk and redundant columns removed, categoricals one-hot encoded</w:t>
            </w:r>
          </w:p>
        </w:tc>
        <w:tc>
          <w:tcPr>
            <w:tcW w:type="dxa" w:w="1584"/>
            <w:shd w:fill="EEF4F8"/>
          </w:tcPr>
          <w:p>
            <w:r/>
            <w:r>
              <w:rPr>
                <w:sz w:val="17"/>
              </w:rPr>
              <w:t>1,200 × 11</w:t>
            </w:r>
          </w:p>
        </w:tc>
        <w:tc>
          <w:tcPr>
            <w:tcW w:type="dxa" w:w="1656"/>
            <w:shd w:fill="EEF4F8"/>
          </w:tcPr>
          <w:p>
            <w:r/>
            <w:r>
              <w:rPr>
                <w:sz w:val="17"/>
              </w:rPr>
              <w:t>in-memory</w:t>
            </w:r>
          </w:p>
        </w:tc>
      </w:tr>
    </w:tbl>
    <w:p>
      <w:pPr>
        <w:spacing w:after="80"/>
      </w:pPr>
    </w:p>
    <w:p>
      <w:pPr>
        <w:pStyle w:val="Heading2"/>
      </w:pPr>
      <w:r>
        <w:t>Imputation rationale</w:t>
      </w:r>
    </w:p>
    <w:p>
      <w:pPr>
        <w:spacing w:after="120"/>
      </w:pPr>
      <w:r>
        <w:rPr>
          <w:b w:val="0"/>
          <w:i w:val="0"/>
          <w:sz w:val="21"/>
        </w:rPr>
        <w:t>Median imputation was chosen over the mean for both affected columns, and over row deletion for all of them. Dropping 36 rows would discard 3% of an already modest dataset including every other valid field on those customers. The median is robust to the right skew in bmi (mean 27.87 vs median 28.00, with a tail reaching BMI 44.4), so imputed customers land on a genuinely typical value rather than one pulled toward the obese tail. For exercise_freq — a bounded 0–7 integer count — the median also guarantees a physically meaningful value, whereas a mean of 4.00 workouts is not something a customer can actually do.</w:t>
      </w:r>
    </w:p>
    <w:p>
      <w:r>
        <w:br w:type="page"/>
      </w:r>
    </w:p>
    <w:p>
      <w:pPr>
        <w:pStyle w:val="Heading1"/>
      </w:pPr>
      <w:r>
        <w:t>6. Feature Engineering and the Feature Audit</w:t>
      </w:r>
    </w:p>
    <w:p>
      <w:pPr>
        <w:pStyle w:val="Heading2"/>
      </w:pPr>
      <w:r>
        <w:t>6.1 Evidence for dropping columns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944"/>
            <w:shd w:fill="1B4965"/>
          </w:tcPr>
          <w:p>
            <w:r/>
            <w:r>
              <w:rPr>
                <w:b/>
                <w:color w:val="FFFFFF"/>
                <w:sz w:val="16"/>
              </w:rPr>
              <w:t>Categorical feature</w:t>
            </w:r>
          </w:p>
        </w:tc>
        <w:tc>
          <w:tcPr>
            <w:tcW w:type="dxa" w:w="1152"/>
            <w:shd w:fill="1B4965"/>
          </w:tcPr>
          <w:p>
            <w:r/>
            <w:r>
              <w:rPr>
                <w:b/>
                <w:color w:val="FFFFFF"/>
                <w:sz w:val="16"/>
              </w:rPr>
              <w:t>Categories</w:t>
            </w:r>
          </w:p>
        </w:tc>
        <w:tc>
          <w:tcPr>
            <w:tcW w:type="dxa" w:w="1368"/>
            <w:shd w:fill="1B4965"/>
          </w:tcPr>
          <w:p>
            <w:r/>
            <w:r>
              <w:rPr>
                <w:b/>
                <w:color w:val="FFFFFF"/>
                <w:sz w:val="16"/>
              </w:rPr>
              <w:t>Smallest group</w:t>
            </w:r>
          </w:p>
        </w:tc>
        <w:tc>
          <w:tcPr>
            <w:tcW w:type="dxa" w:w="1440"/>
            <w:shd w:fill="1B4965"/>
          </w:tcPr>
          <w:p>
            <w:r/>
            <w:r>
              <w:rPr>
                <w:b/>
                <w:color w:val="FFFFFF"/>
                <w:sz w:val="16"/>
              </w:rPr>
              <w:t>Apparent spread</w:t>
            </w:r>
          </w:p>
        </w:tc>
        <w:tc>
          <w:tcPr>
            <w:tcW w:type="dxa" w:w="1080"/>
            <w:shd w:fill="1B4965"/>
          </w:tcPr>
          <w:p>
            <w:r/>
            <w:r>
              <w:rPr>
                <w:b/>
                <w:color w:val="FFFFFF"/>
                <w:sz w:val="16"/>
              </w:rPr>
              <w:t>ANOVA F</w:t>
            </w:r>
          </w:p>
        </w:tc>
        <w:tc>
          <w:tcPr>
            <w:tcW w:type="dxa" w:w="1224"/>
            <w:shd w:fill="1B4965"/>
          </w:tcPr>
          <w:p>
            <w:r/>
            <w:r>
              <w:rPr>
                <w:b/>
                <w:color w:val="FFFFFF"/>
                <w:sz w:val="16"/>
              </w:rPr>
              <w:t>ANOVA p</w:t>
            </w:r>
          </w:p>
        </w:tc>
        <w:tc>
          <w:tcPr>
            <w:tcW w:type="dxa" w:w="1008"/>
            <w:shd w:fill="1B4965"/>
          </w:tcPr>
          <w:p>
            <w:r/>
            <w:r>
              <w:rPr>
                <w:b/>
                <w:color w:val="FFFFFF"/>
                <w:sz w:val="16"/>
              </w:rPr>
              <w:t>Verdict</w:t>
            </w:r>
          </w:p>
        </w:tc>
      </w:tr>
      <w:tr>
        <w:tc>
          <w:tcPr>
            <w:tcW w:type="dxa" w:w="1944"/>
          </w:tcPr>
          <w:p>
            <w:r/>
            <w:r>
              <w:rPr>
                <w:sz w:val="16"/>
              </w:rPr>
              <w:t>smoker</w:t>
            </w:r>
          </w:p>
        </w:tc>
        <w:tc>
          <w:tcPr>
            <w:tcW w:type="dxa" w:w="1152"/>
          </w:tcPr>
          <w:p>
            <w:pPr>
              <w:jc w:val="right"/>
            </w:pPr>
            <w:r/>
            <w:r>
              <w:rPr>
                <w:sz w:val="16"/>
              </w:rPr>
              <w:t>2</w:t>
            </w:r>
          </w:p>
        </w:tc>
        <w:tc>
          <w:tcPr>
            <w:tcW w:type="dxa" w:w="1368"/>
          </w:tcPr>
          <w:p>
            <w:pPr>
              <w:jc w:val="right"/>
            </w:pPr>
            <w:r/>
            <w:r>
              <w:rPr>
                <w:sz w:val="16"/>
              </w:rPr>
              <w:t>364</w:t>
            </w:r>
          </w:p>
        </w:tc>
        <w:tc>
          <w:tcPr>
            <w:tcW w:type="dxa" w:w="1440"/>
          </w:tcPr>
          <w:p>
            <w:pPr>
              <w:jc w:val="right"/>
            </w:pPr>
            <w:r/>
            <w:r>
              <w:rPr>
                <w:sz w:val="16"/>
              </w:rPr>
              <w:t>97.5%</w:t>
            </w:r>
          </w:p>
        </w:tc>
        <w:tc>
          <w:tcPr>
            <w:tcW w:type="dxa" w:w="1080"/>
          </w:tcPr>
          <w:p>
            <w:pPr>
              <w:jc w:val="right"/>
            </w:pPr>
            <w:r/>
            <w:r>
              <w:rPr>
                <w:sz w:val="16"/>
              </w:rPr>
              <w:t>855.36</w:t>
            </w:r>
          </w:p>
        </w:tc>
        <w:tc>
          <w:tcPr>
            <w:tcW w:type="dxa" w:w="1224"/>
          </w:tcPr>
          <w:p>
            <w:pPr>
              <w:jc w:val="right"/>
            </w:pPr>
            <w:r/>
            <w:r>
              <w:rPr>
                <w:sz w:val="16"/>
              </w:rPr>
              <w:t>2.41e-142</w:t>
            </w:r>
          </w:p>
        </w:tc>
        <w:tc>
          <w:tcPr>
            <w:tcW w:type="dxa" w:w="1008"/>
          </w:tcPr>
          <w:p>
            <w:r/>
            <w:r>
              <w:rPr>
                <w:sz w:val="16"/>
              </w:rPr>
              <w:t>REAL</w:t>
            </w:r>
          </w:p>
        </w:tc>
      </w:tr>
      <w:tr>
        <w:tc>
          <w:tcPr>
            <w:tcW w:type="dxa" w:w="1944"/>
            <w:shd w:fill="EEF4F8"/>
          </w:tcPr>
          <w:p>
            <w:r/>
            <w:r>
              <w:rPr>
                <w:sz w:val="16"/>
              </w:rPr>
              <w:t>zodiac_sign</w:t>
            </w:r>
          </w:p>
        </w:tc>
        <w:tc>
          <w:tcPr>
            <w:tcW w:type="dxa" w:w="1152"/>
            <w:shd w:fill="EEF4F8"/>
          </w:tcPr>
          <w:p>
            <w:pPr>
              <w:jc w:val="right"/>
            </w:pPr>
            <w:r/>
            <w:r>
              <w:rPr>
                <w:sz w:val="16"/>
              </w:rPr>
              <w:t>12</w:t>
            </w:r>
          </w:p>
        </w:tc>
        <w:tc>
          <w:tcPr>
            <w:tcW w:type="dxa" w:w="1368"/>
            <w:shd w:fill="EEF4F8"/>
          </w:tcPr>
          <w:p>
            <w:pPr>
              <w:jc w:val="right"/>
            </w:pPr>
            <w:r/>
            <w:r>
              <w:rPr>
                <w:sz w:val="16"/>
              </w:rPr>
              <w:t>83</w:t>
            </w:r>
          </w:p>
        </w:tc>
        <w:tc>
          <w:tcPr>
            <w:tcW w:type="dxa" w:w="1440"/>
            <w:shd w:fill="EEF4F8"/>
          </w:tcPr>
          <w:p>
            <w:pPr>
              <w:jc w:val="right"/>
            </w:pPr>
            <w:r/>
            <w:r>
              <w:rPr>
                <w:sz w:val="16"/>
              </w:rPr>
              <w:t>17.5%</w:t>
            </w:r>
          </w:p>
        </w:tc>
        <w:tc>
          <w:tcPr>
            <w:tcW w:type="dxa" w:w="1080"/>
            <w:shd w:fill="EEF4F8"/>
          </w:tcPr>
          <w:p>
            <w:pPr>
              <w:jc w:val="right"/>
            </w:pPr>
            <w:r/>
            <w:r>
              <w:rPr>
                <w:sz w:val="16"/>
              </w:rPr>
              <w:t>0.61</w:t>
            </w:r>
          </w:p>
        </w:tc>
        <w:tc>
          <w:tcPr>
            <w:tcW w:type="dxa" w:w="1224"/>
            <w:shd w:fill="EEF4F8"/>
          </w:tcPr>
          <w:p>
            <w:pPr>
              <w:jc w:val="right"/>
            </w:pPr>
            <w:r/>
            <w:r>
              <w:rPr>
                <w:sz w:val="16"/>
              </w:rPr>
              <w:t>0.822</w:t>
            </w:r>
          </w:p>
        </w:tc>
        <w:tc>
          <w:tcPr>
            <w:tcW w:type="dxa" w:w="1008"/>
            <w:shd w:fill="EEF4F8"/>
          </w:tcPr>
          <w:p>
            <w:r/>
            <w:r>
              <w:rPr>
                <w:sz w:val="16"/>
              </w:rPr>
              <w:t>noise</w:t>
            </w:r>
          </w:p>
        </w:tc>
      </w:tr>
      <w:tr>
        <w:tc>
          <w:tcPr>
            <w:tcW w:type="dxa" w:w="1944"/>
          </w:tcPr>
          <w:p>
            <w:r/>
            <w:r>
              <w:rPr>
                <w:sz w:val="16"/>
              </w:rPr>
              <w:t>sex</w:t>
            </w:r>
          </w:p>
        </w:tc>
        <w:tc>
          <w:tcPr>
            <w:tcW w:type="dxa" w:w="1152"/>
          </w:tcPr>
          <w:p>
            <w:pPr>
              <w:jc w:val="right"/>
            </w:pPr>
            <w:r/>
            <w:r>
              <w:rPr>
                <w:sz w:val="16"/>
              </w:rPr>
              <w:t>2</w:t>
            </w:r>
          </w:p>
        </w:tc>
        <w:tc>
          <w:tcPr>
            <w:tcW w:type="dxa" w:w="1368"/>
          </w:tcPr>
          <w:p>
            <w:pPr>
              <w:jc w:val="right"/>
            </w:pPr>
            <w:r/>
            <w:r>
              <w:rPr>
                <w:sz w:val="16"/>
              </w:rPr>
              <w:t>597</w:t>
            </w:r>
          </w:p>
        </w:tc>
        <w:tc>
          <w:tcPr>
            <w:tcW w:type="dxa" w:w="1440"/>
          </w:tcPr>
          <w:p>
            <w:pPr>
              <w:jc w:val="right"/>
            </w:pPr>
            <w:r/>
            <w:r>
              <w:rPr>
                <w:sz w:val="16"/>
              </w:rPr>
              <w:t>10.6%</w:t>
            </w:r>
          </w:p>
        </w:tc>
        <w:tc>
          <w:tcPr>
            <w:tcW w:type="dxa" w:w="1080"/>
          </w:tcPr>
          <w:p>
            <w:pPr>
              <w:jc w:val="right"/>
            </w:pPr>
            <w:r/>
            <w:r>
              <w:rPr>
                <w:sz w:val="16"/>
              </w:rPr>
              <w:t>7.02</w:t>
            </w:r>
          </w:p>
        </w:tc>
        <w:tc>
          <w:tcPr>
            <w:tcW w:type="dxa" w:w="1224"/>
          </w:tcPr>
          <w:p>
            <w:pPr>
              <w:jc w:val="right"/>
            </w:pPr>
            <w:r/>
            <w:r>
              <w:rPr>
                <w:sz w:val="16"/>
              </w:rPr>
              <w:t>0.00819</w:t>
            </w:r>
          </w:p>
        </w:tc>
        <w:tc>
          <w:tcPr>
            <w:tcW w:type="dxa" w:w="1008"/>
          </w:tcPr>
          <w:p>
            <w:r/>
            <w:r>
              <w:rPr>
                <w:sz w:val="16"/>
              </w:rPr>
              <w:t>REAL</w:t>
            </w:r>
          </w:p>
        </w:tc>
      </w:tr>
      <w:tr>
        <w:tc>
          <w:tcPr>
            <w:tcW w:type="dxa" w:w="1944"/>
            <w:shd w:fill="EEF4F8"/>
          </w:tcPr>
          <w:p>
            <w:r/>
            <w:r>
              <w:rPr>
                <w:sz w:val="16"/>
              </w:rPr>
              <w:t>favorite_color</w:t>
            </w:r>
          </w:p>
        </w:tc>
        <w:tc>
          <w:tcPr>
            <w:tcW w:type="dxa" w:w="1152"/>
            <w:shd w:fill="EEF4F8"/>
          </w:tcPr>
          <w:p>
            <w:pPr>
              <w:jc w:val="right"/>
            </w:pPr>
            <w:r/>
            <w:r>
              <w:rPr>
                <w:sz w:val="16"/>
              </w:rPr>
              <w:t>5</w:t>
            </w:r>
          </w:p>
        </w:tc>
        <w:tc>
          <w:tcPr>
            <w:tcW w:type="dxa" w:w="1368"/>
            <w:shd w:fill="EEF4F8"/>
          </w:tcPr>
          <w:p>
            <w:pPr>
              <w:jc w:val="right"/>
            </w:pPr>
            <w:r/>
            <w:r>
              <w:rPr>
                <w:sz w:val="16"/>
              </w:rPr>
              <w:t>230</w:t>
            </w:r>
          </w:p>
        </w:tc>
        <w:tc>
          <w:tcPr>
            <w:tcW w:type="dxa" w:w="1440"/>
            <w:shd w:fill="EEF4F8"/>
          </w:tcPr>
          <w:p>
            <w:pPr>
              <w:jc w:val="right"/>
            </w:pPr>
            <w:r/>
            <w:r>
              <w:rPr>
                <w:sz w:val="16"/>
              </w:rPr>
              <w:t>8.0%</w:t>
            </w:r>
          </w:p>
        </w:tc>
        <w:tc>
          <w:tcPr>
            <w:tcW w:type="dxa" w:w="1080"/>
            <w:shd w:fill="EEF4F8"/>
          </w:tcPr>
          <w:p>
            <w:pPr>
              <w:jc w:val="right"/>
            </w:pPr>
            <w:r/>
            <w:r>
              <w:rPr>
                <w:sz w:val="16"/>
              </w:rPr>
              <w:t>0.47</w:t>
            </w:r>
          </w:p>
        </w:tc>
        <w:tc>
          <w:tcPr>
            <w:tcW w:type="dxa" w:w="1224"/>
            <w:shd w:fill="EEF4F8"/>
          </w:tcPr>
          <w:p>
            <w:pPr>
              <w:jc w:val="right"/>
            </w:pPr>
            <w:r/>
            <w:r>
              <w:rPr>
                <w:sz w:val="16"/>
              </w:rPr>
              <w:t>0.761</w:t>
            </w:r>
          </w:p>
        </w:tc>
        <w:tc>
          <w:tcPr>
            <w:tcW w:type="dxa" w:w="1008"/>
            <w:shd w:fill="EEF4F8"/>
          </w:tcPr>
          <w:p>
            <w:r/>
            <w:r>
              <w:rPr>
                <w:sz w:val="16"/>
              </w:rPr>
              <w:t>noise</w:t>
            </w:r>
          </w:p>
        </w:tc>
      </w:tr>
      <w:tr>
        <w:tc>
          <w:tcPr>
            <w:tcW w:type="dxa" w:w="1944"/>
          </w:tcPr>
          <w:p>
            <w:r/>
            <w:r>
              <w:rPr>
                <w:sz w:val="16"/>
              </w:rPr>
              <w:t>region</w:t>
            </w:r>
          </w:p>
        </w:tc>
        <w:tc>
          <w:tcPr>
            <w:tcW w:type="dxa" w:w="1152"/>
          </w:tcPr>
          <w:p>
            <w:pPr>
              <w:jc w:val="right"/>
            </w:pPr>
            <w:r/>
            <w:r>
              <w:rPr>
                <w:sz w:val="16"/>
              </w:rPr>
              <w:t>4</w:t>
            </w:r>
          </w:p>
        </w:tc>
        <w:tc>
          <w:tcPr>
            <w:tcW w:type="dxa" w:w="1368"/>
          </w:tcPr>
          <w:p>
            <w:pPr>
              <w:jc w:val="right"/>
            </w:pPr>
            <w:r/>
            <w:r>
              <w:rPr>
                <w:sz w:val="16"/>
              </w:rPr>
              <w:t>294</w:t>
            </w:r>
          </w:p>
        </w:tc>
        <w:tc>
          <w:tcPr>
            <w:tcW w:type="dxa" w:w="1440"/>
          </w:tcPr>
          <w:p>
            <w:pPr>
              <w:jc w:val="right"/>
            </w:pPr>
            <w:r/>
            <w:r>
              <w:rPr>
                <w:sz w:val="16"/>
              </w:rPr>
              <w:t>6.8%</w:t>
            </w:r>
          </w:p>
        </w:tc>
        <w:tc>
          <w:tcPr>
            <w:tcW w:type="dxa" w:w="1080"/>
          </w:tcPr>
          <w:p>
            <w:pPr>
              <w:jc w:val="right"/>
            </w:pPr>
            <w:r/>
            <w:r>
              <w:rPr>
                <w:sz w:val="16"/>
              </w:rPr>
              <w:t>0.55</w:t>
            </w:r>
          </w:p>
        </w:tc>
        <w:tc>
          <w:tcPr>
            <w:tcW w:type="dxa" w:w="1224"/>
          </w:tcPr>
          <w:p>
            <w:pPr>
              <w:jc w:val="right"/>
            </w:pPr>
            <w:r/>
            <w:r>
              <w:rPr>
                <w:sz w:val="16"/>
              </w:rPr>
              <w:t>0.647</w:t>
            </w:r>
          </w:p>
        </w:tc>
        <w:tc>
          <w:tcPr>
            <w:tcW w:type="dxa" w:w="1008"/>
          </w:tcPr>
          <w:p>
            <w:r/>
            <w:r>
              <w:rPr>
                <w:sz w:val="16"/>
              </w:rPr>
              <w:t>noise</w:t>
            </w:r>
          </w:p>
        </w:tc>
      </w:tr>
      <w:tr>
        <w:tc>
          <w:tcPr>
            <w:tcW w:type="dxa" w:w="1944"/>
            <w:shd w:fill="EEF4F8"/>
          </w:tcPr>
          <w:p>
            <w:r/>
            <w:r>
              <w:rPr>
                <w:sz w:val="16"/>
              </w:rPr>
              <w:t>marketing_opt_in</w:t>
            </w:r>
          </w:p>
        </w:tc>
        <w:tc>
          <w:tcPr>
            <w:tcW w:type="dxa" w:w="1152"/>
            <w:shd w:fill="EEF4F8"/>
          </w:tcPr>
          <w:p>
            <w:pPr>
              <w:jc w:val="right"/>
            </w:pPr>
            <w:r/>
            <w:r>
              <w:rPr>
                <w:sz w:val="16"/>
              </w:rPr>
              <w:t>2</w:t>
            </w:r>
          </w:p>
        </w:tc>
        <w:tc>
          <w:tcPr>
            <w:tcW w:type="dxa" w:w="1368"/>
            <w:shd w:fill="EEF4F8"/>
          </w:tcPr>
          <w:p>
            <w:pPr>
              <w:jc w:val="right"/>
            </w:pPr>
            <w:r/>
            <w:r>
              <w:rPr>
                <w:sz w:val="16"/>
              </w:rPr>
              <w:t>588</w:t>
            </w:r>
          </w:p>
        </w:tc>
        <w:tc>
          <w:tcPr>
            <w:tcW w:type="dxa" w:w="1440"/>
            <w:shd w:fill="EEF4F8"/>
          </w:tcPr>
          <w:p>
            <w:pPr>
              <w:jc w:val="right"/>
            </w:pPr>
            <w:r/>
            <w:r>
              <w:rPr>
                <w:sz w:val="16"/>
              </w:rPr>
              <w:t>3.1%</w:t>
            </w:r>
          </w:p>
        </w:tc>
        <w:tc>
          <w:tcPr>
            <w:tcW w:type="dxa" w:w="1080"/>
            <w:shd w:fill="EEF4F8"/>
          </w:tcPr>
          <w:p>
            <w:pPr>
              <w:jc w:val="right"/>
            </w:pPr>
            <w:r/>
            <w:r>
              <w:rPr>
                <w:sz w:val="16"/>
              </w:rPr>
              <w:t>0.59</w:t>
            </w:r>
          </w:p>
        </w:tc>
        <w:tc>
          <w:tcPr>
            <w:tcW w:type="dxa" w:w="1224"/>
            <w:shd w:fill="EEF4F8"/>
          </w:tcPr>
          <w:p>
            <w:pPr>
              <w:jc w:val="right"/>
            </w:pPr>
            <w:r/>
            <w:r>
              <w:rPr>
                <w:sz w:val="16"/>
              </w:rPr>
              <w:t>0.443</w:t>
            </w:r>
          </w:p>
        </w:tc>
        <w:tc>
          <w:tcPr>
            <w:tcW w:type="dxa" w:w="1008"/>
            <w:shd w:fill="EEF4F8"/>
          </w:tcPr>
          <w:p>
            <w:r/>
            <w:r>
              <w:rPr>
                <w:sz w:val="16"/>
              </w:rPr>
              <w:t>noise</w:t>
            </w:r>
          </w:p>
        </w:tc>
      </w:tr>
      <w:tr>
        <w:tc>
          <w:tcPr>
            <w:tcW w:type="dxa" w:w="1944"/>
          </w:tcPr>
          <w:p>
            <w:r/>
            <w:r>
              <w:rPr>
                <w:sz w:val="16"/>
              </w:rPr>
              <w:t>preferred_contact</w:t>
            </w:r>
          </w:p>
        </w:tc>
        <w:tc>
          <w:tcPr>
            <w:tcW w:type="dxa" w:w="1152"/>
          </w:tcPr>
          <w:p>
            <w:pPr>
              <w:jc w:val="right"/>
            </w:pPr>
            <w:r/>
            <w:r>
              <w:rPr>
                <w:sz w:val="16"/>
              </w:rPr>
              <w:t>3</w:t>
            </w:r>
          </w:p>
        </w:tc>
        <w:tc>
          <w:tcPr>
            <w:tcW w:type="dxa" w:w="1368"/>
          </w:tcPr>
          <w:p>
            <w:pPr>
              <w:jc w:val="right"/>
            </w:pPr>
            <w:r/>
            <w:r>
              <w:rPr>
                <w:sz w:val="16"/>
              </w:rPr>
              <w:t>383</w:t>
            </w:r>
          </w:p>
        </w:tc>
        <w:tc>
          <w:tcPr>
            <w:tcW w:type="dxa" w:w="1440"/>
          </w:tcPr>
          <w:p>
            <w:pPr>
              <w:jc w:val="right"/>
            </w:pPr>
            <w:r/>
            <w:r>
              <w:rPr>
                <w:sz w:val="16"/>
              </w:rPr>
              <w:t>2.4%</w:t>
            </w:r>
          </w:p>
        </w:tc>
        <w:tc>
          <w:tcPr>
            <w:tcW w:type="dxa" w:w="1080"/>
          </w:tcPr>
          <w:p>
            <w:pPr>
              <w:jc w:val="right"/>
            </w:pPr>
            <w:r/>
            <w:r>
              <w:rPr>
                <w:sz w:val="16"/>
              </w:rPr>
              <w:t>0.15</w:t>
            </w:r>
          </w:p>
        </w:tc>
        <w:tc>
          <w:tcPr>
            <w:tcW w:type="dxa" w:w="1224"/>
          </w:tcPr>
          <w:p>
            <w:pPr>
              <w:jc w:val="right"/>
            </w:pPr>
            <w:r/>
            <w:r>
              <w:rPr>
                <w:sz w:val="16"/>
              </w:rPr>
              <w:t>0.861</w:t>
            </w:r>
          </w:p>
        </w:tc>
        <w:tc>
          <w:tcPr>
            <w:tcW w:type="dxa" w:w="1008"/>
          </w:tcPr>
          <w:p>
            <w:r/>
            <w:r>
              <w:rPr>
                <w:sz w:val="16"/>
              </w:rPr>
              <w:t>noise</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FFF4E6"/>
          </w:tcPr>
          <w:p>
            <w:r/>
            <w:r>
              <w:rPr>
                <w:b/>
                <w:color w:val="1B4965"/>
                <w:sz w:val="20"/>
              </w:rPr>
              <w:t xml:space="preserve">The zodiac trap:  </w:t>
            </w:r>
            <w:r>
              <w:rPr>
                <w:sz w:val="20"/>
              </w:rPr>
              <w:t>zodiac_sign shows the second-largest apparent spread of any categorical column (17.5% of the mean charge) — larger than sex. But it splits 1,200 customers across 12 categories averaging 100 each, and the ANOVA returns p = 0.82. Compare sex: a smaller apparent spread (10.6%) but a real effect (p = 0.008). Ranking features by apparent spread alone would have kept astrology and discarded sex.</w:t>
            </w:r>
          </w:p>
        </w:tc>
      </w:tr>
    </w:tbl>
    <w:p>
      <w:pPr>
        <w:spacing w:after="80"/>
      </w:pPr>
    </w:p>
    <w:p>
      <w:pPr>
        <w:jc w:val="center"/>
      </w:pPr>
      <w:r>
        <w:drawing>
          <wp:inline xmlns:a="http://schemas.openxmlformats.org/drawingml/2006/main" xmlns:pic="http://schemas.openxmlformats.org/drawingml/2006/picture">
            <wp:extent cx="5852160" cy="2302549"/>
            <wp:docPr id="1" name="Picture 1"/>
            <wp:cNvGraphicFramePr>
              <a:graphicFrameLocks noChangeAspect="1"/>
            </wp:cNvGraphicFramePr>
            <a:graphic>
              <a:graphicData uri="http://schemas.openxmlformats.org/drawingml/2006/picture">
                <pic:pic>
                  <pic:nvPicPr>
                    <pic:cNvPr id="0" name="03_feature_audit.png"/>
                    <pic:cNvPicPr/>
                  </pic:nvPicPr>
                  <pic:blipFill>
                    <a:blip r:embed="rId9"/>
                    <a:stretch>
                      <a:fillRect/>
                    </a:stretch>
                  </pic:blipFill>
                  <pic:spPr>
                    <a:xfrm>
                      <a:off x="0" y="0"/>
                      <a:ext cx="5852160" cy="2302549"/>
                    </a:xfrm>
                    <a:prstGeom prst="rect"/>
                  </pic:spPr>
                </pic:pic>
              </a:graphicData>
            </a:graphic>
          </wp:inline>
        </w:drawing>
      </w:r>
    </w:p>
    <w:p>
      <w:pPr>
        <w:spacing w:after="220"/>
        <w:jc w:val="center"/>
      </w:pPr>
      <w:r>
        <w:rPr>
          <w:i/>
          <w:color w:val="5A6A78"/>
          <w:sz w:val="17"/>
        </w:rPr>
        <w:t>Figure 1 — Feature audit. Left: numeric correlations with annual charge; lucky_number sits at the noise floor. Right: apparent categorical spread against statistical significance — green passes ANOVA, red does not.</w:t>
      </w:r>
    </w:p>
    <w:p>
      <w:pPr>
        <w:jc w:val="center"/>
      </w:pPr>
      <w:r>
        <w:drawing>
          <wp:inline xmlns:a="http://schemas.openxmlformats.org/drawingml/2006/main" xmlns:pic="http://schemas.openxmlformats.org/drawingml/2006/picture">
            <wp:extent cx="5852160" cy="3167982"/>
            <wp:docPr id="2" name="Picture 2"/>
            <wp:cNvGraphicFramePr>
              <a:graphicFrameLocks noChangeAspect="1"/>
            </wp:cNvGraphicFramePr>
            <a:graphic>
              <a:graphicData uri="http://schemas.openxmlformats.org/drawingml/2006/picture">
                <pic:pic>
                  <pic:nvPicPr>
                    <pic:cNvPr id="0" name="04_zodiac_trap.png"/>
                    <pic:cNvPicPr/>
                  </pic:nvPicPr>
                  <pic:blipFill>
                    <a:blip r:embed="rId10"/>
                    <a:stretch>
                      <a:fillRect/>
                    </a:stretch>
                  </pic:blipFill>
                  <pic:spPr>
                    <a:xfrm>
                      <a:off x="0" y="0"/>
                      <a:ext cx="5852160" cy="3167982"/>
                    </a:xfrm>
                    <a:prstGeom prst="rect"/>
                  </pic:spPr>
                </pic:pic>
              </a:graphicData>
            </a:graphic>
          </wp:inline>
        </w:drawing>
      </w:r>
    </w:p>
    <w:p>
      <w:pPr>
        <w:spacing w:after="220"/>
        <w:jc w:val="center"/>
      </w:pPr>
      <w:r>
        <w:rPr>
          <w:i/>
          <w:color w:val="5A6A78"/>
          <w:sz w:val="17"/>
        </w:rPr>
        <w:t>Figure 2 — Every zodiac sign's 95% confidence interval overlaps the overall mean. The apparent pattern is sampling noise across twelve thin groups.</w:t>
      </w:r>
    </w:p>
    <w:p>
      <w:pPr>
        <w:pStyle w:val="Heading2"/>
      </w:pPr>
      <w:r>
        <w:t>6.2 Redundancy and multicollinearity</w:t>
      </w:r>
    </w:p>
    <w:p>
      <w:pPr>
        <w:spacing w:after="120"/>
      </w:pPr>
      <w:r>
        <w:rPr>
          <w:b w:val="0"/>
          <w:i w:val="0"/>
          <w:sz w:val="21"/>
        </w:rPr>
        <w:t>Two pairs duplicate information rather than merely correlating with it. bmi and weight_kg correlate at r = 0.9865; age recomputed from date_of_birth matches the stored age column for all 1,200 rows (r = 1.0000, zero disagreements).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1B4965"/>
          </w:tcPr>
          <w:p>
            <w:r/>
            <w:r>
              <w:rPr>
                <w:b/>
                <w:color w:val="FFFFFF"/>
                <w:sz w:val="17"/>
              </w:rPr>
              <w:t>Feature</w:t>
            </w:r>
          </w:p>
        </w:tc>
        <w:tc>
          <w:tcPr>
            <w:tcW w:type="dxa" w:w="1584"/>
            <w:shd w:fill="1B4965"/>
          </w:tcPr>
          <w:p>
            <w:r/>
            <w:r>
              <w:rPr>
                <w:b/>
                <w:color w:val="FFFFFF"/>
                <w:sz w:val="17"/>
              </w:rPr>
              <w:t>VIF before</w:t>
            </w:r>
          </w:p>
        </w:tc>
        <w:tc>
          <w:tcPr>
            <w:tcW w:type="dxa" w:w="2664"/>
            <w:shd w:fill="1B4965"/>
          </w:tcPr>
          <w:p>
            <w:r/>
            <w:r>
              <w:rPr>
                <w:b/>
                <w:color w:val="FFFFFF"/>
                <w:sz w:val="17"/>
              </w:rPr>
              <w:t>VIF after dropping weight_kg</w:t>
            </w:r>
          </w:p>
        </w:tc>
        <w:tc>
          <w:tcPr>
            <w:tcW w:type="dxa" w:w="3024"/>
            <w:shd w:fill="1B4965"/>
          </w:tcPr>
          <w:p>
            <w:r/>
            <w:r>
              <w:rPr>
                <w:b/>
                <w:color w:val="FFFFFF"/>
                <w:sz w:val="17"/>
              </w:rPr>
              <w:t>Reading</w:t>
            </w:r>
          </w:p>
        </w:tc>
      </w:tr>
      <w:tr>
        <w:tc>
          <w:tcPr>
            <w:tcW w:type="dxa" w:w="1872"/>
          </w:tcPr>
          <w:p>
            <w:r/>
            <w:r>
              <w:rPr>
                <w:sz w:val="17"/>
              </w:rPr>
              <w:t>age</w:t>
            </w:r>
          </w:p>
        </w:tc>
        <w:tc>
          <w:tcPr>
            <w:tcW w:type="dxa" w:w="1584"/>
          </w:tcPr>
          <w:p>
            <w:pPr>
              <w:jc w:val="right"/>
            </w:pPr>
            <w:r/>
            <w:r>
              <w:rPr>
                <w:sz w:val="17"/>
              </w:rPr>
              <w:t>1.00</w:t>
            </w:r>
          </w:p>
        </w:tc>
        <w:tc>
          <w:tcPr>
            <w:tcW w:type="dxa" w:w="2664"/>
          </w:tcPr>
          <w:p>
            <w:pPr>
              <w:jc w:val="right"/>
            </w:pPr>
            <w:r/>
            <w:r>
              <w:rPr>
                <w:sz w:val="17"/>
              </w:rPr>
              <w:t>1.00</w:t>
            </w:r>
          </w:p>
        </w:tc>
        <w:tc>
          <w:tcPr>
            <w:tcW w:type="dxa" w:w="3024"/>
          </w:tcPr>
          <w:p>
            <w:r/>
            <w:r>
              <w:rPr>
                <w:sz w:val="17"/>
              </w:rPr>
              <w:t>Fine</w:t>
            </w:r>
          </w:p>
        </w:tc>
      </w:tr>
      <w:tr>
        <w:tc>
          <w:tcPr>
            <w:tcW w:type="dxa" w:w="1872"/>
            <w:shd w:fill="EEF4F8"/>
          </w:tcPr>
          <w:p>
            <w:r/>
            <w:r>
              <w:rPr>
                <w:sz w:val="17"/>
              </w:rPr>
              <w:t>bmi</w:t>
            </w:r>
          </w:p>
        </w:tc>
        <w:tc>
          <w:tcPr>
            <w:tcW w:type="dxa" w:w="1584"/>
            <w:shd w:fill="EEF4F8"/>
          </w:tcPr>
          <w:p>
            <w:pPr>
              <w:jc w:val="right"/>
            </w:pPr>
            <w:r/>
            <w:r>
              <w:rPr>
                <w:sz w:val="17"/>
              </w:rPr>
              <w:t>37.84</w:t>
            </w:r>
          </w:p>
        </w:tc>
        <w:tc>
          <w:tcPr>
            <w:tcW w:type="dxa" w:w="2664"/>
            <w:shd w:fill="EEF4F8"/>
          </w:tcPr>
          <w:p>
            <w:pPr>
              <w:jc w:val="right"/>
            </w:pPr>
            <w:r/>
            <w:r>
              <w:rPr>
                <w:sz w:val="17"/>
              </w:rPr>
              <w:t>2.51</w:t>
            </w:r>
          </w:p>
        </w:tc>
        <w:tc>
          <w:tcPr>
            <w:tcW w:type="dxa" w:w="3024"/>
            <w:shd w:fill="EEF4F8"/>
          </w:tcPr>
          <w:p>
            <w:r/>
            <w:r>
              <w:rPr>
                <w:sz w:val="17"/>
              </w:rPr>
              <w:t>SEVERE → resolved</w:t>
            </w:r>
          </w:p>
        </w:tc>
      </w:tr>
      <w:tr>
        <w:tc>
          <w:tcPr>
            <w:tcW w:type="dxa" w:w="1872"/>
          </w:tcPr>
          <w:p>
            <w:r/>
            <w:r>
              <w:rPr>
                <w:sz w:val="17"/>
              </w:rPr>
              <w:t>weight_kg</w:t>
            </w:r>
          </w:p>
        </w:tc>
        <w:tc>
          <w:tcPr>
            <w:tcW w:type="dxa" w:w="1584"/>
          </w:tcPr>
          <w:p>
            <w:pPr>
              <w:jc w:val="right"/>
            </w:pPr>
            <w:r/>
            <w:r>
              <w:rPr>
                <w:sz w:val="17"/>
              </w:rPr>
              <w:t>37.80</w:t>
            </w:r>
          </w:p>
        </w:tc>
        <w:tc>
          <w:tcPr>
            <w:tcW w:type="dxa" w:w="2664"/>
          </w:tcPr>
          <w:p>
            <w:pPr>
              <w:jc w:val="right"/>
            </w:pPr>
            <w:r/>
            <w:r>
              <w:rPr>
                <w:sz w:val="17"/>
              </w:rPr>
              <w:t>dropped</w:t>
            </w:r>
          </w:p>
        </w:tc>
        <w:tc>
          <w:tcPr>
            <w:tcW w:type="dxa" w:w="3024"/>
          </w:tcPr>
          <w:p>
            <w:r/>
            <w:r>
              <w:rPr>
                <w:sz w:val="17"/>
              </w:rPr>
              <w:t>SEVERE → removed</w:t>
            </w:r>
          </w:p>
        </w:tc>
      </w:tr>
      <w:tr>
        <w:tc>
          <w:tcPr>
            <w:tcW w:type="dxa" w:w="1872"/>
            <w:shd w:fill="EEF4F8"/>
          </w:tcPr>
          <w:p>
            <w:r/>
            <w:r>
              <w:rPr>
                <w:sz w:val="17"/>
              </w:rPr>
              <w:t>children</w:t>
            </w:r>
          </w:p>
        </w:tc>
        <w:tc>
          <w:tcPr>
            <w:tcW w:type="dxa" w:w="1584"/>
            <w:shd w:fill="EEF4F8"/>
          </w:tcPr>
          <w:p>
            <w:pPr>
              <w:jc w:val="right"/>
            </w:pPr>
            <w:r/>
            <w:r>
              <w:rPr>
                <w:sz w:val="17"/>
              </w:rPr>
              <w:t>1.00</w:t>
            </w:r>
          </w:p>
        </w:tc>
        <w:tc>
          <w:tcPr>
            <w:tcW w:type="dxa" w:w="2664"/>
            <w:shd w:fill="EEF4F8"/>
          </w:tcPr>
          <w:p>
            <w:pPr>
              <w:jc w:val="right"/>
            </w:pPr>
            <w:r/>
            <w:r>
              <w:rPr>
                <w:sz w:val="17"/>
              </w:rPr>
              <w:t>1.00</w:t>
            </w:r>
          </w:p>
        </w:tc>
        <w:tc>
          <w:tcPr>
            <w:tcW w:type="dxa" w:w="3024"/>
            <w:shd w:fill="EEF4F8"/>
          </w:tcPr>
          <w:p>
            <w:r/>
            <w:r>
              <w:rPr>
                <w:sz w:val="17"/>
              </w:rPr>
              <w:t>Fine</w:t>
            </w:r>
          </w:p>
        </w:tc>
      </w:tr>
      <w:tr>
        <w:tc>
          <w:tcPr>
            <w:tcW w:type="dxa" w:w="1872"/>
          </w:tcPr>
          <w:p>
            <w:r/>
            <w:r>
              <w:rPr>
                <w:sz w:val="17"/>
              </w:rPr>
              <w:t>exercise_freq</w:t>
            </w:r>
          </w:p>
        </w:tc>
        <w:tc>
          <w:tcPr>
            <w:tcW w:type="dxa" w:w="1584"/>
          </w:tcPr>
          <w:p>
            <w:pPr>
              <w:jc w:val="right"/>
            </w:pPr>
            <w:r/>
            <w:r>
              <w:rPr>
                <w:sz w:val="17"/>
              </w:rPr>
              <w:t>2.53</w:t>
            </w:r>
          </w:p>
        </w:tc>
        <w:tc>
          <w:tcPr>
            <w:tcW w:type="dxa" w:w="2664"/>
          </w:tcPr>
          <w:p>
            <w:pPr>
              <w:jc w:val="right"/>
            </w:pPr>
            <w:r/>
            <w:r>
              <w:rPr>
                <w:sz w:val="17"/>
              </w:rPr>
              <w:t>2.51</w:t>
            </w:r>
          </w:p>
        </w:tc>
        <w:tc>
          <w:tcPr>
            <w:tcW w:type="dxa" w:w="3024"/>
          </w:tcPr>
          <w:p>
            <w:r/>
            <w:r>
              <w:rPr>
                <w:sz w:val="17"/>
              </w:rPr>
              <w:t>Fine</w:t>
            </w:r>
          </w:p>
        </w:tc>
      </w:tr>
    </w:tbl>
    <w:p>
      <w:pPr>
        <w:spacing w:after="80"/>
      </w:pPr>
    </w:p>
    <w:p>
      <w:pPr>
        <w:spacing w:after="120"/>
      </w:pPr>
      <w:r>
        <w:rPr>
          <w:b w:val="0"/>
          <w:i w:val="0"/>
          <w:sz w:val="21"/>
        </w:rPr>
        <w:t>Dropping one column of the pair collapses the other's VIF from 37.84 to 2.51, and no feature in the final set exceeds 2.51. BMI was kept over weight because it is height-adjusted and clinically standard; age was kept over date_of_birth because a stored date implies a different age every year the model runs.</w:t>
      </w:r>
    </w:p>
    <w:p>
      <w:pPr>
        <w:jc w:val="center"/>
      </w:pPr>
      <w:r>
        <w:drawing>
          <wp:inline xmlns:a="http://schemas.openxmlformats.org/drawingml/2006/main" xmlns:pic="http://schemas.openxmlformats.org/drawingml/2006/picture">
            <wp:extent cx="5852160" cy="2905084"/>
            <wp:docPr id="3" name="Picture 3"/>
            <wp:cNvGraphicFramePr>
              <a:graphicFrameLocks noChangeAspect="1"/>
            </wp:cNvGraphicFramePr>
            <a:graphic>
              <a:graphicData uri="http://schemas.openxmlformats.org/drawingml/2006/picture">
                <pic:pic>
                  <pic:nvPicPr>
                    <pic:cNvPr id="0" name="05_correlation_vif.png"/>
                    <pic:cNvPicPr/>
                  </pic:nvPicPr>
                  <pic:blipFill>
                    <a:blip r:embed="rId11"/>
                    <a:stretch>
                      <a:fillRect/>
                    </a:stretch>
                  </pic:blipFill>
                  <pic:spPr>
                    <a:xfrm>
                      <a:off x="0" y="0"/>
                      <a:ext cx="5852160" cy="2905084"/>
                    </a:xfrm>
                    <a:prstGeom prst="rect"/>
                  </pic:spPr>
                </pic:pic>
              </a:graphicData>
            </a:graphic>
          </wp:inline>
        </w:drawing>
      </w:r>
    </w:p>
    <w:p>
      <w:pPr>
        <w:spacing w:after="220"/>
        <w:jc w:val="center"/>
      </w:pPr>
      <w:r>
        <w:rPr>
          <w:i/>
          <w:color w:val="5A6A78"/>
          <w:sz w:val="17"/>
        </w:rPr>
        <w:t>Figure 3 — Correlation matrix and the VIF collapse once weight_kg is removed.</w:t>
      </w:r>
    </w:p>
    <w:p>
      <w:r>
        <w:br w:type="page"/>
      </w:r>
    </w:p>
    <w:p>
      <w:pPr>
        <w:pStyle w:val="Heading1"/>
      </w:pPr>
      <w:r>
        <w:t>7. Health Score Methodology</w:t>
      </w:r>
    </w:p>
    <w:p>
      <w:pPr>
        <w:spacing w:after="120"/>
      </w:pPr>
      <w:r>
        <w:rPr>
          <w:b w:val="0"/>
          <w:i w:val="0"/>
          <w:sz w:val="21"/>
        </w:rPr>
        <w:t>The Health Score condenses a customer's health profile into one interpretable number using the required formula:</w:t>
      </w:r>
    </w:p>
    <w:p>
      <w:pPr>
        <w:spacing w:after="200"/>
        <w:jc w:val="center"/>
      </w:pPr>
      <w:r>
        <w:rPr>
          <w:b/>
          <w:color w:val="1B4965"/>
          <w:sz w:val="24"/>
        </w:rPr>
        <w:t>Health Score = Σ (Metric Score × Weight)</w:t>
      </w:r>
    </w:p>
    <w:p>
      <w:pPr>
        <w:pStyle w:val="Heading2"/>
      </w:pPr>
      <w:r>
        <w:t>7.1 Metric selection and direction</w:t>
      </w:r>
    </w:p>
    <w:p>
      <w:pPr>
        <w:spacing w:after="120"/>
      </w:pPr>
      <w:r>
        <w:rPr>
          <w:b w:val="0"/>
          <w:i w:val="0"/>
          <w:sz w:val="21"/>
        </w:rPr>
        <w:t>Four genuine health attributes are used: smoker status, age, BMI and exercise frequency. Number of dependents is deliberately excluded — it affects plan utilisation and therefore cost, but it is not a measure of the individual's health. Sex and region are excluded for the same reason, and because building demographic attributes into a published health index raises fairness problems best avoided.</w:t>
      </w:r>
    </w:p>
    <w:p>
      <w:pPr>
        <w:spacing w:after="120"/>
      </w:pPr>
      <w:r>
        <w:rPr>
          <w:b/>
          <w:sz w:val="21"/>
        </w:rPr>
        <w:t xml:space="preserve">Direction convention: </w:t>
      </w:r>
      <w:r>
        <w:rPr>
          <w:b w:val="0"/>
          <w:sz w:val="21"/>
        </w:rPr>
        <w:t xml:space="preserve">higher Health Score = healthier. </w:t>
      </w:r>
      <w:r>
        <w:rPr>
          <w:b w:val="0"/>
          <w:sz w:val="21"/>
        </w:rPr>
        <w:t>Every metric is scored 0–100 where 100 is the healthiest state, so the composite runs 0–100 on the same intuitive scale.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224"/>
            <w:shd w:fill="1B4965"/>
          </w:tcPr>
          <w:p>
            <w:r/>
            <w:r>
              <w:rPr>
                <w:b/>
                <w:color w:val="FFFFFF"/>
                <w:sz w:val="16"/>
              </w:rPr>
              <w:t>Metric</w:t>
            </w:r>
          </w:p>
        </w:tc>
        <w:tc>
          <w:tcPr>
            <w:tcW w:type="dxa" w:w="1944"/>
            <w:shd w:fill="1B4965"/>
          </w:tcPr>
          <w:p>
            <w:r/>
            <w:r>
              <w:rPr>
                <w:b/>
                <w:color w:val="FFFFFF"/>
                <w:sz w:val="16"/>
              </w:rPr>
              <w:t>Scoring scale</w:t>
            </w:r>
          </w:p>
        </w:tc>
        <w:tc>
          <w:tcPr>
            <w:tcW w:type="dxa" w:w="1944"/>
            <w:shd w:fill="1B4965"/>
          </w:tcPr>
          <w:p>
            <w:r/>
            <w:r>
              <w:rPr>
                <w:b/>
                <w:color w:val="FFFFFF"/>
                <w:sz w:val="16"/>
              </w:rPr>
              <w:t>Scores 100</w:t>
            </w:r>
          </w:p>
        </w:tc>
        <w:tc>
          <w:tcPr>
            <w:tcW w:type="dxa" w:w="1512"/>
            <w:shd w:fill="1B4965"/>
          </w:tcPr>
          <w:p>
            <w:r/>
            <w:r>
              <w:rPr>
                <w:b/>
                <w:color w:val="FFFFFF"/>
                <w:sz w:val="16"/>
              </w:rPr>
              <w:t>Scores 0</w:t>
            </w:r>
          </w:p>
        </w:tc>
        <w:tc>
          <w:tcPr>
            <w:tcW w:type="dxa" w:w="3312"/>
            <w:shd w:fill="1B4965"/>
          </w:tcPr>
          <w:p>
            <w:r/>
            <w:r>
              <w:rPr>
                <w:b/>
                <w:color w:val="FFFFFF"/>
                <w:sz w:val="16"/>
              </w:rPr>
              <w:t>Rationale</w:t>
            </w:r>
          </w:p>
        </w:tc>
      </w:tr>
      <w:tr>
        <w:tc>
          <w:tcPr>
            <w:tcW w:type="dxa" w:w="1224"/>
          </w:tcPr>
          <w:p>
            <w:r/>
            <w:r>
              <w:rPr>
                <w:sz w:val="16"/>
              </w:rPr>
              <w:t>Smoker</w:t>
            </w:r>
          </w:p>
        </w:tc>
        <w:tc>
          <w:tcPr>
            <w:tcW w:type="dxa" w:w="1944"/>
          </w:tcPr>
          <w:p>
            <w:r/>
            <w:r>
              <w:rPr>
                <w:sz w:val="16"/>
              </w:rPr>
              <w:t>Binary</w:t>
            </w:r>
          </w:p>
        </w:tc>
        <w:tc>
          <w:tcPr>
            <w:tcW w:type="dxa" w:w="1944"/>
          </w:tcPr>
          <w:p>
            <w:r/>
            <w:r>
              <w:rPr>
                <w:sz w:val="16"/>
              </w:rPr>
              <w:t>Non-smoker</w:t>
            </w:r>
          </w:p>
        </w:tc>
        <w:tc>
          <w:tcPr>
            <w:tcW w:type="dxa" w:w="1512"/>
          </w:tcPr>
          <w:p>
            <w:r/>
            <w:r>
              <w:rPr>
                <w:sz w:val="16"/>
              </w:rPr>
              <w:t>Smoker</w:t>
            </w:r>
          </w:p>
        </w:tc>
        <w:tc>
          <w:tcPr>
            <w:tcW w:type="dxa" w:w="3312"/>
          </w:tcPr>
          <w:p>
            <w:r/>
            <w:r>
              <w:rPr>
                <w:sz w:val="16"/>
              </w:rPr>
              <w:t>No meaningful middle ground in the data</w:t>
            </w:r>
          </w:p>
        </w:tc>
      </w:tr>
      <w:tr>
        <w:tc>
          <w:tcPr>
            <w:tcW w:type="dxa" w:w="1224"/>
            <w:shd w:fill="EEF4F8"/>
          </w:tcPr>
          <w:p>
            <w:r/>
            <w:r>
              <w:rPr>
                <w:sz w:val="16"/>
              </w:rPr>
              <w:t>Age</w:t>
            </w:r>
          </w:p>
        </w:tc>
        <w:tc>
          <w:tcPr>
            <w:tcW w:type="dxa" w:w="1944"/>
            <w:shd w:fill="EEF4F8"/>
          </w:tcPr>
          <w:p>
            <w:r/>
            <w:r>
              <w:rPr>
                <w:sz w:val="16"/>
              </w:rPr>
              <w:t>Linear over 18–64</w:t>
            </w:r>
          </w:p>
        </w:tc>
        <w:tc>
          <w:tcPr>
            <w:tcW w:type="dxa" w:w="1944"/>
            <w:shd w:fill="EEF4F8"/>
          </w:tcPr>
          <w:p>
            <w:r/>
            <w:r>
              <w:rPr>
                <w:sz w:val="16"/>
              </w:rPr>
              <w:t>Age 18</w:t>
            </w:r>
          </w:p>
        </w:tc>
        <w:tc>
          <w:tcPr>
            <w:tcW w:type="dxa" w:w="1512"/>
            <w:shd w:fill="EEF4F8"/>
          </w:tcPr>
          <w:p>
            <w:r/>
            <w:r>
              <w:rPr>
                <w:sz w:val="16"/>
              </w:rPr>
              <w:t>Age 64</w:t>
            </w:r>
          </w:p>
        </w:tc>
        <w:tc>
          <w:tcPr>
            <w:tcW w:type="dxa" w:w="3312"/>
            <w:shd w:fill="EEF4F8"/>
          </w:tcPr>
          <w:p>
            <w:r/>
            <w:r>
              <w:rPr>
                <w:sz w:val="16"/>
              </w:rPr>
              <w:t>Morbidity rises gradually and monotonically</w:t>
            </w:r>
          </w:p>
        </w:tc>
      </w:tr>
      <w:tr>
        <w:tc>
          <w:tcPr>
            <w:tcW w:type="dxa" w:w="1224"/>
          </w:tcPr>
          <w:p>
            <w:r/>
            <w:r>
              <w:rPr>
                <w:sz w:val="16"/>
              </w:rPr>
              <w:t>BMI</w:t>
            </w:r>
          </w:p>
        </w:tc>
        <w:tc>
          <w:tcPr>
            <w:tcW w:type="dxa" w:w="1944"/>
          </w:tcPr>
          <w:p>
            <w:r/>
            <w:r>
              <w:rPr>
                <w:sz w:val="16"/>
              </w:rPr>
              <w:t>Clinical bands</w:t>
            </w:r>
          </w:p>
        </w:tc>
        <w:tc>
          <w:tcPr>
            <w:tcW w:type="dxa" w:w="1944"/>
          </w:tcPr>
          <w:p>
            <w:r/>
            <w:r>
              <w:rPr>
                <w:sz w:val="16"/>
              </w:rPr>
              <w:t>WHO band 18.5–24.9</w:t>
            </w:r>
          </w:p>
        </w:tc>
        <w:tc>
          <w:tcPr>
            <w:tcW w:type="dxa" w:w="1512"/>
          </w:tcPr>
          <w:p>
            <w:r/>
            <w:r>
              <w:rPr>
                <w:sz w:val="16"/>
              </w:rPr>
              <w:t>Far outside it</w:t>
            </w:r>
          </w:p>
        </w:tc>
        <w:tc>
          <w:tcPr>
            <w:tcW w:type="dxa" w:w="3312"/>
          </w:tcPr>
          <w:p>
            <w:r/>
            <w:r>
              <w:rPr>
                <w:sz w:val="16"/>
              </w:rPr>
              <w:t>−4.5 pts per unit above 24.9; −8.0 below 18.5</w:t>
            </w:r>
          </w:p>
        </w:tc>
      </w:tr>
      <w:tr>
        <w:tc>
          <w:tcPr>
            <w:tcW w:type="dxa" w:w="1224"/>
            <w:shd w:fill="EEF4F8"/>
          </w:tcPr>
          <w:p>
            <w:r/>
            <w:r>
              <w:rPr>
                <w:sz w:val="16"/>
              </w:rPr>
              <w:t>Exercise</w:t>
            </w:r>
          </w:p>
        </w:tc>
        <w:tc>
          <w:tcPr>
            <w:tcW w:type="dxa" w:w="1944"/>
            <w:shd w:fill="EEF4F8"/>
          </w:tcPr>
          <w:p>
            <w:r/>
            <w:r>
              <w:rPr>
                <w:sz w:val="16"/>
              </w:rPr>
              <w:t>Linear over 0–7</w:t>
            </w:r>
          </w:p>
        </w:tc>
        <w:tc>
          <w:tcPr>
            <w:tcW w:type="dxa" w:w="1944"/>
            <w:shd w:fill="EEF4F8"/>
          </w:tcPr>
          <w:p>
            <w:r/>
            <w:r>
              <w:rPr>
                <w:sz w:val="16"/>
              </w:rPr>
              <w:t>7 workouts/week</w:t>
            </w:r>
          </w:p>
        </w:tc>
        <w:tc>
          <w:tcPr>
            <w:tcW w:type="dxa" w:w="1512"/>
            <w:shd w:fill="EEF4F8"/>
          </w:tcPr>
          <w:p>
            <w:r/>
            <w:r>
              <w:rPr>
                <w:sz w:val="16"/>
              </w:rPr>
              <w:t>None</w:t>
            </w:r>
          </w:p>
        </w:tc>
        <w:tc>
          <w:tcPr>
            <w:tcW w:type="dxa" w:w="3312"/>
            <w:shd w:fill="EEF4F8"/>
          </w:tcPr>
          <w:p>
            <w:r/>
            <w:r>
              <w:rPr>
                <w:sz w:val="16"/>
              </w:rPr>
              <w:t>The stated range of the field</w:t>
            </w:r>
          </w:p>
        </w:tc>
      </w:tr>
    </w:tbl>
    <w:p>
      <w:pPr>
        <w:spacing w:after="80"/>
      </w:pPr>
    </w:p>
    <w:p>
      <w:pPr>
        <w:spacing w:after="120"/>
      </w:pPr>
      <w:r>
        <w:rPr>
          <w:b w:val="0"/>
          <w:i w:val="0"/>
          <w:sz w:val="21"/>
        </w:rPr>
        <w:t>BMI is the only non-linear scale, and deliberately so: it is anchored to clinical thresholds rather than to this dataset's distribution, so the score stays meaningful if the portfolio changes. The underweight side is penalised more steeply per unit because clinical risk deteriorates faster over a much narrower range.</w:t>
      </w:r>
    </w:p>
    <w:p>
      <w:pPr>
        <w:pStyle w:val="Heading2"/>
      </w:pPr>
      <w:r>
        <w:t>7.2 Weight derivation — data-driven, not assigned</w:t>
      </w:r>
    </w:p>
    <w:p>
      <w:pPr>
        <w:spacing w:after="120"/>
      </w:pPr>
      <w:r>
        <w:rPr>
          <w:b w:val="0"/>
          <w:i w:val="0"/>
          <w:sz w:val="21"/>
        </w:rPr>
        <w:t>Rather than assign weights by opinion, they are derived from the data: a standardised linear regression of annual_charge on the four metrics is fitted on the training split only, the absolute standardised coefficient is taken as each metric's influence, and the four are normalised to sum to 1. Using the training split alone matters — deriving weights from the full dataset would leak test information into the score.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fill="1B4965"/>
          </w:tcPr>
          <w:p>
            <w:r/>
            <w:r>
              <w:rPr>
                <w:b/>
                <w:color w:val="FFFFFF"/>
                <w:sz w:val="17"/>
              </w:rPr>
              <w:t>Metric</w:t>
            </w:r>
          </w:p>
        </w:tc>
        <w:tc>
          <w:tcPr>
            <w:tcW w:type="dxa" w:w="2736"/>
            <w:shd w:fill="1B4965"/>
          </w:tcPr>
          <w:p>
            <w:r/>
            <w:r>
              <w:rPr>
                <w:b/>
                <w:color w:val="FFFFFF"/>
                <w:sz w:val="17"/>
              </w:rPr>
              <w:t>|Standardised coefficient|</w:t>
            </w:r>
          </w:p>
        </w:tc>
        <w:tc>
          <w:tcPr>
            <w:tcW w:type="dxa" w:w="1656"/>
            <w:shd w:fill="1B4965"/>
          </w:tcPr>
          <w:p>
            <w:r/>
            <w:r>
              <w:rPr>
                <w:b/>
                <w:color w:val="FFFFFF"/>
                <w:sz w:val="17"/>
              </w:rPr>
              <w:t>Weight</w:t>
            </w:r>
          </w:p>
        </w:tc>
        <w:tc>
          <w:tcPr>
            <w:tcW w:type="dxa" w:w="1656"/>
            <w:shd w:fill="1B4965"/>
          </w:tcPr>
          <w:p>
            <w:r/>
            <w:r>
              <w:rPr>
                <w:b/>
                <w:color w:val="FFFFFF"/>
                <w:sz w:val="17"/>
              </w:rPr>
              <w:t>Weight %</w:t>
            </w:r>
          </w:p>
        </w:tc>
      </w:tr>
      <w:tr>
        <w:tc>
          <w:tcPr>
            <w:tcW w:type="dxa" w:w="2304"/>
          </w:tcPr>
          <w:p>
            <w:r/>
            <w:r>
              <w:rPr>
                <w:sz w:val="17"/>
              </w:rPr>
              <w:t>Smoker</w:t>
            </w:r>
          </w:p>
        </w:tc>
        <w:tc>
          <w:tcPr>
            <w:tcW w:type="dxa" w:w="2736"/>
          </w:tcPr>
          <w:p>
            <w:pPr>
              <w:jc w:val="right"/>
            </w:pPr>
            <w:r/>
            <w:r>
              <w:rPr>
                <w:sz w:val="17"/>
              </w:rPr>
              <w:t>9,274.1</w:t>
            </w:r>
          </w:p>
        </w:tc>
        <w:tc>
          <w:tcPr>
            <w:tcW w:type="dxa" w:w="1656"/>
          </w:tcPr>
          <w:p>
            <w:pPr>
              <w:jc w:val="right"/>
            </w:pPr>
            <w:r/>
            <w:r>
              <w:rPr>
                <w:sz w:val="17"/>
              </w:rPr>
              <w:t>0.4597</w:t>
            </w:r>
          </w:p>
        </w:tc>
        <w:tc>
          <w:tcPr>
            <w:tcW w:type="dxa" w:w="1656"/>
          </w:tcPr>
          <w:p>
            <w:pPr>
              <w:jc w:val="right"/>
            </w:pPr>
            <w:r/>
            <w:r>
              <w:rPr>
                <w:sz w:val="17"/>
              </w:rPr>
              <w:t>45.97%</w:t>
            </w:r>
          </w:p>
        </w:tc>
      </w:tr>
      <w:tr>
        <w:tc>
          <w:tcPr>
            <w:tcW w:type="dxa" w:w="2304"/>
            <w:shd w:fill="EEF4F8"/>
          </w:tcPr>
          <w:p>
            <w:r/>
            <w:r>
              <w:rPr>
                <w:sz w:val="17"/>
              </w:rPr>
              <w:t>Age</w:t>
            </w:r>
          </w:p>
        </w:tc>
        <w:tc>
          <w:tcPr>
            <w:tcW w:type="dxa" w:w="2736"/>
            <w:shd w:fill="EEF4F8"/>
          </w:tcPr>
          <w:p>
            <w:pPr>
              <w:jc w:val="right"/>
            </w:pPr>
            <w:r/>
            <w:r>
              <w:rPr>
                <w:sz w:val="17"/>
              </w:rPr>
              <w:t>5,792.1</w:t>
            </w:r>
          </w:p>
        </w:tc>
        <w:tc>
          <w:tcPr>
            <w:tcW w:type="dxa" w:w="1656"/>
            <w:shd w:fill="EEF4F8"/>
          </w:tcPr>
          <w:p>
            <w:pPr>
              <w:jc w:val="right"/>
            </w:pPr>
            <w:r/>
            <w:r>
              <w:rPr>
                <w:sz w:val="17"/>
              </w:rPr>
              <w:t>0.2871</w:t>
            </w:r>
          </w:p>
        </w:tc>
        <w:tc>
          <w:tcPr>
            <w:tcW w:type="dxa" w:w="1656"/>
            <w:shd w:fill="EEF4F8"/>
          </w:tcPr>
          <w:p>
            <w:pPr>
              <w:jc w:val="right"/>
            </w:pPr>
            <w:r/>
            <w:r>
              <w:rPr>
                <w:sz w:val="17"/>
              </w:rPr>
              <w:t>28.71%</w:t>
            </w:r>
          </w:p>
        </w:tc>
      </w:tr>
      <w:tr>
        <w:tc>
          <w:tcPr>
            <w:tcW w:type="dxa" w:w="2304"/>
          </w:tcPr>
          <w:p>
            <w:r/>
            <w:r>
              <w:rPr>
                <w:sz w:val="17"/>
              </w:rPr>
              <w:t>BMI</w:t>
            </w:r>
          </w:p>
        </w:tc>
        <w:tc>
          <w:tcPr>
            <w:tcW w:type="dxa" w:w="2736"/>
          </w:tcPr>
          <w:p>
            <w:pPr>
              <w:jc w:val="right"/>
            </w:pPr>
            <w:r/>
            <w:r>
              <w:rPr>
                <w:sz w:val="17"/>
              </w:rPr>
              <w:t>4,926.3</w:t>
            </w:r>
          </w:p>
        </w:tc>
        <w:tc>
          <w:tcPr>
            <w:tcW w:type="dxa" w:w="1656"/>
          </w:tcPr>
          <w:p>
            <w:pPr>
              <w:jc w:val="right"/>
            </w:pPr>
            <w:r/>
            <w:r>
              <w:rPr>
                <w:sz w:val="17"/>
              </w:rPr>
              <w:t>0.2442</w:t>
            </w:r>
          </w:p>
        </w:tc>
        <w:tc>
          <w:tcPr>
            <w:tcW w:type="dxa" w:w="1656"/>
          </w:tcPr>
          <w:p>
            <w:pPr>
              <w:jc w:val="right"/>
            </w:pPr>
            <w:r/>
            <w:r>
              <w:rPr>
                <w:sz w:val="17"/>
              </w:rPr>
              <w:t>24.42%</w:t>
            </w:r>
          </w:p>
        </w:tc>
      </w:tr>
      <w:tr>
        <w:tc>
          <w:tcPr>
            <w:tcW w:type="dxa" w:w="2304"/>
            <w:shd w:fill="EEF4F8"/>
          </w:tcPr>
          <w:p>
            <w:r/>
            <w:r>
              <w:rPr>
                <w:sz w:val="17"/>
              </w:rPr>
              <w:t>Exercise frequency</w:t>
            </w:r>
          </w:p>
        </w:tc>
        <w:tc>
          <w:tcPr>
            <w:tcW w:type="dxa" w:w="2736"/>
            <w:shd w:fill="EEF4F8"/>
          </w:tcPr>
          <w:p>
            <w:pPr>
              <w:jc w:val="right"/>
            </w:pPr>
            <w:r/>
            <w:r>
              <w:rPr>
                <w:sz w:val="17"/>
              </w:rPr>
              <w:t>180.8</w:t>
            </w:r>
          </w:p>
        </w:tc>
        <w:tc>
          <w:tcPr>
            <w:tcW w:type="dxa" w:w="1656"/>
            <w:shd w:fill="EEF4F8"/>
          </w:tcPr>
          <w:p>
            <w:pPr>
              <w:jc w:val="right"/>
            </w:pPr>
            <w:r/>
            <w:r>
              <w:rPr>
                <w:sz w:val="17"/>
              </w:rPr>
              <w:t>0.0090</w:t>
            </w:r>
          </w:p>
        </w:tc>
        <w:tc>
          <w:tcPr>
            <w:tcW w:type="dxa" w:w="1656"/>
            <w:shd w:fill="EEF4F8"/>
          </w:tcPr>
          <w:p>
            <w:pPr>
              <w:jc w:val="right"/>
            </w:pPr>
            <w:r/>
            <w:r>
              <w:rPr>
                <w:sz w:val="17"/>
              </w:rPr>
              <w:t>0.90%</w:t>
            </w:r>
          </w:p>
        </w:tc>
      </w:tr>
      <w:tr>
        <w:tc>
          <w:tcPr>
            <w:tcW w:type="dxa" w:w="2304"/>
          </w:tcPr>
          <w:p>
            <w:r/>
            <w:r>
              <w:rPr>
                <w:sz w:val="17"/>
              </w:rPr>
              <w:t>TOTAL</w:t>
            </w:r>
          </w:p>
        </w:tc>
        <w:tc>
          <w:tcPr>
            <w:tcW w:type="dxa" w:w="2736"/>
          </w:tcPr>
          <w:p>
            <w:pPr>
              <w:jc w:val="right"/>
            </w:pPr>
            <w:r/>
            <w:r>
              <w:rPr>
                <w:sz w:val="17"/>
              </w:rPr>
              <w:t>—</w:t>
            </w:r>
          </w:p>
        </w:tc>
        <w:tc>
          <w:tcPr>
            <w:tcW w:type="dxa" w:w="1656"/>
          </w:tcPr>
          <w:p>
            <w:pPr>
              <w:jc w:val="right"/>
            </w:pPr>
            <w:r/>
            <w:r>
              <w:rPr>
                <w:sz w:val="17"/>
              </w:rPr>
              <w:t>1.0000</w:t>
            </w:r>
          </w:p>
        </w:tc>
        <w:tc>
          <w:tcPr>
            <w:tcW w:type="dxa" w:w="1656"/>
          </w:tcPr>
          <w:p>
            <w:pPr>
              <w:jc w:val="right"/>
            </w:pPr>
            <w:r/>
            <w:r>
              <w:rPr>
                <w:sz w:val="17"/>
              </w:rPr>
              <w:t>100.00%</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FFF4E6"/>
          </w:tcPr>
          <w:p>
            <w:r/>
            <w:r>
              <w:rPr>
                <w:b/>
                <w:color w:val="1B4965"/>
                <w:sz w:val="20"/>
              </w:rPr>
              <w:t xml:space="preserve">On the 0.90% exercise weight:  </w:t>
            </w:r>
            <w:r>
              <w:rPr>
                <w:sz w:val="20"/>
              </w:rPr>
              <w:t>This is close to cosmetic, and it was tempting to override it. It was not overridden, for two reasons. First, it is what the data says: exercise correlates −0.268 with charge on its own, but that information is largely absorbed by BMI, with which it correlates — so conditionally it adds almost nothing. The tuned Lasso reached the same conclusion independently, eliminating exercise_freq entirely in the High tier. Second, inflating the weight by hand would make the score a statement of belief rather than a measurement.</w:t>
            </w:r>
          </w:p>
        </w:tc>
      </w:tr>
    </w:tbl>
    <w:p>
      <w:pPr>
        <w:spacing w:after="80"/>
      </w:pPr>
    </w:p>
    <w:p>
      <w:pPr>
        <w:pStyle w:val="Heading2"/>
      </w:pPr>
      <w:r>
        <w:t>7.3 Leakage control</w:t>
      </w:r>
    </w:p>
    <w:tbl>
      <w:tblPr>
        <w:tblStyle w:val="TableGrid"/>
        <w:tblW w:type="auto" w:w="0"/>
        <w:tblLook w:firstColumn="1" w:firstRow="1" w:lastColumn="0" w:lastRow="0" w:noHBand="0" w:noVBand="1" w:val="04A0"/>
      </w:tblPr>
      <w:tblGrid>
        <w:gridCol w:w="9648"/>
      </w:tblGrid>
      <w:tr>
        <w:tc>
          <w:tcPr>
            <w:tcW w:type="dxa" w:w="9648"/>
            <w:shd w:fill="EAF4FA"/>
          </w:tcPr>
          <w:p>
            <w:r/>
            <w:r>
              <w:rPr>
                <w:b/>
                <w:color w:val="1B4965"/>
                <w:sz w:val="20"/>
              </w:rPr>
              <w:t xml:space="preserve">Design decision:  </w:t>
            </w:r>
            <w:r>
              <w:rPr>
                <w:sz w:val="20"/>
              </w:rPr>
              <w:t>Because the Health Score's weights were learned from annual_charge, using the score as a predictor of annual_charge would be circular — it would import the target back into the feature set. The Health Score is therefore used for segmentation, reporting and customer-facing explanation only, and is never fed into the Stage-2 regressors, which use the original attributes directly.</w:t>
            </w:r>
          </w:p>
        </w:tc>
      </w:tr>
    </w:tbl>
    <w:p>
      <w:pPr>
        <w:spacing w:after="80"/>
      </w:pPr>
    </w:p>
    <w:p>
      <w:r>
        <w:br w:type="page"/>
      </w:r>
    </w:p>
    <w:p>
      <w:pPr>
        <w:pStyle w:val="Heading1"/>
      </w:pPr>
      <w:r>
        <w:t>8. Health Score Results</w:t>
      </w:r>
    </w:p>
    <w:tbl>
      <w:tblPr>
        <w:tblStyle w:val="TableGrid"/>
        <w:tblW w:type="auto" w:w="0"/>
        <w:jc w:val="center"/>
        <w:tblLook w:firstColumn="1" w:firstRow="1" w:lastColumn="0" w:lastRow="0" w:noHBand="0" w:noVBand="1" w:val="04A0"/>
      </w:tblPr>
      <w:tblGrid>
        <w:gridCol w:w="4824"/>
        <w:gridCol w:w="4824"/>
      </w:tblGrid>
      <w:tr>
        <w:tc>
          <w:tcPr>
            <w:tcW w:type="dxa" w:w="3744"/>
            <w:shd w:fill="1B4965"/>
          </w:tcPr>
          <w:p>
            <w:r/>
            <w:r>
              <w:rPr>
                <w:b/>
                <w:color w:val="FFFFFF"/>
                <w:sz w:val="17"/>
              </w:rPr>
              <w:t>Statistic</w:t>
            </w:r>
          </w:p>
        </w:tc>
        <w:tc>
          <w:tcPr>
            <w:tcW w:type="dxa" w:w="2304"/>
            <w:shd w:fill="1B4965"/>
          </w:tcPr>
          <w:p>
            <w:r/>
            <w:r>
              <w:rPr>
                <w:b/>
                <w:color w:val="FFFFFF"/>
                <w:sz w:val="17"/>
              </w:rPr>
              <w:t>Value</w:t>
            </w:r>
          </w:p>
        </w:tc>
      </w:tr>
      <w:tr>
        <w:tc>
          <w:tcPr>
            <w:tcW w:type="dxa" w:w="3744"/>
          </w:tcPr>
          <w:p>
            <w:r/>
            <w:r>
              <w:rPr>
                <w:sz w:val="17"/>
              </w:rPr>
              <w:t>Customers scored</w:t>
            </w:r>
          </w:p>
        </w:tc>
        <w:tc>
          <w:tcPr>
            <w:tcW w:type="dxa" w:w="2304"/>
          </w:tcPr>
          <w:p>
            <w:pPr>
              <w:jc w:val="right"/>
            </w:pPr>
            <w:r/>
            <w:r>
              <w:rPr>
                <w:sz w:val="17"/>
              </w:rPr>
              <w:t>1,200 of 1,200</w:t>
            </w:r>
          </w:p>
        </w:tc>
      </w:tr>
      <w:tr>
        <w:tc>
          <w:tcPr>
            <w:tcW w:type="dxa" w:w="3744"/>
            <w:shd w:fill="EEF4F8"/>
          </w:tcPr>
          <w:p>
            <w:r/>
            <w:r>
              <w:rPr>
                <w:sz w:val="17"/>
              </w:rPr>
              <w:t>Mean</w:t>
            </w:r>
          </w:p>
        </w:tc>
        <w:tc>
          <w:tcPr>
            <w:tcW w:type="dxa" w:w="2304"/>
            <w:shd w:fill="EEF4F8"/>
          </w:tcPr>
          <w:p>
            <w:pPr>
              <w:jc w:val="right"/>
            </w:pPr>
            <w:r/>
            <w:r>
              <w:rPr>
                <w:sz w:val="17"/>
              </w:rPr>
              <w:t>66.55</w:t>
            </w:r>
          </w:p>
        </w:tc>
      </w:tr>
      <w:tr>
        <w:tc>
          <w:tcPr>
            <w:tcW w:type="dxa" w:w="3744"/>
          </w:tcPr>
          <w:p>
            <w:r/>
            <w:r>
              <w:rPr>
                <w:sz w:val="17"/>
              </w:rPr>
              <w:t>Median</w:t>
            </w:r>
          </w:p>
        </w:tc>
        <w:tc>
          <w:tcPr>
            <w:tcW w:type="dxa" w:w="2304"/>
          </w:tcPr>
          <w:p>
            <w:pPr>
              <w:jc w:val="right"/>
            </w:pPr>
            <w:r/>
            <w:r>
              <w:rPr>
                <w:sz w:val="17"/>
              </w:rPr>
              <w:t>73.73</w:t>
            </w:r>
          </w:p>
        </w:tc>
      </w:tr>
      <w:tr>
        <w:tc>
          <w:tcPr>
            <w:tcW w:type="dxa" w:w="3744"/>
            <w:shd w:fill="EEF4F8"/>
          </w:tcPr>
          <w:p>
            <w:r/>
            <w:r>
              <w:rPr>
                <w:sz w:val="17"/>
              </w:rPr>
              <w:t>Std deviation</w:t>
            </w:r>
          </w:p>
        </w:tc>
        <w:tc>
          <w:tcPr>
            <w:tcW w:type="dxa" w:w="2304"/>
            <w:shd w:fill="EEF4F8"/>
          </w:tcPr>
          <w:p>
            <w:pPr>
              <w:jc w:val="right"/>
            </w:pPr>
            <w:r/>
            <w:r>
              <w:rPr>
                <w:sz w:val="17"/>
              </w:rPr>
              <w:t>23.33</w:t>
            </w:r>
          </w:p>
        </w:tc>
      </w:tr>
      <w:tr>
        <w:tc>
          <w:tcPr>
            <w:tcW w:type="dxa" w:w="3744"/>
          </w:tcPr>
          <w:p>
            <w:r/>
            <w:r>
              <w:rPr>
                <w:sz w:val="17"/>
              </w:rPr>
              <w:t>Minimum</w:t>
            </w:r>
          </w:p>
        </w:tc>
        <w:tc>
          <w:tcPr>
            <w:tcW w:type="dxa" w:w="2304"/>
          </w:tcPr>
          <w:p>
            <w:pPr>
              <w:jc w:val="right"/>
            </w:pPr>
            <w:r/>
            <w:r>
              <w:rPr>
                <w:sz w:val="17"/>
              </w:rPr>
              <w:t>10.15</w:t>
            </w:r>
          </w:p>
        </w:tc>
      </w:tr>
      <w:tr>
        <w:tc>
          <w:tcPr>
            <w:tcW w:type="dxa" w:w="3744"/>
            <w:shd w:fill="EEF4F8"/>
          </w:tcPr>
          <w:p>
            <w:r/>
            <w:r>
              <w:rPr>
                <w:sz w:val="17"/>
              </w:rPr>
              <w:t>Maximum</w:t>
            </w:r>
          </w:p>
        </w:tc>
        <w:tc>
          <w:tcPr>
            <w:tcW w:type="dxa" w:w="2304"/>
            <w:shd w:fill="EEF4F8"/>
          </w:tcPr>
          <w:p>
            <w:pPr>
              <w:jc w:val="right"/>
            </w:pPr>
            <w:r/>
            <w:r>
              <w:rPr>
                <w:sz w:val="17"/>
              </w:rPr>
              <w:t>99.87</w:t>
            </w:r>
          </w:p>
        </w:tc>
      </w:tr>
      <w:tr>
        <w:tc>
          <w:tcPr>
            <w:tcW w:type="dxa" w:w="3744"/>
          </w:tcPr>
          <w:p>
            <w:r/>
            <w:r>
              <w:rPr>
                <w:sz w:val="17"/>
              </w:rPr>
              <w:t>Spearman ρ with annual charge</w:t>
            </w:r>
          </w:p>
        </w:tc>
        <w:tc>
          <w:tcPr>
            <w:tcW w:type="dxa" w:w="2304"/>
          </w:tcPr>
          <w:p>
            <w:pPr>
              <w:jc w:val="right"/>
            </w:pPr>
            <w:r/>
            <w:r>
              <w:rPr>
                <w:sz w:val="17"/>
              </w:rPr>
              <w:t>-0.8994</w:t>
            </w:r>
          </w:p>
        </w:tc>
      </w:tr>
    </w:tbl>
    <w:p>
      <w:pPr>
        <w:spacing w:after="80"/>
      </w:pP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584"/>
            <w:shd w:fill="1B4965"/>
          </w:tcPr>
          <w:p>
            <w:r/>
            <w:r>
              <w:rPr>
                <w:b/>
                <w:color w:val="FFFFFF"/>
                <w:sz w:val="17"/>
              </w:rPr>
              <w:t>Health band</w:t>
            </w:r>
          </w:p>
        </w:tc>
        <w:tc>
          <w:tcPr>
            <w:tcW w:type="dxa" w:w="1440"/>
            <w:shd w:fill="1B4965"/>
          </w:tcPr>
          <w:p>
            <w:r/>
            <w:r>
              <w:rPr>
                <w:b/>
                <w:color w:val="FFFFFF"/>
                <w:sz w:val="17"/>
              </w:rPr>
              <w:t>Score range</w:t>
            </w:r>
          </w:p>
        </w:tc>
        <w:tc>
          <w:tcPr>
            <w:tcW w:type="dxa" w:w="1368"/>
            <w:shd w:fill="1B4965"/>
          </w:tcPr>
          <w:p>
            <w:r/>
            <w:r>
              <w:rPr>
                <w:b/>
                <w:color w:val="FFFFFF"/>
                <w:sz w:val="17"/>
              </w:rPr>
              <w:t>Customers</w:t>
            </w:r>
          </w:p>
        </w:tc>
        <w:tc>
          <w:tcPr>
            <w:tcW w:type="dxa" w:w="1440"/>
            <w:shd w:fill="1B4965"/>
          </w:tcPr>
          <w:p>
            <w:r/>
            <w:r>
              <w:rPr>
                <w:b/>
                <w:color w:val="FFFFFF"/>
                <w:sz w:val="17"/>
              </w:rPr>
              <w:t>Mean score</w:t>
            </w:r>
          </w:p>
        </w:tc>
        <w:tc>
          <w:tcPr>
            <w:tcW w:type="dxa" w:w="1584"/>
            <w:shd w:fill="1B4965"/>
          </w:tcPr>
          <w:p>
            <w:r/>
            <w:r>
              <w:rPr>
                <w:b/>
                <w:color w:val="FFFFFF"/>
                <w:sz w:val="17"/>
              </w:rPr>
              <w:t>Mean charge</w:t>
            </w:r>
          </w:p>
        </w:tc>
        <w:tc>
          <w:tcPr>
            <w:tcW w:type="dxa" w:w="1584"/>
            <w:shd w:fill="1B4965"/>
          </w:tcPr>
          <w:p>
            <w:r/>
            <w:r>
              <w:rPr>
                <w:b/>
                <w:color w:val="FFFFFF"/>
                <w:sz w:val="17"/>
              </w:rPr>
              <w:t>Mean premium</w:t>
            </w:r>
          </w:p>
        </w:tc>
      </w:tr>
      <w:tr>
        <w:tc>
          <w:tcPr>
            <w:tcW w:type="dxa" w:w="1584"/>
          </w:tcPr>
          <w:p>
            <w:r/>
            <w:r>
              <w:rPr>
                <w:sz w:val="17"/>
              </w:rPr>
              <w:t>Poor</w:t>
            </w:r>
          </w:p>
        </w:tc>
        <w:tc>
          <w:tcPr>
            <w:tcW w:type="dxa" w:w="1440"/>
          </w:tcPr>
          <w:p>
            <w:r/>
            <w:r>
              <w:rPr>
                <w:sz w:val="17"/>
              </w:rPr>
              <w:t>0–34.9</w:t>
            </w:r>
          </w:p>
        </w:tc>
        <w:tc>
          <w:tcPr>
            <w:tcW w:type="dxa" w:w="1368"/>
          </w:tcPr>
          <w:p>
            <w:pPr>
              <w:jc w:val="right"/>
            </w:pPr>
            <w:r/>
            <w:r>
              <w:rPr>
                <w:sz w:val="17"/>
              </w:rPr>
              <w:t>196</w:t>
            </w:r>
          </w:p>
        </w:tc>
        <w:tc>
          <w:tcPr>
            <w:tcW w:type="dxa" w:w="1440"/>
          </w:tcPr>
          <w:p>
            <w:pPr>
              <w:jc w:val="right"/>
            </w:pPr>
            <w:r/>
            <w:r>
              <w:rPr>
                <w:sz w:val="17"/>
              </w:rPr>
              <w:t>27.1</w:t>
            </w:r>
          </w:p>
        </w:tc>
        <w:tc>
          <w:tcPr>
            <w:tcW w:type="dxa" w:w="1584"/>
          </w:tcPr>
          <w:p>
            <w:pPr>
              <w:jc w:val="right"/>
            </w:pPr>
            <w:r/>
            <w:r>
              <w:rPr>
                <w:sz w:val="17"/>
              </w:rPr>
              <w:t>$44,108</w:t>
            </w:r>
          </w:p>
        </w:tc>
        <w:tc>
          <w:tcPr>
            <w:tcW w:type="dxa" w:w="1584"/>
          </w:tcPr>
          <w:p>
            <w:pPr>
              <w:jc w:val="right"/>
            </w:pPr>
            <w:r/>
            <w:r>
              <w:rPr>
                <w:sz w:val="17"/>
              </w:rPr>
              <w:t>$56,052</w:t>
            </w:r>
          </w:p>
        </w:tc>
      </w:tr>
      <w:tr>
        <w:tc>
          <w:tcPr>
            <w:tcW w:type="dxa" w:w="1584"/>
            <w:shd w:fill="EEF4F8"/>
          </w:tcPr>
          <w:p>
            <w:r/>
            <w:r>
              <w:rPr>
                <w:sz w:val="17"/>
              </w:rPr>
              <w:t>Fair</w:t>
            </w:r>
          </w:p>
        </w:tc>
        <w:tc>
          <w:tcPr>
            <w:tcW w:type="dxa" w:w="1440"/>
            <w:shd w:fill="EEF4F8"/>
          </w:tcPr>
          <w:p>
            <w:r/>
            <w:r>
              <w:rPr>
                <w:sz w:val="17"/>
              </w:rPr>
              <w:t>35–54.9</w:t>
            </w:r>
          </w:p>
        </w:tc>
        <w:tc>
          <w:tcPr>
            <w:tcW w:type="dxa" w:w="1368"/>
            <w:shd w:fill="EEF4F8"/>
          </w:tcPr>
          <w:p>
            <w:pPr>
              <w:jc w:val="right"/>
            </w:pPr>
            <w:r/>
            <w:r>
              <w:rPr>
                <w:sz w:val="17"/>
              </w:rPr>
              <w:t>170</w:t>
            </w:r>
          </w:p>
        </w:tc>
        <w:tc>
          <w:tcPr>
            <w:tcW w:type="dxa" w:w="1440"/>
            <w:shd w:fill="EEF4F8"/>
          </w:tcPr>
          <w:p>
            <w:pPr>
              <w:jc w:val="right"/>
            </w:pPr>
            <w:r/>
            <w:r>
              <w:rPr>
                <w:sz w:val="17"/>
              </w:rPr>
              <w:t>43.4</w:t>
            </w:r>
          </w:p>
        </w:tc>
        <w:tc>
          <w:tcPr>
            <w:tcW w:type="dxa" w:w="1584"/>
            <w:shd w:fill="EEF4F8"/>
          </w:tcPr>
          <w:p>
            <w:pPr>
              <w:jc w:val="right"/>
            </w:pPr>
            <w:r/>
            <w:r>
              <w:rPr>
                <w:sz w:val="17"/>
              </w:rPr>
              <w:t>$23,625</w:t>
            </w:r>
          </w:p>
        </w:tc>
        <w:tc>
          <w:tcPr>
            <w:tcW w:type="dxa" w:w="1584"/>
            <w:shd w:fill="EEF4F8"/>
          </w:tcPr>
          <w:p>
            <w:pPr>
              <w:jc w:val="right"/>
            </w:pPr>
            <w:r/>
            <w:r>
              <w:rPr>
                <w:sz w:val="17"/>
              </w:rPr>
              <w:t>$28,671</w:t>
            </w:r>
          </w:p>
        </w:tc>
      </w:tr>
      <w:tr>
        <w:tc>
          <w:tcPr>
            <w:tcW w:type="dxa" w:w="1584"/>
          </w:tcPr>
          <w:p>
            <w:r/>
            <w:r>
              <w:rPr>
                <w:sz w:val="17"/>
              </w:rPr>
              <w:t>Good</w:t>
            </w:r>
          </w:p>
        </w:tc>
        <w:tc>
          <w:tcPr>
            <w:tcW w:type="dxa" w:w="1440"/>
          </w:tcPr>
          <w:p>
            <w:r/>
            <w:r>
              <w:rPr>
                <w:sz w:val="17"/>
              </w:rPr>
              <w:t>55–74.9</w:t>
            </w:r>
          </w:p>
        </w:tc>
        <w:tc>
          <w:tcPr>
            <w:tcW w:type="dxa" w:w="1368"/>
          </w:tcPr>
          <w:p>
            <w:pPr>
              <w:jc w:val="right"/>
            </w:pPr>
            <w:r/>
            <w:r>
              <w:rPr>
                <w:sz w:val="17"/>
              </w:rPr>
              <w:t>280</w:t>
            </w:r>
          </w:p>
        </w:tc>
        <w:tc>
          <w:tcPr>
            <w:tcW w:type="dxa" w:w="1440"/>
          </w:tcPr>
          <w:p>
            <w:pPr>
              <w:jc w:val="right"/>
            </w:pPr>
            <w:r/>
            <w:r>
              <w:rPr>
                <w:sz w:val="17"/>
              </w:rPr>
              <w:t>69.4</w:t>
            </w:r>
          </w:p>
        </w:tc>
        <w:tc>
          <w:tcPr>
            <w:tcW w:type="dxa" w:w="1584"/>
          </w:tcPr>
          <w:p>
            <w:pPr>
              <w:jc w:val="right"/>
            </w:pPr>
            <w:r/>
            <w:r>
              <w:rPr>
                <w:sz w:val="17"/>
              </w:rPr>
              <w:t>$21,056</w:t>
            </w:r>
          </w:p>
        </w:tc>
        <w:tc>
          <w:tcPr>
            <w:tcW w:type="dxa" w:w="1584"/>
          </w:tcPr>
          <w:p>
            <w:pPr>
              <w:jc w:val="right"/>
            </w:pPr>
            <w:r/>
            <w:r>
              <w:rPr>
                <w:sz w:val="17"/>
              </w:rPr>
              <w:t>$24,385</w:t>
            </w:r>
          </w:p>
        </w:tc>
      </w:tr>
      <w:tr>
        <w:tc>
          <w:tcPr>
            <w:tcW w:type="dxa" w:w="1584"/>
            <w:shd w:fill="EEF4F8"/>
          </w:tcPr>
          <w:p>
            <w:r/>
            <w:r>
              <w:rPr>
                <w:sz w:val="17"/>
              </w:rPr>
              <w:t>Excellent</w:t>
            </w:r>
          </w:p>
        </w:tc>
        <w:tc>
          <w:tcPr>
            <w:tcW w:type="dxa" w:w="1440"/>
            <w:shd w:fill="EEF4F8"/>
          </w:tcPr>
          <w:p>
            <w:r/>
            <w:r>
              <w:rPr>
                <w:sz w:val="17"/>
              </w:rPr>
              <w:t>75–100</w:t>
            </w:r>
          </w:p>
        </w:tc>
        <w:tc>
          <w:tcPr>
            <w:tcW w:type="dxa" w:w="1368"/>
            <w:shd w:fill="EEF4F8"/>
          </w:tcPr>
          <w:p>
            <w:pPr>
              <w:jc w:val="right"/>
            </w:pPr>
            <w:r/>
            <w:r>
              <w:rPr>
                <w:sz w:val="17"/>
              </w:rPr>
              <w:t>554</w:t>
            </w:r>
          </w:p>
        </w:tc>
        <w:tc>
          <w:tcPr>
            <w:tcW w:type="dxa" w:w="1440"/>
            <w:shd w:fill="EEF4F8"/>
          </w:tcPr>
          <w:p>
            <w:pPr>
              <w:jc w:val="right"/>
            </w:pPr>
            <w:r/>
            <w:r>
              <w:rPr>
                <w:sz w:val="17"/>
              </w:rPr>
              <w:t>86.2</w:t>
            </w:r>
          </w:p>
        </w:tc>
        <w:tc>
          <w:tcPr>
            <w:tcW w:type="dxa" w:w="1584"/>
            <w:shd w:fill="EEF4F8"/>
          </w:tcPr>
          <w:p>
            <w:pPr>
              <w:jc w:val="right"/>
            </w:pPr>
            <w:r/>
            <w:r>
              <w:rPr>
                <w:sz w:val="17"/>
              </w:rPr>
              <w:t>$11,019</w:t>
            </w:r>
          </w:p>
        </w:tc>
        <w:tc>
          <w:tcPr>
            <w:tcW w:type="dxa" w:w="1584"/>
            <w:shd w:fill="EEF4F8"/>
          </w:tcPr>
          <w:p>
            <w:pPr>
              <w:jc w:val="right"/>
            </w:pPr>
            <w:r/>
            <w:r>
              <w:rPr>
                <w:sz w:val="17"/>
              </w:rPr>
              <w:t>$13,257</w:t>
            </w:r>
          </w:p>
        </w:tc>
      </w:tr>
    </w:tbl>
    <w:p>
      <w:pPr>
        <w:spacing w:after="80"/>
      </w:pPr>
    </w:p>
    <w:p>
      <w:pPr>
        <w:spacing w:after="120"/>
      </w:pPr>
      <w:r>
        <w:rPr>
          <w:b w:val="0"/>
          <w:i w:val="0"/>
          <w:sz w:val="21"/>
        </w:rPr>
        <w:t>Poor-band customers cost 4.0× more than Excellent-band customers ($44,108 vs $11,019), and the bands order monotonically with no inversions — the score separates real cost risk rather than merely ranking people. One honest observation: the Fair and Good bands sit close together despite a 26-point score gap, because the smoker term (46% of the score) is binary and creates separation at the extremes rather than a smooth gradient.</w:t>
      </w:r>
    </w:p>
    <w:p>
      <w:pPr>
        <w:pStyle w:val="Heading2"/>
      </w:pPr>
      <w:r>
        <w:t>Worked example calculations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037"/>
            <w:shd w:fill="1B4965"/>
          </w:tcPr>
          <w:p>
            <w:r/>
            <w:r>
              <w:rPr>
                <w:b/>
                <w:color w:val="FFFFFF"/>
                <w:sz w:val="15"/>
              </w:rPr>
              <w:t>Customer</w:t>
            </w:r>
          </w:p>
        </w:tc>
        <w:tc>
          <w:tcPr>
            <w:tcW w:type="dxa" w:w="2520"/>
            <w:shd w:fill="1B4965"/>
          </w:tcPr>
          <w:p>
            <w:r/>
            <w:r>
              <w:rPr>
                <w:b/>
                <w:color w:val="FFFFFF"/>
                <w:sz w:val="15"/>
              </w:rPr>
              <w:t>Profile</w:t>
            </w:r>
          </w:p>
        </w:tc>
        <w:tc>
          <w:tcPr>
            <w:tcW w:type="dxa" w:w="1123"/>
            <w:shd w:fill="1B4965"/>
          </w:tcPr>
          <w:p>
            <w:r/>
            <w:r>
              <w:rPr>
                <w:b/>
                <w:color w:val="FFFFFF"/>
                <w:sz w:val="15"/>
              </w:rPr>
              <w:t>Smoker×w</w:t>
            </w:r>
          </w:p>
        </w:tc>
        <w:tc>
          <w:tcPr>
            <w:tcW w:type="dxa" w:w="1037"/>
            <w:shd w:fill="1B4965"/>
          </w:tcPr>
          <w:p>
            <w:r/>
            <w:r>
              <w:rPr>
                <w:b/>
                <w:color w:val="FFFFFF"/>
                <w:sz w:val="15"/>
              </w:rPr>
              <w:t>Age×w</w:t>
            </w:r>
          </w:p>
        </w:tc>
        <w:tc>
          <w:tcPr>
            <w:tcW w:type="dxa" w:w="1037"/>
            <w:shd w:fill="1B4965"/>
          </w:tcPr>
          <w:p>
            <w:r/>
            <w:r>
              <w:rPr>
                <w:b/>
                <w:color w:val="FFFFFF"/>
                <w:sz w:val="15"/>
              </w:rPr>
              <w:t>BMI×w</w:t>
            </w:r>
          </w:p>
        </w:tc>
        <w:tc>
          <w:tcPr>
            <w:tcW w:type="dxa" w:w="1123"/>
            <w:shd w:fill="1B4965"/>
          </w:tcPr>
          <w:p>
            <w:r/>
            <w:r>
              <w:rPr>
                <w:b/>
                <w:color w:val="FFFFFF"/>
                <w:sz w:val="15"/>
              </w:rPr>
              <w:t>Exercise×w</w:t>
            </w:r>
          </w:p>
        </w:tc>
        <w:tc>
          <w:tcPr>
            <w:tcW w:type="dxa" w:w="792"/>
            <w:shd w:fill="1B4965"/>
          </w:tcPr>
          <w:p>
            <w:r/>
            <w:r>
              <w:rPr>
                <w:b/>
                <w:color w:val="FFFFFF"/>
                <w:sz w:val="15"/>
              </w:rPr>
              <w:t>SCORE</w:t>
            </w:r>
          </w:p>
        </w:tc>
        <w:tc>
          <w:tcPr>
            <w:tcW w:type="dxa" w:w="1152"/>
            <w:shd w:fill="1B4965"/>
          </w:tcPr>
          <w:p>
            <w:r/>
            <w:r>
              <w:rPr>
                <w:b/>
                <w:color w:val="FFFFFF"/>
                <w:sz w:val="15"/>
              </w:rPr>
              <w:t>Actual charge</w:t>
            </w:r>
          </w:p>
        </w:tc>
      </w:tr>
      <w:tr>
        <w:tc>
          <w:tcPr>
            <w:tcW w:type="dxa" w:w="1037"/>
          </w:tcPr>
          <w:p>
            <w:r/>
            <w:r>
              <w:rPr>
                <w:sz w:val="15"/>
              </w:rPr>
              <w:t>HW2025</w:t>
            </w:r>
          </w:p>
        </w:tc>
        <w:tc>
          <w:tcPr>
            <w:tcW w:type="dxa" w:w="2520"/>
          </w:tcPr>
          <w:p>
            <w:r/>
            <w:r>
              <w:rPr>
                <w:sz w:val="15"/>
              </w:rPr>
              <w:t>18y male, BMI 22.4, smoker=no, ex=6</w:t>
            </w:r>
          </w:p>
        </w:tc>
        <w:tc>
          <w:tcPr>
            <w:tcW w:type="dxa" w:w="1123"/>
          </w:tcPr>
          <w:p>
            <w:r/>
            <w:r>
              <w:rPr>
                <w:sz w:val="15"/>
              </w:rPr>
              <w:t>100×0.460=46.0</w:t>
            </w:r>
          </w:p>
        </w:tc>
        <w:tc>
          <w:tcPr>
            <w:tcW w:type="dxa" w:w="1037"/>
          </w:tcPr>
          <w:p>
            <w:r/>
            <w:r>
              <w:rPr>
                <w:sz w:val="15"/>
              </w:rPr>
              <w:t>100×0.287=28.7</w:t>
            </w:r>
          </w:p>
        </w:tc>
        <w:tc>
          <w:tcPr>
            <w:tcW w:type="dxa" w:w="1037"/>
          </w:tcPr>
          <w:p>
            <w:r/>
            <w:r>
              <w:rPr>
                <w:sz w:val="15"/>
              </w:rPr>
              <w:t>100×0.244=24.4</w:t>
            </w:r>
          </w:p>
        </w:tc>
        <w:tc>
          <w:tcPr>
            <w:tcW w:type="dxa" w:w="1123"/>
          </w:tcPr>
          <w:p>
            <w:r/>
            <w:r>
              <w:rPr>
                <w:sz w:val="15"/>
              </w:rPr>
              <w:t>86×0.009=0.8</w:t>
            </w:r>
          </w:p>
        </w:tc>
        <w:tc>
          <w:tcPr>
            <w:tcW w:type="dxa" w:w="792"/>
          </w:tcPr>
          <w:p>
            <w:pPr>
              <w:jc w:val="right"/>
            </w:pPr>
            <w:r/>
            <w:r>
              <w:rPr>
                <w:sz w:val="15"/>
              </w:rPr>
              <w:t>99.87</w:t>
            </w:r>
          </w:p>
        </w:tc>
        <w:tc>
          <w:tcPr>
            <w:tcW w:type="dxa" w:w="1152"/>
          </w:tcPr>
          <w:p>
            <w:pPr>
              <w:jc w:val="right"/>
            </w:pPr>
            <w:r/>
            <w:r>
              <w:rPr>
                <w:sz w:val="15"/>
              </w:rPr>
              <w:t>$7,880</w:t>
            </w:r>
          </w:p>
        </w:tc>
      </w:tr>
      <w:tr>
        <w:tc>
          <w:tcPr>
            <w:tcW w:type="dxa" w:w="1037"/>
            <w:shd w:fill="EEF4F8"/>
          </w:tcPr>
          <w:p>
            <w:r/>
            <w:r>
              <w:rPr>
                <w:sz w:val="15"/>
              </w:rPr>
              <w:t>HW1277</w:t>
            </w:r>
          </w:p>
        </w:tc>
        <w:tc>
          <w:tcPr>
            <w:tcW w:type="dxa" w:w="2520"/>
            <w:shd w:fill="EEF4F8"/>
          </w:tcPr>
          <w:p>
            <w:r/>
            <w:r>
              <w:rPr>
                <w:sz w:val="15"/>
              </w:rPr>
              <w:t>41y male, BMI 35.3, smoker=no, ex=3</w:t>
            </w:r>
          </w:p>
        </w:tc>
        <w:tc>
          <w:tcPr>
            <w:tcW w:type="dxa" w:w="1123"/>
            <w:shd w:fill="EEF4F8"/>
          </w:tcPr>
          <w:p>
            <w:r/>
            <w:r>
              <w:rPr>
                <w:sz w:val="15"/>
              </w:rPr>
              <w:t>100×0.460=46.0</w:t>
            </w:r>
          </w:p>
        </w:tc>
        <w:tc>
          <w:tcPr>
            <w:tcW w:type="dxa" w:w="1037"/>
            <w:shd w:fill="EEF4F8"/>
          </w:tcPr>
          <w:p>
            <w:r/>
            <w:r>
              <w:rPr>
                <w:sz w:val="15"/>
              </w:rPr>
              <w:t>50×0.287=14.4</w:t>
            </w:r>
          </w:p>
        </w:tc>
        <w:tc>
          <w:tcPr>
            <w:tcW w:type="dxa" w:w="1037"/>
            <w:shd w:fill="EEF4F8"/>
          </w:tcPr>
          <w:p>
            <w:r/>
            <w:r>
              <w:rPr>
                <w:sz w:val="15"/>
              </w:rPr>
              <w:t>53×0.244=13.0</w:t>
            </w:r>
          </w:p>
        </w:tc>
        <w:tc>
          <w:tcPr>
            <w:tcW w:type="dxa" w:w="1123"/>
            <w:shd w:fill="EEF4F8"/>
          </w:tcPr>
          <w:p>
            <w:r/>
            <w:r>
              <w:rPr>
                <w:sz w:val="15"/>
              </w:rPr>
              <w:t>43×0.009=0.4</w:t>
            </w:r>
          </w:p>
        </w:tc>
        <w:tc>
          <w:tcPr>
            <w:tcW w:type="dxa" w:w="792"/>
            <w:shd w:fill="EEF4F8"/>
          </w:tcPr>
          <w:p>
            <w:pPr>
              <w:jc w:val="right"/>
            </w:pPr>
            <w:r/>
            <w:r>
              <w:rPr>
                <w:sz w:val="15"/>
              </w:rPr>
              <w:t>73.70</w:t>
            </w:r>
          </w:p>
        </w:tc>
        <w:tc>
          <w:tcPr>
            <w:tcW w:type="dxa" w:w="1152"/>
            <w:shd w:fill="EEF4F8"/>
          </w:tcPr>
          <w:p>
            <w:pPr>
              <w:jc w:val="right"/>
            </w:pPr>
            <w:r/>
            <w:r>
              <w:rPr>
                <w:sz w:val="15"/>
              </w:rPr>
              <w:t>$16,912</w:t>
            </w:r>
          </w:p>
        </w:tc>
      </w:tr>
      <w:tr>
        <w:tc>
          <w:tcPr>
            <w:tcW w:type="dxa" w:w="1037"/>
          </w:tcPr>
          <w:p>
            <w:r/>
            <w:r>
              <w:rPr>
                <w:sz w:val="15"/>
              </w:rPr>
              <w:t>HW1313</w:t>
            </w:r>
          </w:p>
        </w:tc>
        <w:tc>
          <w:tcPr>
            <w:tcW w:type="dxa" w:w="2520"/>
          </w:tcPr>
          <w:p>
            <w:r/>
            <w:r>
              <w:rPr>
                <w:sz w:val="15"/>
              </w:rPr>
              <w:t>63y male, BMI 38.8, smoker=yes, ex=3</w:t>
            </w:r>
          </w:p>
        </w:tc>
        <w:tc>
          <w:tcPr>
            <w:tcW w:type="dxa" w:w="1123"/>
          </w:tcPr>
          <w:p>
            <w:r/>
            <w:r>
              <w:rPr>
                <w:sz w:val="15"/>
              </w:rPr>
              <w:t>0×0.460=0.0</w:t>
            </w:r>
          </w:p>
        </w:tc>
        <w:tc>
          <w:tcPr>
            <w:tcW w:type="dxa" w:w="1037"/>
          </w:tcPr>
          <w:p>
            <w:r/>
            <w:r>
              <w:rPr>
                <w:sz w:val="15"/>
              </w:rPr>
              <w:t>2×0.287=0.6</w:t>
            </w:r>
          </w:p>
        </w:tc>
        <w:tc>
          <w:tcPr>
            <w:tcW w:type="dxa" w:w="1037"/>
          </w:tcPr>
          <w:p>
            <w:r/>
            <w:r>
              <w:rPr>
                <w:sz w:val="15"/>
              </w:rPr>
              <w:t>37×0.244=9.1</w:t>
            </w:r>
          </w:p>
        </w:tc>
        <w:tc>
          <w:tcPr>
            <w:tcW w:type="dxa" w:w="1123"/>
          </w:tcPr>
          <w:p>
            <w:r/>
            <w:r>
              <w:rPr>
                <w:sz w:val="15"/>
              </w:rPr>
              <w:t>43×0.009=0.4</w:t>
            </w:r>
          </w:p>
        </w:tc>
        <w:tc>
          <w:tcPr>
            <w:tcW w:type="dxa" w:w="792"/>
          </w:tcPr>
          <w:p>
            <w:pPr>
              <w:jc w:val="right"/>
            </w:pPr>
            <w:r/>
            <w:r>
              <w:rPr>
                <w:sz w:val="15"/>
              </w:rPr>
              <w:t>10.15</w:t>
            </w:r>
          </w:p>
        </w:tc>
        <w:tc>
          <w:tcPr>
            <w:tcW w:type="dxa" w:w="1152"/>
          </w:tcPr>
          <w:p>
            <w:pPr>
              <w:jc w:val="right"/>
            </w:pPr>
            <w:r/>
            <w:r>
              <w:rPr>
                <w:sz w:val="15"/>
              </w:rPr>
              <w:t>$57,557</w:t>
            </w:r>
          </w:p>
        </w:tc>
      </w:tr>
    </w:tbl>
    <w:p>
      <w:pPr>
        <w:spacing w:after="80"/>
      </w:pPr>
    </w:p>
    <w:p>
      <w:pPr>
        <w:jc w:val="center"/>
      </w:pPr>
      <w:r>
        <w:drawing>
          <wp:inline xmlns:a="http://schemas.openxmlformats.org/drawingml/2006/main" xmlns:pic="http://schemas.openxmlformats.org/drawingml/2006/picture">
            <wp:extent cx="5852160" cy="1797643"/>
            <wp:docPr id="4" name="Picture 4"/>
            <wp:cNvGraphicFramePr>
              <a:graphicFrameLocks noChangeAspect="1"/>
            </wp:cNvGraphicFramePr>
            <a:graphic>
              <a:graphicData uri="http://schemas.openxmlformats.org/drawingml/2006/picture">
                <pic:pic>
                  <pic:nvPicPr>
                    <pic:cNvPr id="0" name="09_health_score.png"/>
                    <pic:cNvPicPr/>
                  </pic:nvPicPr>
                  <pic:blipFill>
                    <a:blip r:embed="rId12"/>
                    <a:stretch>
                      <a:fillRect/>
                    </a:stretch>
                  </pic:blipFill>
                  <pic:spPr>
                    <a:xfrm>
                      <a:off x="0" y="0"/>
                      <a:ext cx="5852160" cy="1797643"/>
                    </a:xfrm>
                    <a:prstGeom prst="rect"/>
                  </pic:spPr>
                </pic:pic>
              </a:graphicData>
            </a:graphic>
          </wp:inline>
        </w:drawing>
      </w:r>
    </w:p>
    <w:p>
      <w:pPr>
        <w:spacing w:after="220"/>
        <w:jc w:val="center"/>
      </w:pPr>
      <w:r>
        <w:rPr>
          <w:i/>
          <w:color w:val="5A6A78"/>
          <w:sz w:val="17"/>
        </w:rPr>
        <w:t>Figure 4 — Health Score construction and validation: derived weights, the score distribution with band thresholds, and mean charge by band.</w:t>
      </w:r>
    </w:p>
    <w:p>
      <w:r>
        <w:br w:type="page"/>
      </w:r>
    </w:p>
    <w:p>
      <w:pPr>
        <w:pStyle w:val="Heading1"/>
      </w:pPr>
      <w:r>
        <w:t>9. Exploratory Data Analysis</w:t>
      </w:r>
    </w:p>
    <w:p>
      <w:pPr>
        <w:pStyle w:val="Heading2"/>
      </w:pPr>
      <w:r>
        <w:t>9.1 The target variable</w:t>
      </w:r>
    </w:p>
    <w:p>
      <w:pPr>
        <w:spacing w:after="120"/>
      </w:pPr>
      <w:r>
        <w:rPr>
          <w:b w:val="0"/>
          <w:i w:val="0"/>
          <w:sz w:val="21"/>
        </w:rPr>
        <w:t>annual_charge is right-skewed (skew = 1.15) and, more importantly, visibly bimodal: a dense cluster of ordinary customers below roughly $25,000 and a clearly separated second hump between $30,000 and $60,000. That second hump is the smokers.</w:t>
      </w:r>
    </w:p>
    <w:tbl>
      <w:tblPr>
        <w:tblStyle w:val="TableGrid"/>
        <w:tblW w:type="auto" w:w="0"/>
        <w:tblLook w:firstColumn="1" w:firstRow="1" w:lastColumn="0" w:lastRow="0" w:noHBand="0" w:noVBand="1" w:val="04A0"/>
      </w:tblPr>
      <w:tblGrid>
        <w:gridCol w:w="9648"/>
      </w:tblGrid>
      <w:tr>
        <w:tc>
          <w:tcPr>
            <w:tcW w:type="dxa" w:w="9648"/>
            <w:shd w:fill="EAF4FA"/>
          </w:tcPr>
          <w:p>
            <w:r/>
            <w:r>
              <w:rPr>
                <w:b/>
                <w:color w:val="1B4965"/>
                <w:sz w:val="20"/>
              </w:rPr>
              <w:t xml:space="preserve">Why this matters more than the skew:  </w:t>
            </w:r>
            <w:r>
              <w:rPr>
                <w:sz w:val="20"/>
              </w:rPr>
              <w:t>A log transform fixes the skew (from +1.15 to +0.30) but does not fix the bimodality — the two humps survive it. The problem is not the shape of the tail; it is that the dataset contains multiple populations with different cost structures. No transformation of a single model can repair that, but segmenting the population can. This observation is what motivates the entire two-stage design.</w:t>
            </w:r>
          </w:p>
        </w:tc>
      </w:tr>
    </w:tbl>
    <w:p>
      <w:pPr>
        <w:spacing w:after="80"/>
      </w:pPr>
    </w:p>
    <w:p>
      <w:pPr>
        <w:jc w:val="center"/>
      </w:pPr>
      <w:r>
        <w:drawing>
          <wp:inline xmlns:a="http://schemas.openxmlformats.org/drawingml/2006/main" xmlns:pic="http://schemas.openxmlformats.org/drawingml/2006/picture">
            <wp:extent cx="5852160" cy="2598982"/>
            <wp:docPr id="5" name="Picture 5"/>
            <wp:cNvGraphicFramePr>
              <a:graphicFrameLocks noChangeAspect="1"/>
            </wp:cNvGraphicFramePr>
            <a:graphic>
              <a:graphicData uri="http://schemas.openxmlformats.org/drawingml/2006/picture">
                <pic:pic>
                  <pic:nvPicPr>
                    <pic:cNvPr id="0" name="01_target_distribution.png"/>
                    <pic:cNvPicPr/>
                  </pic:nvPicPr>
                  <pic:blipFill>
                    <a:blip r:embed="rId13"/>
                    <a:stretch>
                      <a:fillRect/>
                    </a:stretch>
                  </pic:blipFill>
                  <pic:spPr>
                    <a:xfrm>
                      <a:off x="0" y="0"/>
                      <a:ext cx="5852160" cy="2598982"/>
                    </a:xfrm>
                    <a:prstGeom prst="rect"/>
                  </pic:spPr>
                </pic:pic>
              </a:graphicData>
            </a:graphic>
          </wp:inline>
        </w:drawing>
      </w:r>
    </w:p>
    <w:p>
      <w:pPr>
        <w:spacing w:after="220"/>
        <w:jc w:val="center"/>
      </w:pPr>
      <w:r>
        <w:rPr>
          <w:i/>
          <w:color w:val="5A6A78"/>
          <w:sz w:val="17"/>
        </w:rPr>
        <w:t>Figure 5 — Annual charge before and after log transformation. The second mode survives the transform.</w:t>
      </w:r>
    </w:p>
    <w:p>
      <w:pPr>
        <w:pStyle w:val="Heading2"/>
      </w:pPr>
      <w:r>
        <w:t>9.2 Univariate and bivariate analysis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656"/>
            <w:shd w:fill="1B4965"/>
          </w:tcPr>
          <w:p>
            <w:r/>
            <w:r>
              <w:rPr>
                <w:b/>
                <w:color w:val="FFFFFF"/>
                <w:sz w:val="16"/>
              </w:rPr>
              <w:t>Variable</w:t>
            </w:r>
          </w:p>
        </w:tc>
        <w:tc>
          <w:tcPr>
            <w:tcW w:type="dxa" w:w="1123"/>
            <w:shd w:fill="1B4965"/>
          </w:tcPr>
          <w:p>
            <w:r/>
            <w:r>
              <w:rPr>
                <w:b/>
                <w:color w:val="FFFFFF"/>
                <w:sz w:val="16"/>
              </w:rPr>
              <w:t>Mean</w:t>
            </w:r>
          </w:p>
        </w:tc>
        <w:tc>
          <w:tcPr>
            <w:tcW w:type="dxa" w:w="1123"/>
            <w:shd w:fill="1B4965"/>
          </w:tcPr>
          <w:p>
            <w:r/>
            <w:r>
              <w:rPr>
                <w:b/>
                <w:color w:val="FFFFFF"/>
                <w:sz w:val="16"/>
              </w:rPr>
              <w:t>Median</w:t>
            </w:r>
          </w:p>
        </w:tc>
        <w:tc>
          <w:tcPr>
            <w:tcW w:type="dxa" w:w="1080"/>
            <w:shd w:fill="1B4965"/>
          </w:tcPr>
          <w:p>
            <w:r/>
            <w:r>
              <w:rPr>
                <w:b/>
                <w:color w:val="FFFFFF"/>
                <w:sz w:val="16"/>
              </w:rPr>
              <w:t>Std dev</w:t>
            </w:r>
          </w:p>
        </w:tc>
        <w:tc>
          <w:tcPr>
            <w:tcW w:type="dxa" w:w="1008"/>
            <w:shd w:fill="1B4965"/>
          </w:tcPr>
          <w:p>
            <w:r/>
            <w:r>
              <w:rPr>
                <w:b/>
                <w:color w:val="FFFFFF"/>
                <w:sz w:val="16"/>
              </w:rPr>
              <w:t>Min</w:t>
            </w:r>
          </w:p>
        </w:tc>
        <w:tc>
          <w:tcPr>
            <w:tcW w:type="dxa" w:w="1181"/>
            <w:shd w:fill="1B4965"/>
          </w:tcPr>
          <w:p>
            <w:r/>
            <w:r>
              <w:rPr>
                <w:b/>
                <w:color w:val="FFFFFF"/>
                <w:sz w:val="16"/>
              </w:rPr>
              <w:t>Max</w:t>
            </w:r>
          </w:p>
        </w:tc>
        <w:tc>
          <w:tcPr>
            <w:tcW w:type="dxa" w:w="1080"/>
            <w:shd w:fill="1B4965"/>
          </w:tcPr>
          <w:p>
            <w:r/>
            <w:r>
              <w:rPr>
                <w:b/>
                <w:color w:val="FFFFFF"/>
                <w:sz w:val="16"/>
              </w:rPr>
              <w:t>IQR</w:t>
            </w:r>
          </w:p>
        </w:tc>
        <w:tc>
          <w:tcPr>
            <w:tcW w:type="dxa" w:w="864"/>
            <w:shd w:fill="1B4965"/>
          </w:tcPr>
          <w:p>
            <w:r/>
            <w:r>
              <w:rPr>
                <w:b/>
                <w:color w:val="FFFFFF"/>
                <w:sz w:val="16"/>
              </w:rPr>
              <w:t>Skew</w:t>
            </w:r>
          </w:p>
        </w:tc>
      </w:tr>
      <w:tr>
        <w:tc>
          <w:tcPr>
            <w:tcW w:type="dxa" w:w="1656"/>
          </w:tcPr>
          <w:p>
            <w:r/>
            <w:r>
              <w:rPr>
                <w:sz w:val="16"/>
              </w:rPr>
              <w:t>age</w:t>
            </w:r>
          </w:p>
        </w:tc>
        <w:tc>
          <w:tcPr>
            <w:tcW w:type="dxa" w:w="1123"/>
          </w:tcPr>
          <w:p>
            <w:pPr>
              <w:jc w:val="right"/>
            </w:pPr>
            <w:r/>
            <w:r>
              <w:rPr>
                <w:sz w:val="16"/>
              </w:rPr>
              <w:t>41.13</w:t>
            </w:r>
          </w:p>
        </w:tc>
        <w:tc>
          <w:tcPr>
            <w:tcW w:type="dxa" w:w="1123"/>
          </w:tcPr>
          <w:p>
            <w:pPr>
              <w:jc w:val="right"/>
            </w:pPr>
            <w:r/>
            <w:r>
              <w:rPr>
                <w:sz w:val="16"/>
              </w:rPr>
              <w:t>42.00</w:t>
            </w:r>
          </w:p>
        </w:tc>
        <w:tc>
          <w:tcPr>
            <w:tcW w:type="dxa" w:w="1080"/>
          </w:tcPr>
          <w:p>
            <w:pPr>
              <w:jc w:val="right"/>
            </w:pPr>
            <w:r/>
            <w:r>
              <w:rPr>
                <w:sz w:val="16"/>
              </w:rPr>
              <w:t>13.54</w:t>
            </w:r>
          </w:p>
        </w:tc>
        <w:tc>
          <w:tcPr>
            <w:tcW w:type="dxa" w:w="1008"/>
          </w:tcPr>
          <w:p>
            <w:pPr>
              <w:jc w:val="right"/>
            </w:pPr>
            <w:r/>
            <w:r>
              <w:rPr>
                <w:sz w:val="16"/>
              </w:rPr>
              <w:t>18.00</w:t>
            </w:r>
          </w:p>
        </w:tc>
        <w:tc>
          <w:tcPr>
            <w:tcW w:type="dxa" w:w="1181"/>
          </w:tcPr>
          <w:p>
            <w:pPr>
              <w:jc w:val="right"/>
            </w:pPr>
            <w:r/>
            <w:r>
              <w:rPr>
                <w:sz w:val="16"/>
              </w:rPr>
              <w:t>64.00</w:t>
            </w:r>
          </w:p>
        </w:tc>
        <w:tc>
          <w:tcPr>
            <w:tcW w:type="dxa" w:w="1080"/>
          </w:tcPr>
          <w:p>
            <w:pPr>
              <w:jc w:val="right"/>
            </w:pPr>
            <w:r/>
            <w:r>
              <w:rPr>
                <w:sz w:val="16"/>
              </w:rPr>
              <w:t>24.00</w:t>
            </w:r>
          </w:p>
        </w:tc>
        <w:tc>
          <w:tcPr>
            <w:tcW w:type="dxa" w:w="864"/>
          </w:tcPr>
          <w:p>
            <w:pPr>
              <w:jc w:val="right"/>
            </w:pPr>
            <w:r/>
            <w:r>
              <w:rPr>
                <w:sz w:val="16"/>
              </w:rPr>
              <w:t>-0.06</w:t>
            </w:r>
          </w:p>
        </w:tc>
      </w:tr>
      <w:tr>
        <w:tc>
          <w:tcPr>
            <w:tcW w:type="dxa" w:w="1656"/>
            <w:shd w:fill="EEF4F8"/>
          </w:tcPr>
          <w:p>
            <w:r/>
            <w:r>
              <w:rPr>
                <w:sz w:val="16"/>
              </w:rPr>
              <w:t>bmi</w:t>
            </w:r>
          </w:p>
        </w:tc>
        <w:tc>
          <w:tcPr>
            <w:tcW w:type="dxa" w:w="1123"/>
            <w:shd w:fill="EEF4F8"/>
          </w:tcPr>
          <w:p>
            <w:pPr>
              <w:jc w:val="right"/>
            </w:pPr>
            <w:r/>
            <w:r>
              <w:rPr>
                <w:sz w:val="16"/>
              </w:rPr>
              <w:t>27.86</w:t>
            </w:r>
          </w:p>
        </w:tc>
        <w:tc>
          <w:tcPr>
            <w:tcW w:type="dxa" w:w="1123"/>
            <w:shd w:fill="EEF4F8"/>
          </w:tcPr>
          <w:p>
            <w:pPr>
              <w:jc w:val="right"/>
            </w:pPr>
            <w:r/>
            <w:r>
              <w:rPr>
                <w:sz w:val="16"/>
              </w:rPr>
              <w:t>28.00</w:t>
            </w:r>
          </w:p>
        </w:tc>
        <w:tc>
          <w:tcPr>
            <w:tcW w:type="dxa" w:w="1080"/>
            <w:shd w:fill="EEF4F8"/>
          </w:tcPr>
          <w:p>
            <w:pPr>
              <w:jc w:val="right"/>
            </w:pPr>
            <w:r/>
            <w:r>
              <w:rPr>
                <w:sz w:val="16"/>
              </w:rPr>
              <w:t>5.76</w:t>
            </w:r>
          </w:p>
        </w:tc>
        <w:tc>
          <w:tcPr>
            <w:tcW w:type="dxa" w:w="1008"/>
            <w:shd w:fill="EEF4F8"/>
          </w:tcPr>
          <w:p>
            <w:pPr>
              <w:jc w:val="right"/>
            </w:pPr>
            <w:r/>
            <w:r>
              <w:rPr>
                <w:sz w:val="16"/>
              </w:rPr>
              <w:t>16.00</w:t>
            </w:r>
          </w:p>
        </w:tc>
        <w:tc>
          <w:tcPr>
            <w:tcW w:type="dxa" w:w="1181"/>
            <w:shd w:fill="EEF4F8"/>
          </w:tcPr>
          <w:p>
            <w:pPr>
              <w:jc w:val="right"/>
            </w:pPr>
            <w:r/>
            <w:r>
              <w:rPr>
                <w:sz w:val="16"/>
              </w:rPr>
              <w:t>44.40</w:t>
            </w:r>
          </w:p>
        </w:tc>
        <w:tc>
          <w:tcPr>
            <w:tcW w:type="dxa" w:w="1080"/>
            <w:shd w:fill="EEF4F8"/>
          </w:tcPr>
          <w:p>
            <w:pPr>
              <w:jc w:val="right"/>
            </w:pPr>
            <w:r/>
            <w:r>
              <w:rPr>
                <w:sz w:val="16"/>
              </w:rPr>
              <w:t>7.90</w:t>
            </w:r>
          </w:p>
        </w:tc>
        <w:tc>
          <w:tcPr>
            <w:tcW w:type="dxa" w:w="864"/>
            <w:shd w:fill="EEF4F8"/>
          </w:tcPr>
          <w:p>
            <w:pPr>
              <w:jc w:val="right"/>
            </w:pPr>
            <w:r/>
            <w:r>
              <w:rPr>
                <w:sz w:val="16"/>
              </w:rPr>
              <w:t>+0.11</w:t>
            </w:r>
          </w:p>
        </w:tc>
      </w:tr>
      <w:tr>
        <w:tc>
          <w:tcPr>
            <w:tcW w:type="dxa" w:w="1656"/>
          </w:tcPr>
          <w:p>
            <w:r/>
            <w:r>
              <w:rPr>
                <w:sz w:val="16"/>
              </w:rPr>
              <w:t>children</w:t>
            </w:r>
          </w:p>
        </w:tc>
        <w:tc>
          <w:tcPr>
            <w:tcW w:type="dxa" w:w="1123"/>
          </w:tcPr>
          <w:p>
            <w:pPr>
              <w:jc w:val="right"/>
            </w:pPr>
            <w:r/>
            <w:r>
              <w:rPr>
                <w:sz w:val="16"/>
              </w:rPr>
              <w:t>1.99</w:t>
            </w:r>
          </w:p>
        </w:tc>
        <w:tc>
          <w:tcPr>
            <w:tcW w:type="dxa" w:w="1123"/>
          </w:tcPr>
          <w:p>
            <w:pPr>
              <w:jc w:val="right"/>
            </w:pPr>
            <w:r/>
            <w:r>
              <w:rPr>
                <w:sz w:val="16"/>
              </w:rPr>
              <w:t>2.00</w:t>
            </w:r>
          </w:p>
        </w:tc>
        <w:tc>
          <w:tcPr>
            <w:tcW w:type="dxa" w:w="1080"/>
          </w:tcPr>
          <w:p>
            <w:pPr>
              <w:jc w:val="right"/>
            </w:pPr>
            <w:r/>
            <w:r>
              <w:rPr>
                <w:sz w:val="16"/>
              </w:rPr>
              <w:t>1.42</w:t>
            </w:r>
          </w:p>
        </w:tc>
        <w:tc>
          <w:tcPr>
            <w:tcW w:type="dxa" w:w="1008"/>
          </w:tcPr>
          <w:p>
            <w:pPr>
              <w:jc w:val="right"/>
            </w:pPr>
            <w:r/>
            <w:r>
              <w:rPr>
                <w:sz w:val="16"/>
              </w:rPr>
              <w:t>0.00</w:t>
            </w:r>
          </w:p>
        </w:tc>
        <w:tc>
          <w:tcPr>
            <w:tcW w:type="dxa" w:w="1181"/>
          </w:tcPr>
          <w:p>
            <w:pPr>
              <w:jc w:val="right"/>
            </w:pPr>
            <w:r/>
            <w:r>
              <w:rPr>
                <w:sz w:val="16"/>
              </w:rPr>
              <w:t>4.00</w:t>
            </w:r>
          </w:p>
        </w:tc>
        <w:tc>
          <w:tcPr>
            <w:tcW w:type="dxa" w:w="1080"/>
          </w:tcPr>
          <w:p>
            <w:pPr>
              <w:jc w:val="right"/>
            </w:pPr>
            <w:r/>
            <w:r>
              <w:rPr>
                <w:sz w:val="16"/>
              </w:rPr>
              <w:t>2.00</w:t>
            </w:r>
          </w:p>
        </w:tc>
        <w:tc>
          <w:tcPr>
            <w:tcW w:type="dxa" w:w="864"/>
          </w:tcPr>
          <w:p>
            <w:pPr>
              <w:jc w:val="right"/>
            </w:pPr>
            <w:r/>
            <w:r>
              <w:rPr>
                <w:sz w:val="16"/>
              </w:rPr>
              <w:t>+0.02</w:t>
            </w:r>
          </w:p>
        </w:tc>
      </w:tr>
      <w:tr>
        <w:tc>
          <w:tcPr>
            <w:tcW w:type="dxa" w:w="1656"/>
            <w:shd w:fill="EEF4F8"/>
          </w:tcPr>
          <w:p>
            <w:r/>
            <w:r>
              <w:rPr>
                <w:sz w:val="16"/>
              </w:rPr>
              <w:t>exercise_freq</w:t>
            </w:r>
          </w:p>
        </w:tc>
        <w:tc>
          <w:tcPr>
            <w:tcW w:type="dxa" w:w="1123"/>
            <w:shd w:fill="EEF4F8"/>
          </w:tcPr>
          <w:p>
            <w:pPr>
              <w:jc w:val="right"/>
            </w:pPr>
            <w:r/>
            <w:r>
              <w:rPr>
                <w:sz w:val="16"/>
              </w:rPr>
              <w:t>4.00</w:t>
            </w:r>
          </w:p>
        </w:tc>
        <w:tc>
          <w:tcPr>
            <w:tcW w:type="dxa" w:w="1123"/>
            <w:shd w:fill="EEF4F8"/>
          </w:tcPr>
          <w:p>
            <w:pPr>
              <w:jc w:val="right"/>
            </w:pPr>
            <w:r/>
            <w:r>
              <w:rPr>
                <w:sz w:val="16"/>
              </w:rPr>
              <w:t>4.00</w:t>
            </w:r>
          </w:p>
        </w:tc>
        <w:tc>
          <w:tcPr>
            <w:tcW w:type="dxa" w:w="1080"/>
            <w:shd w:fill="EEF4F8"/>
          </w:tcPr>
          <w:p>
            <w:pPr>
              <w:jc w:val="right"/>
            </w:pPr>
            <w:r/>
            <w:r>
              <w:rPr>
                <w:sz w:val="16"/>
              </w:rPr>
              <w:t>1.22</w:t>
            </w:r>
          </w:p>
        </w:tc>
        <w:tc>
          <w:tcPr>
            <w:tcW w:type="dxa" w:w="1008"/>
            <w:shd w:fill="EEF4F8"/>
          </w:tcPr>
          <w:p>
            <w:pPr>
              <w:jc w:val="right"/>
            </w:pPr>
            <w:r/>
            <w:r>
              <w:rPr>
                <w:sz w:val="16"/>
              </w:rPr>
              <w:t>0.00</w:t>
            </w:r>
          </w:p>
        </w:tc>
        <w:tc>
          <w:tcPr>
            <w:tcW w:type="dxa" w:w="1181"/>
            <w:shd w:fill="EEF4F8"/>
          </w:tcPr>
          <w:p>
            <w:pPr>
              <w:jc w:val="right"/>
            </w:pPr>
            <w:r/>
            <w:r>
              <w:rPr>
                <w:sz w:val="16"/>
              </w:rPr>
              <w:t>7.00</w:t>
            </w:r>
          </w:p>
        </w:tc>
        <w:tc>
          <w:tcPr>
            <w:tcW w:type="dxa" w:w="1080"/>
            <w:shd w:fill="EEF4F8"/>
          </w:tcPr>
          <w:p>
            <w:pPr>
              <w:jc w:val="right"/>
            </w:pPr>
            <w:r/>
            <w:r>
              <w:rPr>
                <w:sz w:val="16"/>
              </w:rPr>
              <w:t>2.00</w:t>
            </w:r>
          </w:p>
        </w:tc>
        <w:tc>
          <w:tcPr>
            <w:tcW w:type="dxa" w:w="864"/>
            <w:shd w:fill="EEF4F8"/>
          </w:tcPr>
          <w:p>
            <w:pPr>
              <w:jc w:val="right"/>
            </w:pPr>
            <w:r/>
            <w:r>
              <w:rPr>
                <w:sz w:val="16"/>
              </w:rPr>
              <w:t>-0.03</w:t>
            </w:r>
          </w:p>
        </w:tc>
      </w:tr>
      <w:tr>
        <w:tc>
          <w:tcPr>
            <w:tcW w:type="dxa" w:w="1656"/>
          </w:tcPr>
          <w:p>
            <w:r/>
            <w:r>
              <w:rPr>
                <w:sz w:val="16"/>
              </w:rPr>
              <w:t>health_score</w:t>
            </w:r>
          </w:p>
        </w:tc>
        <w:tc>
          <w:tcPr>
            <w:tcW w:type="dxa" w:w="1123"/>
          </w:tcPr>
          <w:p>
            <w:pPr>
              <w:jc w:val="right"/>
            </w:pPr>
            <w:r/>
            <w:r>
              <w:rPr>
                <w:sz w:val="16"/>
              </w:rPr>
              <w:t>66.55</w:t>
            </w:r>
          </w:p>
        </w:tc>
        <w:tc>
          <w:tcPr>
            <w:tcW w:type="dxa" w:w="1123"/>
          </w:tcPr>
          <w:p>
            <w:pPr>
              <w:jc w:val="right"/>
            </w:pPr>
            <w:r/>
            <w:r>
              <w:rPr>
                <w:sz w:val="16"/>
              </w:rPr>
              <w:t>73.73</w:t>
            </w:r>
          </w:p>
        </w:tc>
        <w:tc>
          <w:tcPr>
            <w:tcW w:type="dxa" w:w="1080"/>
          </w:tcPr>
          <w:p>
            <w:pPr>
              <w:jc w:val="right"/>
            </w:pPr>
            <w:r/>
            <w:r>
              <w:rPr>
                <w:sz w:val="16"/>
              </w:rPr>
              <w:t>23.33</w:t>
            </w:r>
          </w:p>
        </w:tc>
        <w:tc>
          <w:tcPr>
            <w:tcW w:type="dxa" w:w="1008"/>
          </w:tcPr>
          <w:p>
            <w:pPr>
              <w:jc w:val="right"/>
            </w:pPr>
            <w:r/>
            <w:r>
              <w:rPr>
                <w:sz w:val="16"/>
              </w:rPr>
              <w:t>10.15</w:t>
            </w:r>
          </w:p>
        </w:tc>
        <w:tc>
          <w:tcPr>
            <w:tcW w:type="dxa" w:w="1181"/>
          </w:tcPr>
          <w:p>
            <w:pPr>
              <w:jc w:val="right"/>
            </w:pPr>
            <w:r/>
            <w:r>
              <w:rPr>
                <w:sz w:val="16"/>
              </w:rPr>
              <w:t>99.87</w:t>
            </w:r>
          </w:p>
        </w:tc>
        <w:tc>
          <w:tcPr>
            <w:tcW w:type="dxa" w:w="1080"/>
          </w:tcPr>
          <w:p>
            <w:pPr>
              <w:jc w:val="right"/>
            </w:pPr>
            <w:r/>
            <w:r>
              <w:rPr>
                <w:sz w:val="16"/>
              </w:rPr>
              <w:t>39.99</w:t>
            </w:r>
          </w:p>
        </w:tc>
        <w:tc>
          <w:tcPr>
            <w:tcW w:type="dxa" w:w="864"/>
          </w:tcPr>
          <w:p>
            <w:pPr>
              <w:jc w:val="right"/>
            </w:pPr>
            <w:r/>
            <w:r>
              <w:rPr>
                <w:sz w:val="16"/>
              </w:rPr>
              <w:t>-0.63</w:t>
            </w:r>
          </w:p>
        </w:tc>
      </w:tr>
      <w:tr>
        <w:tc>
          <w:tcPr>
            <w:tcW w:type="dxa" w:w="1656"/>
            <w:shd w:fill="EEF4F8"/>
          </w:tcPr>
          <w:p>
            <w:r/>
            <w:r>
              <w:rPr>
                <w:sz w:val="16"/>
              </w:rPr>
              <w:t>annual_charge</w:t>
            </w:r>
          </w:p>
        </w:tc>
        <w:tc>
          <w:tcPr>
            <w:tcW w:type="dxa" w:w="1123"/>
            <w:shd w:fill="EEF4F8"/>
          </w:tcPr>
          <w:p>
            <w:pPr>
              <w:jc w:val="right"/>
            </w:pPr>
            <w:r/>
            <w:r>
              <w:rPr>
                <w:sz w:val="16"/>
              </w:rPr>
              <w:t>20,551.56</w:t>
            </w:r>
          </w:p>
        </w:tc>
        <w:tc>
          <w:tcPr>
            <w:tcW w:type="dxa" w:w="1123"/>
            <w:shd w:fill="EEF4F8"/>
          </w:tcPr>
          <w:p>
            <w:pPr>
              <w:jc w:val="right"/>
            </w:pPr>
            <w:r/>
            <w:r>
              <w:rPr>
                <w:sz w:val="16"/>
              </w:rPr>
              <w:t>15,867.20</w:t>
            </w:r>
          </w:p>
        </w:tc>
        <w:tc>
          <w:tcPr>
            <w:tcW w:type="dxa" w:w="1080"/>
            <w:shd w:fill="EEF4F8"/>
          </w:tcPr>
          <w:p>
            <w:pPr>
              <w:jc w:val="right"/>
            </w:pPr>
            <w:r/>
            <w:r>
              <w:rPr>
                <w:sz w:val="16"/>
              </w:rPr>
              <w:t>14,277.39</w:t>
            </w:r>
          </w:p>
        </w:tc>
        <w:tc>
          <w:tcPr>
            <w:tcW w:type="dxa" w:w="1008"/>
            <w:shd w:fill="EEF4F8"/>
          </w:tcPr>
          <w:p>
            <w:pPr>
              <w:jc w:val="right"/>
            </w:pPr>
            <w:r/>
            <w:r>
              <w:rPr>
                <w:sz w:val="16"/>
              </w:rPr>
              <w:t>5,176.29</w:t>
            </w:r>
          </w:p>
        </w:tc>
        <w:tc>
          <w:tcPr>
            <w:tcW w:type="dxa" w:w="1181"/>
            <w:shd w:fill="EEF4F8"/>
          </w:tcPr>
          <w:p>
            <w:pPr>
              <w:jc w:val="right"/>
            </w:pPr>
            <w:r/>
            <w:r>
              <w:rPr>
                <w:sz w:val="16"/>
              </w:rPr>
              <w:t>59,200.37</w:t>
            </w:r>
          </w:p>
        </w:tc>
        <w:tc>
          <w:tcPr>
            <w:tcW w:type="dxa" w:w="1080"/>
            <w:shd w:fill="EEF4F8"/>
          </w:tcPr>
          <w:p>
            <w:pPr>
              <w:jc w:val="right"/>
            </w:pPr>
            <w:r/>
            <w:r>
              <w:rPr>
                <w:sz w:val="16"/>
              </w:rPr>
              <w:t>9,793.23</w:t>
            </w:r>
          </w:p>
        </w:tc>
        <w:tc>
          <w:tcPr>
            <w:tcW w:type="dxa" w:w="864"/>
            <w:shd w:fill="EEF4F8"/>
          </w:tcPr>
          <w:p>
            <w:pPr>
              <w:jc w:val="right"/>
            </w:pPr>
            <w:r/>
            <w:r>
              <w:rPr>
                <w:sz w:val="16"/>
              </w:rPr>
              <w:t>+1.15</w:t>
            </w:r>
          </w:p>
        </w:tc>
      </w:tr>
      <w:tr>
        <w:tc>
          <w:tcPr>
            <w:tcW w:type="dxa" w:w="1656"/>
          </w:tcPr>
          <w:p>
            <w:r/>
            <w:r>
              <w:rPr>
                <w:sz w:val="16"/>
              </w:rPr>
              <w:t>final_premium</w:t>
            </w:r>
          </w:p>
        </w:tc>
        <w:tc>
          <w:tcPr>
            <w:tcW w:type="dxa" w:w="1123"/>
          </w:tcPr>
          <w:p>
            <w:pPr>
              <w:jc w:val="right"/>
            </w:pPr>
            <w:r/>
            <w:r>
              <w:rPr>
                <w:sz w:val="16"/>
              </w:rPr>
              <w:t>25,027.36</w:t>
            </w:r>
          </w:p>
        </w:tc>
        <w:tc>
          <w:tcPr>
            <w:tcW w:type="dxa" w:w="1123"/>
          </w:tcPr>
          <w:p>
            <w:pPr>
              <w:jc w:val="right"/>
            </w:pPr>
            <w:r/>
            <w:r>
              <w:rPr>
                <w:sz w:val="16"/>
              </w:rPr>
              <w:t>19,562.70</w:t>
            </w:r>
          </w:p>
        </w:tc>
        <w:tc>
          <w:tcPr>
            <w:tcW w:type="dxa" w:w="1080"/>
          </w:tcPr>
          <w:p>
            <w:pPr>
              <w:jc w:val="right"/>
            </w:pPr>
            <w:r/>
            <w:r>
              <w:rPr>
                <w:sz w:val="16"/>
              </w:rPr>
              <w:t>17,503.16</w:t>
            </w:r>
          </w:p>
        </w:tc>
        <w:tc>
          <w:tcPr>
            <w:tcW w:type="dxa" w:w="1008"/>
          </w:tcPr>
          <w:p>
            <w:pPr>
              <w:jc w:val="right"/>
            </w:pPr>
            <w:r/>
            <w:r>
              <w:rPr>
                <w:sz w:val="16"/>
              </w:rPr>
              <w:t>7,237.06</w:t>
            </w:r>
          </w:p>
        </w:tc>
        <w:tc>
          <w:tcPr>
            <w:tcW w:type="dxa" w:w="1181"/>
          </w:tcPr>
          <w:p>
            <w:pPr>
              <w:jc w:val="right"/>
            </w:pPr>
            <w:r/>
            <w:r>
              <w:rPr>
                <w:sz w:val="16"/>
              </w:rPr>
              <w:t>69,752.26</w:t>
            </w:r>
          </w:p>
        </w:tc>
        <w:tc>
          <w:tcPr>
            <w:tcW w:type="dxa" w:w="1080"/>
          </w:tcPr>
          <w:p>
            <w:pPr>
              <w:jc w:val="right"/>
            </w:pPr>
            <w:r/>
            <w:r>
              <w:rPr>
                <w:sz w:val="16"/>
              </w:rPr>
              <w:t>11,949.69</w:t>
            </w:r>
          </w:p>
        </w:tc>
        <w:tc>
          <w:tcPr>
            <w:tcW w:type="dxa" w:w="864"/>
          </w:tcPr>
          <w:p>
            <w:pPr>
              <w:jc w:val="right"/>
            </w:pPr>
            <w:r/>
            <w:r>
              <w:rPr>
                <w:sz w:val="16"/>
              </w:rPr>
              <w:t>+1.20</w:t>
            </w:r>
          </w:p>
        </w:tc>
      </w:tr>
    </w:tbl>
    <w:p>
      <w:pPr>
        <w:spacing w:after="80"/>
      </w:pPr>
    </w:p>
    <w:p>
      <w:pPr>
        <w:jc w:val="center"/>
      </w:pPr>
      <w:r>
        <w:drawing>
          <wp:inline xmlns:a="http://schemas.openxmlformats.org/drawingml/2006/main" xmlns:pic="http://schemas.openxmlformats.org/drawingml/2006/picture">
            <wp:extent cx="5852160" cy="3142293"/>
            <wp:docPr id="6" name="Picture 6"/>
            <wp:cNvGraphicFramePr>
              <a:graphicFrameLocks noChangeAspect="1"/>
            </wp:cNvGraphicFramePr>
            <a:graphic>
              <a:graphicData uri="http://schemas.openxmlformats.org/drawingml/2006/picture">
                <pic:pic>
                  <pic:nvPicPr>
                    <pic:cNvPr id="0" name="06_univariate_panel.png"/>
                    <pic:cNvPicPr/>
                  </pic:nvPicPr>
                  <pic:blipFill>
                    <a:blip r:embed="rId14"/>
                    <a:stretch>
                      <a:fillRect/>
                    </a:stretch>
                  </pic:blipFill>
                  <pic:spPr>
                    <a:xfrm>
                      <a:off x="0" y="0"/>
                      <a:ext cx="5852160" cy="3142293"/>
                    </a:xfrm>
                    <a:prstGeom prst="rect"/>
                  </pic:spPr>
                </pic:pic>
              </a:graphicData>
            </a:graphic>
          </wp:inline>
        </w:drawing>
      </w:r>
    </w:p>
    <w:p>
      <w:pPr>
        <w:spacing w:after="220"/>
        <w:jc w:val="center"/>
      </w:pPr>
      <w:r>
        <w:rPr>
          <w:i/>
          <w:color w:val="5A6A78"/>
          <w:sz w:val="17"/>
        </w:rPr>
        <w:t>Figure 6 — Distributions of the key modelling and output variables.</w:t>
      </w:r>
    </w:p>
    <w:p>
      <w:pPr>
        <w:jc w:val="center"/>
      </w:pPr>
      <w:r>
        <w:drawing>
          <wp:inline xmlns:a="http://schemas.openxmlformats.org/drawingml/2006/main" xmlns:pic="http://schemas.openxmlformats.org/drawingml/2006/picture">
            <wp:extent cx="5852160" cy="3058384"/>
            <wp:docPr id="7" name="Picture 7"/>
            <wp:cNvGraphicFramePr>
              <a:graphicFrameLocks noChangeAspect="1"/>
            </wp:cNvGraphicFramePr>
            <a:graphic>
              <a:graphicData uri="http://schemas.openxmlformats.org/drawingml/2006/picture">
                <pic:pic>
                  <pic:nvPicPr>
                    <pic:cNvPr id="0" name="07_bivariate_panel.png"/>
                    <pic:cNvPicPr/>
                  </pic:nvPicPr>
                  <pic:blipFill>
                    <a:blip r:embed="rId15"/>
                    <a:stretch>
                      <a:fillRect/>
                    </a:stretch>
                  </pic:blipFill>
                  <pic:spPr>
                    <a:xfrm>
                      <a:off x="0" y="0"/>
                      <a:ext cx="5852160" cy="3058384"/>
                    </a:xfrm>
                    <a:prstGeom prst="rect"/>
                  </pic:spPr>
                </pic:pic>
              </a:graphicData>
            </a:graphic>
          </wp:inline>
        </w:drawing>
      </w:r>
    </w:p>
    <w:p>
      <w:pPr>
        <w:spacing w:after="220"/>
        <w:jc w:val="center"/>
      </w:pPr>
      <w:r>
        <w:rPr>
          <w:i/>
          <w:color w:val="5A6A78"/>
          <w:sz w:val="17"/>
        </w:rPr>
        <w:t>Figure 7 — Bivariate analysis. Age, BMI and Health Score all relate to charge, but the smoker split dominates every panel.</w:t>
      </w:r>
    </w:p>
    <w:p>
      <w:pPr>
        <w:jc w:val="center"/>
      </w:pPr>
      <w:r>
        <w:drawing>
          <wp:inline xmlns:a="http://schemas.openxmlformats.org/drawingml/2006/main" xmlns:pic="http://schemas.openxmlformats.org/drawingml/2006/picture">
            <wp:extent cx="5852160" cy="1755058"/>
            <wp:docPr id="8" name="Picture 8"/>
            <wp:cNvGraphicFramePr>
              <a:graphicFrameLocks noChangeAspect="1"/>
            </wp:cNvGraphicFramePr>
            <a:graphic>
              <a:graphicData uri="http://schemas.openxmlformats.org/drawingml/2006/picture">
                <pic:pic>
                  <pic:nvPicPr>
                    <pic:cNvPr id="0" name="08_multivariate.png"/>
                    <pic:cNvPicPr/>
                  </pic:nvPicPr>
                  <pic:blipFill>
                    <a:blip r:embed="rId16"/>
                    <a:stretch>
                      <a:fillRect/>
                    </a:stretch>
                  </pic:blipFill>
                  <pic:spPr>
                    <a:xfrm>
                      <a:off x="0" y="0"/>
                      <a:ext cx="5852160" cy="1755058"/>
                    </a:xfrm>
                    <a:prstGeom prst="rect"/>
                  </pic:spPr>
                </pic:pic>
              </a:graphicData>
            </a:graphic>
          </wp:inline>
        </w:drawing>
      </w:r>
    </w:p>
    <w:p>
      <w:pPr>
        <w:spacing w:after="220"/>
        <w:jc w:val="center"/>
      </w:pPr>
      <w:r>
        <w:rPr>
          <w:i/>
          <w:color w:val="5A6A78"/>
          <w:sz w:val="17"/>
        </w:rPr>
        <w:t>Figure 8 — Multivariate interactions: risk compounds rather than adds.</w:t>
      </w:r>
    </w:p>
    <w:p>
      <w:pPr>
        <w:pStyle w:val="Heading2"/>
      </w:pPr>
      <w:r>
        <w:t>9.3 Correlation and hypothesis testing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00"/>
            <w:shd w:fill="1B4965"/>
          </w:tcPr>
          <w:p>
            <w:r/>
            <w:r>
              <w:rPr>
                <w:b/>
                <w:color w:val="FFFFFF"/>
                <w:sz w:val="17"/>
              </w:rPr>
              <w:t>Feature</w:t>
            </w:r>
          </w:p>
        </w:tc>
        <w:tc>
          <w:tcPr>
            <w:tcW w:type="dxa" w:w="1368"/>
            <w:shd w:fill="1B4965"/>
          </w:tcPr>
          <w:p>
            <w:r/>
            <w:r>
              <w:rPr>
                <w:b/>
                <w:color w:val="FFFFFF"/>
                <w:sz w:val="17"/>
              </w:rPr>
              <w:t>Pearson r</w:t>
            </w:r>
          </w:p>
        </w:tc>
        <w:tc>
          <w:tcPr>
            <w:tcW w:type="dxa" w:w="1368"/>
            <w:shd w:fill="1B4965"/>
          </w:tcPr>
          <w:p>
            <w:r/>
            <w:r>
              <w:rPr>
                <w:b/>
                <w:color w:val="FFFFFF"/>
                <w:sz w:val="17"/>
              </w:rPr>
              <w:t>Spearman ρ</w:t>
            </w:r>
          </w:p>
        </w:tc>
        <w:tc>
          <w:tcPr>
            <w:tcW w:type="dxa" w:w="3960"/>
            <w:shd w:fill="1B4965"/>
          </w:tcPr>
          <w:p>
            <w:r/>
            <w:r>
              <w:rPr>
                <w:b/>
                <w:color w:val="FFFFFF"/>
                <w:sz w:val="17"/>
              </w:rPr>
              <w:t>Reading</w:t>
            </w:r>
          </w:p>
        </w:tc>
      </w:tr>
      <w:tr>
        <w:tc>
          <w:tcPr>
            <w:tcW w:type="dxa" w:w="1800"/>
          </w:tcPr>
          <w:p>
            <w:r/>
            <w:r>
              <w:rPr>
                <w:sz w:val="17"/>
              </w:rPr>
              <w:t>age</w:t>
            </w:r>
          </w:p>
        </w:tc>
        <w:tc>
          <w:tcPr>
            <w:tcW w:type="dxa" w:w="1368"/>
          </w:tcPr>
          <w:p>
            <w:pPr>
              <w:jc w:val="right"/>
            </w:pPr>
            <w:r/>
            <w:r>
              <w:rPr>
                <w:sz w:val="17"/>
              </w:rPr>
              <w:t>+0.410</w:t>
            </w:r>
          </w:p>
        </w:tc>
        <w:tc>
          <w:tcPr>
            <w:tcW w:type="dxa" w:w="1368"/>
          </w:tcPr>
          <w:p>
            <w:pPr>
              <w:jc w:val="right"/>
            </w:pPr>
            <w:r/>
            <w:r>
              <w:rPr>
                <w:sz w:val="17"/>
              </w:rPr>
              <w:t>+0.476</w:t>
            </w:r>
          </w:p>
        </w:tc>
        <w:tc>
          <w:tcPr>
            <w:tcW w:type="dxa" w:w="3960"/>
          </w:tcPr>
          <w:p>
            <w:r/>
            <w:r>
              <w:rPr>
                <w:sz w:val="17"/>
              </w:rPr>
              <w:t>Moderate, highly significant</w:t>
            </w:r>
          </w:p>
        </w:tc>
      </w:tr>
      <w:tr>
        <w:tc>
          <w:tcPr>
            <w:tcW w:type="dxa" w:w="1800"/>
            <w:shd w:fill="EEF4F8"/>
          </w:tcPr>
          <w:p>
            <w:r/>
            <w:r>
              <w:rPr>
                <w:sz w:val="17"/>
              </w:rPr>
              <w:t>weight_kg</w:t>
            </w:r>
          </w:p>
        </w:tc>
        <w:tc>
          <w:tcPr>
            <w:tcW w:type="dxa" w:w="1368"/>
            <w:shd w:fill="EEF4F8"/>
          </w:tcPr>
          <w:p>
            <w:pPr>
              <w:jc w:val="right"/>
            </w:pPr>
            <w:r/>
            <w:r>
              <w:rPr>
                <w:sz w:val="17"/>
              </w:rPr>
              <w:t>+0.368</w:t>
            </w:r>
          </w:p>
        </w:tc>
        <w:tc>
          <w:tcPr>
            <w:tcW w:type="dxa" w:w="1368"/>
            <w:shd w:fill="EEF4F8"/>
          </w:tcPr>
          <w:p>
            <w:pPr>
              <w:jc w:val="right"/>
            </w:pPr>
            <w:r/>
            <w:r>
              <w:rPr>
                <w:sz w:val="17"/>
              </w:rPr>
              <w:t>+0.416</w:t>
            </w:r>
          </w:p>
        </w:tc>
        <w:tc>
          <w:tcPr>
            <w:tcW w:type="dxa" w:w="3960"/>
            <w:shd w:fill="EEF4F8"/>
          </w:tcPr>
          <w:p>
            <w:r/>
            <w:r>
              <w:rPr>
                <w:sz w:val="17"/>
              </w:rPr>
              <w:t>Redundant with bmi</w:t>
            </w:r>
          </w:p>
        </w:tc>
      </w:tr>
      <w:tr>
        <w:tc>
          <w:tcPr>
            <w:tcW w:type="dxa" w:w="1800"/>
          </w:tcPr>
          <w:p>
            <w:r/>
            <w:r>
              <w:rPr>
                <w:sz w:val="17"/>
              </w:rPr>
              <w:t>bmi</w:t>
            </w:r>
          </w:p>
        </w:tc>
        <w:tc>
          <w:tcPr>
            <w:tcW w:type="dxa" w:w="1368"/>
          </w:tcPr>
          <w:p>
            <w:pPr>
              <w:jc w:val="right"/>
            </w:pPr>
            <w:r/>
            <w:r>
              <w:rPr>
                <w:sz w:val="17"/>
              </w:rPr>
              <w:t>+0.365</w:t>
            </w:r>
          </w:p>
        </w:tc>
        <w:tc>
          <w:tcPr>
            <w:tcW w:type="dxa" w:w="1368"/>
          </w:tcPr>
          <w:p>
            <w:pPr>
              <w:jc w:val="right"/>
            </w:pPr>
            <w:r/>
            <w:r>
              <w:rPr>
                <w:sz w:val="17"/>
              </w:rPr>
              <w:t>+0.417</w:t>
            </w:r>
          </w:p>
        </w:tc>
        <w:tc>
          <w:tcPr>
            <w:tcW w:type="dxa" w:w="3960"/>
          </w:tcPr>
          <w:p>
            <w:r/>
            <w:r>
              <w:rPr>
                <w:sz w:val="17"/>
              </w:rPr>
              <w:t>Moderate, clinically meaningful</w:t>
            </w:r>
          </w:p>
        </w:tc>
      </w:tr>
      <w:tr>
        <w:tc>
          <w:tcPr>
            <w:tcW w:type="dxa" w:w="1800"/>
            <w:shd w:fill="EEF4F8"/>
          </w:tcPr>
          <w:p>
            <w:r/>
            <w:r>
              <w:rPr>
                <w:sz w:val="17"/>
              </w:rPr>
              <w:t>exercise_freq</w:t>
            </w:r>
          </w:p>
        </w:tc>
        <w:tc>
          <w:tcPr>
            <w:tcW w:type="dxa" w:w="1368"/>
            <w:shd w:fill="EEF4F8"/>
          </w:tcPr>
          <w:p>
            <w:pPr>
              <w:jc w:val="right"/>
            </w:pPr>
            <w:r/>
            <w:r>
              <w:rPr>
                <w:sz w:val="17"/>
              </w:rPr>
              <w:t>-0.268</w:t>
            </w:r>
          </w:p>
        </w:tc>
        <w:tc>
          <w:tcPr>
            <w:tcW w:type="dxa" w:w="1368"/>
            <w:shd w:fill="EEF4F8"/>
          </w:tcPr>
          <w:p>
            <w:pPr>
              <w:jc w:val="right"/>
            </w:pPr>
            <w:r/>
            <w:r>
              <w:rPr>
                <w:sz w:val="17"/>
              </w:rPr>
              <w:t>-0.303</w:t>
            </w:r>
          </w:p>
        </w:tc>
        <w:tc>
          <w:tcPr>
            <w:tcW w:type="dxa" w:w="3960"/>
            <w:shd w:fill="EEF4F8"/>
          </w:tcPr>
          <w:p>
            <w:r/>
            <w:r>
              <w:rPr>
                <w:sz w:val="17"/>
              </w:rPr>
              <w:t>Negative, largely absorbed by bmi</w:t>
            </w:r>
          </w:p>
        </w:tc>
      </w:tr>
      <w:tr>
        <w:tc>
          <w:tcPr>
            <w:tcW w:type="dxa" w:w="1800"/>
          </w:tcPr>
          <w:p>
            <w:r/>
            <w:r>
              <w:rPr>
                <w:sz w:val="17"/>
              </w:rPr>
              <w:t>children</w:t>
            </w:r>
          </w:p>
        </w:tc>
        <w:tc>
          <w:tcPr>
            <w:tcW w:type="dxa" w:w="1368"/>
          </w:tcPr>
          <w:p>
            <w:pPr>
              <w:jc w:val="right"/>
            </w:pPr>
            <w:r/>
            <w:r>
              <w:rPr>
                <w:sz w:val="17"/>
              </w:rPr>
              <w:t>+0.058</w:t>
            </w:r>
          </w:p>
        </w:tc>
        <w:tc>
          <w:tcPr>
            <w:tcW w:type="dxa" w:w="1368"/>
          </w:tcPr>
          <w:p>
            <w:pPr>
              <w:jc w:val="right"/>
            </w:pPr>
            <w:r/>
            <w:r>
              <w:rPr>
                <w:sz w:val="17"/>
              </w:rPr>
              <w:t>+0.129</w:t>
            </w:r>
          </w:p>
        </w:tc>
        <w:tc>
          <w:tcPr>
            <w:tcW w:type="dxa" w:w="3960"/>
          </w:tcPr>
          <w:p>
            <w:r/>
            <w:r>
              <w:rPr>
                <w:sz w:val="17"/>
              </w:rPr>
              <w:t>Weak but real</w:t>
            </w:r>
          </w:p>
        </w:tc>
      </w:tr>
      <w:tr>
        <w:tc>
          <w:tcPr>
            <w:tcW w:type="dxa" w:w="1800"/>
            <w:shd w:fill="EEF4F8"/>
          </w:tcPr>
          <w:p>
            <w:r/>
            <w:r>
              <w:rPr>
                <w:sz w:val="17"/>
              </w:rPr>
              <w:t>lucky_number</w:t>
            </w:r>
          </w:p>
        </w:tc>
        <w:tc>
          <w:tcPr>
            <w:tcW w:type="dxa" w:w="1368"/>
            <w:shd w:fill="EEF4F8"/>
          </w:tcPr>
          <w:p>
            <w:pPr>
              <w:jc w:val="right"/>
            </w:pPr>
            <w:r/>
            <w:r>
              <w:rPr>
                <w:sz w:val="17"/>
              </w:rPr>
              <w:t>-0.031</w:t>
            </w:r>
          </w:p>
        </w:tc>
        <w:tc>
          <w:tcPr>
            <w:tcW w:type="dxa" w:w="1368"/>
            <w:shd w:fill="EEF4F8"/>
          </w:tcPr>
          <w:p>
            <w:pPr>
              <w:jc w:val="right"/>
            </w:pPr>
            <w:r/>
            <w:r>
              <w:rPr>
                <w:sz w:val="17"/>
              </w:rPr>
              <w:t>-0.027</w:t>
            </w:r>
          </w:p>
        </w:tc>
        <w:tc>
          <w:tcPr>
            <w:tcW w:type="dxa" w:w="3960"/>
            <w:shd w:fill="EEF4F8"/>
          </w:tcPr>
          <w:p>
            <w:r/>
            <w:r>
              <w:rPr>
                <w:sz w:val="17"/>
              </w:rPr>
              <w:t>At the noise floor (±1/√1200 ≈ 0.029)</w:t>
            </w:r>
          </w:p>
        </w:tc>
      </w:tr>
    </w:tbl>
    <w:p>
      <w:pPr>
        <w:spacing w:after="80"/>
      </w:pPr>
    </w:p>
    <w:p>
      <w:pPr>
        <w:pStyle w:val="Heading3"/>
      </w:pPr>
      <w:r>
        <w:t>Hypothesis test — do smokers really cost more?</w:t>
      </w:r>
    </w:p>
    <w:p>
      <w:pPr>
        <w:spacing w:after="40"/>
      </w:pPr>
      <w:r>
        <w:rPr>
          <w:b/>
          <w:sz w:val="21"/>
        </w:rPr>
        <w:t xml:space="preserve">H₀: </w:t>
      </w:r>
      <w:r>
        <w:rPr>
          <w:b w:val="0"/>
          <w:sz w:val="21"/>
        </w:rPr>
        <w:t>mean annual charge is equal for smokers and non-smokers (μ_smoker = μ_non-smoker).</w:t>
      </w:r>
    </w:p>
    <w:p>
      <w:pPr>
        <w:spacing w:after="120"/>
      </w:pPr>
      <w:r>
        <w:rPr>
          <w:b/>
          <w:sz w:val="21"/>
        </w:rPr>
        <w:t xml:space="preserve">H₁: </w:t>
      </w:r>
      <w:r>
        <w:rPr>
          <w:b w:val="0"/>
          <w:sz w:val="21"/>
        </w:rPr>
        <w:t>the means differ (two-tailed).</w:t>
      </w:r>
    </w:p>
    <w:tbl>
      <w:tblPr>
        <w:tblStyle w:val="TableGrid"/>
        <w:tblW w:type="auto" w:w="0"/>
        <w:jc w:val="center"/>
        <w:tblLook w:firstColumn="1" w:firstRow="1" w:lastColumn="0" w:lastRow="0" w:noHBand="0" w:noVBand="1" w:val="04A0"/>
      </w:tblPr>
      <w:tblGrid>
        <w:gridCol w:w="4824"/>
        <w:gridCol w:w="4824"/>
      </w:tblGrid>
      <w:tr>
        <w:tc>
          <w:tcPr>
            <w:tcW w:type="dxa" w:w="3456"/>
            <w:shd w:fill="1B4965"/>
          </w:tcPr>
          <w:p>
            <w:r/>
            <w:r>
              <w:rPr>
                <w:b/>
                <w:color w:val="FFFFFF"/>
                <w:sz w:val="17"/>
              </w:rPr>
              <w:t>Statistic</w:t>
            </w:r>
          </w:p>
        </w:tc>
        <w:tc>
          <w:tcPr>
            <w:tcW w:type="dxa" w:w="4896"/>
            <w:shd w:fill="1B4965"/>
          </w:tcPr>
          <w:p>
            <w:r/>
            <w:r>
              <w:rPr>
                <w:b/>
                <w:color w:val="FFFFFF"/>
                <w:sz w:val="17"/>
              </w:rPr>
              <w:t>Value</w:t>
            </w:r>
          </w:p>
        </w:tc>
      </w:tr>
      <w:tr>
        <w:tc>
          <w:tcPr>
            <w:tcW w:type="dxa" w:w="3456"/>
          </w:tcPr>
          <w:p>
            <w:r/>
            <w:r>
              <w:rPr>
                <w:sz w:val="17"/>
              </w:rPr>
              <w:t>Test used</w:t>
            </w:r>
          </w:p>
        </w:tc>
        <w:tc>
          <w:tcPr>
            <w:tcW w:type="dxa" w:w="4896"/>
          </w:tcPr>
          <w:p>
            <w:r/>
            <w:r>
              <w:rPr>
                <w:sz w:val="17"/>
              </w:rPr>
              <w:t>Welch two-sample t-test (unequal variance, unequal n)</w:t>
            </w:r>
          </w:p>
        </w:tc>
      </w:tr>
      <w:tr>
        <w:tc>
          <w:tcPr>
            <w:tcW w:type="dxa" w:w="3456"/>
            <w:shd w:fill="EEF4F8"/>
          </w:tcPr>
          <w:p>
            <w:r/>
            <w:r>
              <w:rPr>
                <w:sz w:val="17"/>
              </w:rPr>
              <w:t>n smokers / non-smokers</w:t>
            </w:r>
          </w:p>
        </w:tc>
        <w:tc>
          <w:tcPr>
            <w:tcW w:type="dxa" w:w="4896"/>
            <w:shd w:fill="EEF4F8"/>
          </w:tcPr>
          <w:p>
            <w:r/>
            <w:r>
              <w:rPr>
                <w:sz w:val="17"/>
              </w:rPr>
              <w:t>364 / 836</w:t>
            </w:r>
          </w:p>
        </w:tc>
      </w:tr>
      <w:tr>
        <w:tc>
          <w:tcPr>
            <w:tcW w:type="dxa" w:w="3456"/>
          </w:tcPr>
          <w:p>
            <w:r/>
            <w:r>
              <w:rPr>
                <w:sz w:val="17"/>
              </w:rPr>
              <w:t>Mean charge (smoker / non-smoker)</w:t>
            </w:r>
          </w:p>
        </w:tc>
        <w:tc>
          <w:tcPr>
            <w:tcW w:type="dxa" w:w="4896"/>
          </w:tcPr>
          <w:p>
            <w:r/>
            <w:r>
              <w:rPr>
                <w:sz w:val="17"/>
              </w:rPr>
              <w:t>$34,511 / $14,474</w:t>
            </w:r>
          </w:p>
        </w:tc>
      </w:tr>
      <w:tr>
        <w:tc>
          <w:tcPr>
            <w:tcW w:type="dxa" w:w="3456"/>
            <w:shd w:fill="EEF4F8"/>
          </w:tcPr>
          <w:p>
            <w:r/>
            <w:r>
              <w:rPr>
                <w:sz w:val="17"/>
              </w:rPr>
              <w:t>Median charge (smoker / non-smoker)</w:t>
            </w:r>
          </w:p>
        </w:tc>
        <w:tc>
          <w:tcPr>
            <w:tcW w:type="dxa" w:w="4896"/>
            <w:shd w:fill="EEF4F8"/>
          </w:tcPr>
          <w:p>
            <w:r/>
            <w:r>
              <w:rPr>
                <w:sz w:val="17"/>
              </w:rPr>
              <w:t>$42,486 / $14,379</w:t>
            </w:r>
          </w:p>
        </w:tc>
      </w:tr>
      <w:tr>
        <w:tc>
          <w:tcPr>
            <w:tcW w:type="dxa" w:w="3456"/>
          </w:tcPr>
          <w:p>
            <w:r/>
            <w:r>
              <w:rPr>
                <w:sz w:val="17"/>
              </w:rPr>
              <w:t>Absolute difference</w:t>
            </w:r>
          </w:p>
        </w:tc>
        <w:tc>
          <w:tcPr>
            <w:tcW w:type="dxa" w:w="4896"/>
          </w:tcPr>
          <w:p>
            <w:r/>
            <w:r>
              <w:rPr>
                <w:sz w:val="17"/>
              </w:rPr>
              <w:t>$20,037</w:t>
            </w:r>
          </w:p>
        </w:tc>
      </w:tr>
      <w:tr>
        <w:tc>
          <w:tcPr>
            <w:tcW w:type="dxa" w:w="3456"/>
            <w:shd w:fill="EEF4F8"/>
          </w:tcPr>
          <w:p>
            <w:r/>
            <w:r>
              <w:rPr>
                <w:sz w:val="17"/>
              </w:rPr>
              <w:t>Ratio</w:t>
            </w:r>
          </w:p>
        </w:tc>
        <w:tc>
          <w:tcPr>
            <w:tcW w:type="dxa" w:w="4896"/>
            <w:shd w:fill="EEF4F8"/>
          </w:tcPr>
          <w:p>
            <w:r/>
            <w:r>
              <w:rPr>
                <w:sz w:val="17"/>
              </w:rPr>
              <w:t>2.38×</w:t>
            </w:r>
          </w:p>
        </w:tc>
      </w:tr>
      <w:tr>
        <w:tc>
          <w:tcPr>
            <w:tcW w:type="dxa" w:w="3456"/>
          </w:tcPr>
          <w:p>
            <w:r/>
            <w:r>
              <w:rPr>
                <w:sz w:val="17"/>
              </w:rPr>
              <w:t>t-statistic</w:t>
            </w:r>
          </w:p>
        </w:tc>
        <w:tc>
          <w:tcPr>
            <w:tcW w:type="dxa" w:w="4896"/>
          </w:tcPr>
          <w:p>
            <w:r/>
            <w:r>
              <w:rPr>
                <w:sz w:val="17"/>
              </w:rPr>
              <w:t>24.083</w:t>
            </w:r>
          </w:p>
        </w:tc>
      </w:tr>
      <w:tr>
        <w:tc>
          <w:tcPr>
            <w:tcW w:type="dxa" w:w="3456"/>
            <w:shd w:fill="EEF4F8"/>
          </w:tcPr>
          <w:p>
            <w:r/>
            <w:r>
              <w:rPr>
                <w:sz w:val="17"/>
              </w:rPr>
              <w:t>p-value</w:t>
            </w:r>
          </w:p>
        </w:tc>
        <w:tc>
          <w:tcPr>
            <w:tcW w:type="dxa" w:w="4896"/>
            <w:shd w:fill="EEF4F8"/>
          </w:tcPr>
          <w:p>
            <w:r/>
            <w:r>
              <w:rPr>
                <w:sz w:val="17"/>
              </w:rPr>
              <w:t>2.272e-84</w:t>
            </w:r>
          </w:p>
        </w:tc>
      </w:tr>
      <w:tr>
        <w:tc>
          <w:tcPr>
            <w:tcW w:type="dxa" w:w="3456"/>
          </w:tcPr>
          <w:p>
            <w:r/>
            <w:r>
              <w:rPr>
                <w:sz w:val="17"/>
              </w:rPr>
              <w:t>Cohen's d (effect size)</w:t>
            </w:r>
          </w:p>
        </w:tc>
        <w:tc>
          <w:tcPr>
            <w:tcW w:type="dxa" w:w="4896"/>
          </w:tcPr>
          <w:p>
            <w:r/>
            <w:r>
              <w:rPr>
                <w:sz w:val="17"/>
              </w:rPr>
              <w:t>1.837  (&gt;0.8 = large)</w:t>
            </w:r>
          </w:p>
        </w:tc>
      </w:tr>
      <w:tr>
        <w:tc>
          <w:tcPr>
            <w:tcW w:type="dxa" w:w="3456"/>
            <w:shd w:fill="EEF4F8"/>
          </w:tcPr>
          <w:p>
            <w:r/>
            <w:r>
              <w:rPr>
                <w:sz w:val="17"/>
              </w:rPr>
              <w:t>Decision at α = 0.05</w:t>
            </w:r>
          </w:p>
        </w:tc>
        <w:tc>
          <w:tcPr>
            <w:tcW w:type="dxa" w:w="4896"/>
            <w:shd w:fill="EEF4F8"/>
          </w:tcPr>
          <w:p>
            <w:r/>
            <w:r>
              <w:rPr>
                <w:sz w:val="17"/>
              </w:rPr>
              <w:t>REJECT H₀</w:t>
            </w:r>
          </w:p>
        </w:tc>
      </w:tr>
    </w:tbl>
    <w:p>
      <w:pPr>
        <w:spacing w:after="80"/>
      </w:pPr>
    </w:p>
    <w:p>
      <w:pPr>
        <w:spacing w:after="120"/>
      </w:pPr>
      <w:r>
        <w:rPr>
          <w:b w:val="0"/>
          <w:i w:val="0"/>
          <w:sz w:val="21"/>
        </w:rPr>
        <w:t>In plain business language: if smoking genuinely had no effect on medical cost, the chance of seeing a gap this large in 1,200 customers is about 2 in 10⁸⁴. Two cautions belong alongside that. A small p-value establishes that an effect is real, not that it is large — which is why Cohen's d is also reported, and at 1.84 the effect is both. And this is an observational association: it shows smokers in this portfolio cost more, not that smoking caused the cost.</w:t>
      </w:r>
    </w:p>
    <w:p>
      <w:pPr>
        <w:jc w:val="center"/>
      </w:pPr>
      <w:r>
        <w:drawing>
          <wp:inline xmlns:a="http://schemas.openxmlformats.org/drawingml/2006/main" xmlns:pic="http://schemas.openxmlformats.org/drawingml/2006/picture">
            <wp:extent cx="5852160" cy="2140051"/>
            <wp:docPr id="9" name="Picture 9"/>
            <wp:cNvGraphicFramePr>
              <a:graphicFrameLocks noChangeAspect="1"/>
            </wp:cNvGraphicFramePr>
            <a:graphic>
              <a:graphicData uri="http://schemas.openxmlformats.org/drawingml/2006/picture">
                <pic:pic>
                  <pic:nvPicPr>
                    <pic:cNvPr id="0" name="02_smoker_effect.png"/>
                    <pic:cNvPicPr/>
                  </pic:nvPicPr>
                  <pic:blipFill>
                    <a:blip r:embed="rId17"/>
                    <a:stretch>
                      <a:fillRect/>
                    </a:stretch>
                  </pic:blipFill>
                  <pic:spPr>
                    <a:xfrm>
                      <a:off x="0" y="0"/>
                      <a:ext cx="5852160" cy="2140051"/>
                    </a:xfrm>
                    <a:prstGeom prst="rect"/>
                  </pic:spPr>
                </pic:pic>
              </a:graphicData>
            </a:graphic>
          </wp:inline>
        </w:drawing>
      </w:r>
    </w:p>
    <w:p>
      <w:pPr>
        <w:spacing w:after="220"/>
        <w:jc w:val="center"/>
      </w:pPr>
      <w:r>
        <w:rPr>
          <w:i/>
          <w:color w:val="5A6A78"/>
          <w:sz w:val="17"/>
        </w:rPr>
        <w:t>Figure 9 — The smoker effect across boxplot, density and mean comparison.</w:t>
      </w:r>
    </w:p>
    <w:p>
      <w:r>
        <w:br w:type="page"/>
      </w:r>
    </w:p>
    <w:p>
      <w:pPr>
        <w:pStyle w:val="Heading1"/>
      </w:pPr>
      <w:r>
        <w:t>10. Smoker vs Non-Smoker Analysis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20"/>
            <w:shd w:fill="1B4965"/>
          </w:tcPr>
          <w:p>
            <w:r/>
            <w:r>
              <w:rPr>
                <w:b/>
                <w:color w:val="FFFFFF"/>
                <w:sz w:val="17"/>
              </w:rPr>
              <w:t>Measure</w:t>
            </w:r>
          </w:p>
        </w:tc>
        <w:tc>
          <w:tcPr>
            <w:tcW w:type="dxa" w:w="1944"/>
            <w:shd w:fill="1B4965"/>
          </w:tcPr>
          <w:p>
            <w:r/>
            <w:r>
              <w:rPr>
                <w:b/>
                <w:color w:val="FFFFFF"/>
                <w:sz w:val="17"/>
              </w:rPr>
              <w:t>Non-smoker</w:t>
            </w:r>
          </w:p>
        </w:tc>
        <w:tc>
          <w:tcPr>
            <w:tcW w:type="dxa" w:w="1944"/>
            <w:shd w:fill="1B4965"/>
          </w:tcPr>
          <w:p>
            <w:r/>
            <w:r>
              <w:rPr>
                <w:b/>
                <w:color w:val="FFFFFF"/>
                <w:sz w:val="17"/>
              </w:rPr>
              <w:t>Smoker</w:t>
            </w:r>
          </w:p>
        </w:tc>
        <w:tc>
          <w:tcPr>
            <w:tcW w:type="dxa" w:w="1944"/>
            <w:shd w:fill="1B4965"/>
          </w:tcPr>
          <w:p>
            <w:r/>
            <w:r>
              <w:rPr>
                <w:b/>
                <w:color w:val="FFFFFF"/>
                <w:sz w:val="17"/>
              </w:rPr>
              <w:t>Difference</w:t>
            </w:r>
          </w:p>
        </w:tc>
      </w:tr>
      <w:tr>
        <w:tc>
          <w:tcPr>
            <w:tcW w:type="dxa" w:w="2520"/>
          </w:tcPr>
          <w:p>
            <w:r/>
            <w:r>
              <w:rPr>
                <w:sz w:val="17"/>
              </w:rPr>
              <w:t>Customers</w:t>
            </w:r>
          </w:p>
        </w:tc>
        <w:tc>
          <w:tcPr>
            <w:tcW w:type="dxa" w:w="1944"/>
          </w:tcPr>
          <w:p>
            <w:pPr>
              <w:jc w:val="right"/>
            </w:pPr>
            <w:r/>
            <w:r>
              <w:rPr>
                <w:sz w:val="17"/>
              </w:rPr>
              <w:t>836 (69.7%)</w:t>
            </w:r>
          </w:p>
        </w:tc>
        <w:tc>
          <w:tcPr>
            <w:tcW w:type="dxa" w:w="1944"/>
          </w:tcPr>
          <w:p>
            <w:pPr>
              <w:jc w:val="right"/>
            </w:pPr>
            <w:r/>
            <w:r>
              <w:rPr>
                <w:sz w:val="17"/>
              </w:rPr>
              <w:t>364 (30.3%)</w:t>
            </w:r>
          </w:p>
        </w:tc>
        <w:tc>
          <w:tcPr>
            <w:tcW w:type="dxa" w:w="1944"/>
          </w:tcPr>
          <w:p>
            <w:pPr>
              <w:jc w:val="right"/>
            </w:pPr>
            <w:r/>
            <w:r>
              <w:rPr>
                <w:sz w:val="17"/>
              </w:rPr>
              <w:t>—</w:t>
            </w:r>
          </w:p>
        </w:tc>
      </w:tr>
      <w:tr>
        <w:tc>
          <w:tcPr>
            <w:tcW w:type="dxa" w:w="2520"/>
            <w:shd w:fill="EEF4F8"/>
          </w:tcPr>
          <w:p>
            <w:r/>
            <w:r>
              <w:rPr>
                <w:sz w:val="17"/>
              </w:rPr>
              <w:t>Mean age</w:t>
            </w:r>
          </w:p>
        </w:tc>
        <w:tc>
          <w:tcPr>
            <w:tcW w:type="dxa" w:w="1944"/>
            <w:shd w:fill="EEF4F8"/>
          </w:tcPr>
          <w:p>
            <w:pPr>
              <w:jc w:val="right"/>
            </w:pPr>
            <w:r/>
            <w:r>
              <w:rPr>
                <w:sz w:val="17"/>
              </w:rPr>
              <w:t>41.21</w:t>
            </w:r>
          </w:p>
        </w:tc>
        <w:tc>
          <w:tcPr>
            <w:tcW w:type="dxa" w:w="1944"/>
            <w:shd w:fill="EEF4F8"/>
          </w:tcPr>
          <w:p>
            <w:pPr>
              <w:jc w:val="right"/>
            </w:pPr>
            <w:r/>
            <w:r>
              <w:rPr>
                <w:sz w:val="17"/>
              </w:rPr>
              <w:t>40.95</w:t>
            </w:r>
          </w:p>
        </w:tc>
        <w:tc>
          <w:tcPr>
            <w:tcW w:type="dxa" w:w="1944"/>
            <w:shd w:fill="EEF4F8"/>
          </w:tcPr>
          <w:p>
            <w:pPr>
              <w:jc w:val="right"/>
            </w:pPr>
            <w:r/>
            <w:r>
              <w:rPr>
                <w:sz w:val="17"/>
              </w:rPr>
              <w:t>negligible</w:t>
            </w:r>
          </w:p>
        </w:tc>
      </w:tr>
      <w:tr>
        <w:tc>
          <w:tcPr>
            <w:tcW w:type="dxa" w:w="2520"/>
          </w:tcPr>
          <w:p>
            <w:r/>
            <w:r>
              <w:rPr>
                <w:sz w:val="17"/>
              </w:rPr>
              <w:t>Mean BMI</w:t>
            </w:r>
          </w:p>
        </w:tc>
        <w:tc>
          <w:tcPr>
            <w:tcW w:type="dxa" w:w="1944"/>
          </w:tcPr>
          <w:p>
            <w:pPr>
              <w:jc w:val="right"/>
            </w:pPr>
            <w:r/>
            <w:r>
              <w:rPr>
                <w:sz w:val="17"/>
              </w:rPr>
              <w:t>27.76</w:t>
            </w:r>
          </w:p>
        </w:tc>
        <w:tc>
          <w:tcPr>
            <w:tcW w:type="dxa" w:w="1944"/>
          </w:tcPr>
          <w:p>
            <w:pPr>
              <w:jc w:val="right"/>
            </w:pPr>
            <w:r/>
            <w:r>
              <w:rPr>
                <w:sz w:val="17"/>
              </w:rPr>
              <w:t>28.09</w:t>
            </w:r>
          </w:p>
        </w:tc>
        <w:tc>
          <w:tcPr>
            <w:tcW w:type="dxa" w:w="1944"/>
          </w:tcPr>
          <w:p>
            <w:pPr>
              <w:jc w:val="right"/>
            </w:pPr>
            <w:r/>
            <w:r>
              <w:rPr>
                <w:sz w:val="17"/>
              </w:rPr>
              <w:t>negligible</w:t>
            </w:r>
          </w:p>
        </w:tc>
      </w:tr>
      <w:tr>
        <w:tc>
          <w:tcPr>
            <w:tcW w:type="dxa" w:w="2520"/>
            <w:shd w:fill="EEF4F8"/>
          </w:tcPr>
          <w:p>
            <w:r/>
            <w:r>
              <w:rPr>
                <w:sz w:val="17"/>
              </w:rPr>
              <w:t>Mean exercise/week</w:t>
            </w:r>
          </w:p>
        </w:tc>
        <w:tc>
          <w:tcPr>
            <w:tcW w:type="dxa" w:w="1944"/>
            <w:shd w:fill="EEF4F8"/>
          </w:tcPr>
          <w:p>
            <w:pPr>
              <w:jc w:val="right"/>
            </w:pPr>
            <w:r/>
            <w:r>
              <w:rPr>
                <w:sz w:val="17"/>
              </w:rPr>
              <w:t>4.01</w:t>
            </w:r>
          </w:p>
        </w:tc>
        <w:tc>
          <w:tcPr>
            <w:tcW w:type="dxa" w:w="1944"/>
            <w:shd w:fill="EEF4F8"/>
          </w:tcPr>
          <w:p>
            <w:pPr>
              <w:jc w:val="right"/>
            </w:pPr>
            <w:r/>
            <w:r>
              <w:rPr>
                <w:sz w:val="17"/>
              </w:rPr>
              <w:t>3.98</w:t>
            </w:r>
          </w:p>
        </w:tc>
        <w:tc>
          <w:tcPr>
            <w:tcW w:type="dxa" w:w="1944"/>
            <w:shd w:fill="EEF4F8"/>
          </w:tcPr>
          <w:p>
            <w:pPr>
              <w:jc w:val="right"/>
            </w:pPr>
            <w:r/>
            <w:r>
              <w:rPr>
                <w:sz w:val="17"/>
              </w:rPr>
              <w:t>negligible</w:t>
            </w:r>
          </w:p>
        </w:tc>
      </w:tr>
      <w:tr>
        <w:tc>
          <w:tcPr>
            <w:tcW w:type="dxa" w:w="2520"/>
          </w:tcPr>
          <w:p>
            <w:r/>
            <w:r>
              <w:rPr>
                <w:sz w:val="17"/>
              </w:rPr>
              <w:t>Mean Health Score</w:t>
            </w:r>
          </w:p>
        </w:tc>
        <w:tc>
          <w:tcPr>
            <w:tcW w:type="dxa" w:w="1944"/>
          </w:tcPr>
          <w:p>
            <w:pPr>
              <w:jc w:val="right"/>
            </w:pPr>
            <w:r/>
            <w:r>
              <w:rPr>
                <w:sz w:val="17"/>
              </w:rPr>
              <w:t>80.47</w:t>
            </w:r>
          </w:p>
        </w:tc>
        <w:tc>
          <w:tcPr>
            <w:tcW w:type="dxa" w:w="1944"/>
          </w:tcPr>
          <w:p>
            <w:pPr>
              <w:jc w:val="right"/>
            </w:pPr>
            <w:r/>
            <w:r>
              <w:rPr>
                <w:sz w:val="17"/>
              </w:rPr>
              <w:t>34.56</w:t>
            </w:r>
          </w:p>
        </w:tc>
        <w:tc>
          <w:tcPr>
            <w:tcW w:type="dxa" w:w="1944"/>
          </w:tcPr>
          <w:p>
            <w:pPr>
              <w:jc w:val="right"/>
            </w:pPr>
            <w:r/>
            <w:r>
              <w:rPr>
                <w:sz w:val="17"/>
              </w:rPr>
              <w:t>-45.9 pts</w:t>
            </w:r>
          </w:p>
        </w:tc>
      </w:tr>
      <w:tr>
        <w:tc>
          <w:tcPr>
            <w:tcW w:type="dxa" w:w="2520"/>
            <w:shd w:fill="EEF4F8"/>
          </w:tcPr>
          <w:p>
            <w:r/>
            <w:r>
              <w:rPr>
                <w:sz w:val="17"/>
              </w:rPr>
              <w:t>Median Health Score</w:t>
            </w:r>
          </w:p>
        </w:tc>
        <w:tc>
          <w:tcPr>
            <w:tcW w:type="dxa" w:w="1944"/>
            <w:shd w:fill="EEF4F8"/>
          </w:tcPr>
          <w:p>
            <w:pPr>
              <w:jc w:val="right"/>
            </w:pPr>
            <w:r/>
            <w:r>
              <w:rPr>
                <w:sz w:val="17"/>
              </w:rPr>
              <w:t>80.53</w:t>
            </w:r>
          </w:p>
        </w:tc>
        <w:tc>
          <w:tcPr>
            <w:tcW w:type="dxa" w:w="1944"/>
            <w:shd w:fill="EEF4F8"/>
          </w:tcPr>
          <w:p>
            <w:pPr>
              <w:jc w:val="right"/>
            </w:pPr>
            <w:r/>
            <w:r>
              <w:rPr>
                <w:sz w:val="17"/>
              </w:rPr>
              <w:t>33.94</w:t>
            </w:r>
          </w:p>
        </w:tc>
        <w:tc>
          <w:tcPr>
            <w:tcW w:type="dxa" w:w="1944"/>
            <w:shd w:fill="EEF4F8"/>
          </w:tcPr>
          <w:p>
            <w:pPr>
              <w:jc w:val="right"/>
            </w:pPr>
            <w:r/>
            <w:r>
              <w:rPr>
                <w:sz w:val="17"/>
              </w:rPr>
              <w:t>-46.6 pts</w:t>
            </w:r>
          </w:p>
        </w:tc>
      </w:tr>
      <w:tr>
        <w:tc>
          <w:tcPr>
            <w:tcW w:type="dxa" w:w="2520"/>
          </w:tcPr>
          <w:p>
            <w:r/>
            <w:r>
              <w:rPr>
                <w:sz w:val="17"/>
              </w:rPr>
              <w:t>Mean annual charge</w:t>
            </w:r>
          </w:p>
        </w:tc>
        <w:tc>
          <w:tcPr>
            <w:tcW w:type="dxa" w:w="1944"/>
          </w:tcPr>
          <w:p>
            <w:pPr>
              <w:jc w:val="right"/>
            </w:pPr>
            <w:r/>
            <w:r>
              <w:rPr>
                <w:sz w:val="17"/>
              </w:rPr>
              <w:t>$14,474</w:t>
            </w:r>
          </w:p>
        </w:tc>
        <w:tc>
          <w:tcPr>
            <w:tcW w:type="dxa" w:w="1944"/>
          </w:tcPr>
          <w:p>
            <w:pPr>
              <w:jc w:val="right"/>
            </w:pPr>
            <w:r/>
            <w:r>
              <w:rPr>
                <w:sz w:val="17"/>
              </w:rPr>
              <w:t>$34,511</w:t>
            </w:r>
          </w:p>
        </w:tc>
        <w:tc>
          <w:tcPr>
            <w:tcW w:type="dxa" w:w="1944"/>
          </w:tcPr>
          <w:p>
            <w:pPr>
              <w:jc w:val="right"/>
            </w:pPr>
            <w:r/>
            <w:r>
              <w:rPr>
                <w:sz w:val="17"/>
              </w:rPr>
              <w:t>+$20,037</w:t>
            </w:r>
          </w:p>
        </w:tc>
      </w:tr>
      <w:tr>
        <w:tc>
          <w:tcPr>
            <w:tcW w:type="dxa" w:w="2520"/>
            <w:shd w:fill="EEF4F8"/>
          </w:tcPr>
          <w:p>
            <w:r/>
            <w:r>
              <w:rPr>
                <w:sz w:val="17"/>
              </w:rPr>
              <w:t>Median annual charge</w:t>
            </w:r>
          </w:p>
        </w:tc>
        <w:tc>
          <w:tcPr>
            <w:tcW w:type="dxa" w:w="1944"/>
            <w:shd w:fill="EEF4F8"/>
          </w:tcPr>
          <w:p>
            <w:pPr>
              <w:jc w:val="right"/>
            </w:pPr>
            <w:r/>
            <w:r>
              <w:rPr>
                <w:sz w:val="17"/>
              </w:rPr>
              <w:t>$14,379</w:t>
            </w:r>
          </w:p>
        </w:tc>
        <w:tc>
          <w:tcPr>
            <w:tcW w:type="dxa" w:w="1944"/>
            <w:shd w:fill="EEF4F8"/>
          </w:tcPr>
          <w:p>
            <w:pPr>
              <w:jc w:val="right"/>
            </w:pPr>
            <w:r/>
            <w:r>
              <w:rPr>
                <w:sz w:val="17"/>
              </w:rPr>
              <w:t>$42,486</w:t>
            </w:r>
          </w:p>
        </w:tc>
        <w:tc>
          <w:tcPr>
            <w:tcW w:type="dxa" w:w="1944"/>
            <w:shd w:fill="EEF4F8"/>
          </w:tcPr>
          <w:p>
            <w:pPr>
              <w:jc w:val="right"/>
            </w:pPr>
            <w:r/>
            <w:r>
              <w:rPr>
                <w:sz w:val="17"/>
              </w:rPr>
              <w:t>+$28,107</w:t>
            </w:r>
          </w:p>
        </w:tc>
      </w:tr>
      <w:tr>
        <w:tc>
          <w:tcPr>
            <w:tcW w:type="dxa" w:w="2520"/>
          </w:tcPr>
          <w:p>
            <w:r/>
            <w:r>
              <w:rPr>
                <w:sz w:val="17"/>
              </w:rPr>
              <w:t>Mean final premium</w:t>
            </w:r>
          </w:p>
        </w:tc>
        <w:tc>
          <w:tcPr>
            <w:tcW w:type="dxa" w:w="1944"/>
          </w:tcPr>
          <w:p>
            <w:pPr>
              <w:jc w:val="right"/>
            </w:pPr>
            <w:r/>
            <w:r>
              <w:rPr>
                <w:sz w:val="17"/>
              </w:rPr>
              <w:t>$17,098</w:t>
            </w:r>
          </w:p>
        </w:tc>
        <w:tc>
          <w:tcPr>
            <w:tcW w:type="dxa" w:w="1944"/>
          </w:tcPr>
          <w:p>
            <w:pPr>
              <w:jc w:val="right"/>
            </w:pPr>
            <w:r/>
            <w:r>
              <w:rPr>
                <w:sz w:val="17"/>
              </w:rPr>
              <w:t>$43,239</w:t>
            </w:r>
          </w:p>
        </w:tc>
        <w:tc>
          <w:tcPr>
            <w:tcW w:type="dxa" w:w="1944"/>
          </w:tcPr>
          <w:p>
            <w:pPr>
              <w:jc w:val="right"/>
            </w:pPr>
            <w:r/>
            <w:r>
              <w:rPr>
                <w:sz w:val="17"/>
              </w:rPr>
              <w:t>+$26,142</w:t>
            </w:r>
          </w:p>
        </w:tc>
      </w:tr>
      <w:tr>
        <w:tc>
          <w:tcPr>
            <w:tcW w:type="dxa" w:w="2520"/>
            <w:shd w:fill="EEF4F8"/>
          </w:tcPr>
          <w:p>
            <w:r/>
            <w:r>
              <w:rPr>
                <w:sz w:val="17"/>
              </w:rPr>
              <w:t>Median final premium</w:t>
            </w:r>
          </w:p>
        </w:tc>
        <w:tc>
          <w:tcPr>
            <w:tcW w:type="dxa" w:w="1944"/>
            <w:shd w:fill="EEF4F8"/>
          </w:tcPr>
          <w:p>
            <w:pPr>
              <w:jc w:val="right"/>
            </w:pPr>
            <w:r/>
            <w:r>
              <w:rPr>
                <w:sz w:val="17"/>
              </w:rPr>
              <w:t>$17,995</w:t>
            </w:r>
          </w:p>
        </w:tc>
        <w:tc>
          <w:tcPr>
            <w:tcW w:type="dxa" w:w="1944"/>
            <w:shd w:fill="EEF4F8"/>
          </w:tcPr>
          <w:p>
            <w:pPr>
              <w:jc w:val="right"/>
            </w:pPr>
            <w:r/>
            <w:r>
              <w:rPr>
                <w:sz w:val="17"/>
              </w:rPr>
              <w:t>$53,519</w:t>
            </w:r>
          </w:p>
        </w:tc>
        <w:tc>
          <w:tcPr>
            <w:tcW w:type="dxa" w:w="1944"/>
            <w:shd w:fill="EEF4F8"/>
          </w:tcPr>
          <w:p>
            <w:pPr>
              <w:jc w:val="right"/>
            </w:pPr>
            <w:r/>
            <w:r>
              <w:rPr>
                <w:sz w:val="17"/>
              </w:rPr>
              <w:t>+$35,523</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EAF4FA"/>
          </w:tcPr>
          <w:p>
            <w:r/>
            <w:r>
              <w:rPr>
                <w:b/>
                <w:color w:val="1B4965"/>
                <w:sz w:val="20"/>
              </w:rPr>
              <w:t xml:space="preserve">The critical control:  </w:t>
            </w:r>
            <w:r>
              <w:rPr>
                <w:sz w:val="20"/>
              </w:rPr>
              <w:t>Smokers and non-smokers in this portfolio are almost identical on every other risk factor — mean age 40.95 vs 41.21, mean BMI 28.09 vs 27.76, mean exercise 3.98 vs 4.01. The cost gap therefore cannot be explained away as smokers simply being older, heavier or less active. That materially strengthens the case that smoking itself is doing the work, though observational data still cannot establish causation on its own.</w:t>
            </w:r>
          </w:p>
        </w:tc>
      </w:tr>
    </w:tbl>
    <w:p>
      <w:pPr>
        <w:spacing w:after="80"/>
      </w:pP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B4965"/>
          </w:tcPr>
          <w:p>
            <w:r/>
            <w:r>
              <w:rPr>
                <w:b/>
                <w:color w:val="FFFFFF"/>
                <w:sz w:val="17"/>
              </w:rPr>
              <w:t>Group</w:t>
            </w:r>
          </w:p>
        </w:tc>
        <w:tc>
          <w:tcPr>
            <w:tcW w:type="dxa" w:w="2016"/>
            <w:shd w:fill="1B4965"/>
          </w:tcPr>
          <w:p>
            <w:r/>
            <w:r>
              <w:rPr>
                <w:b/>
                <w:color w:val="FFFFFF"/>
                <w:sz w:val="17"/>
              </w:rPr>
              <w:t>Low tier</w:t>
            </w:r>
          </w:p>
        </w:tc>
        <w:tc>
          <w:tcPr>
            <w:tcW w:type="dxa" w:w="2016"/>
            <w:shd w:fill="1B4965"/>
          </w:tcPr>
          <w:p>
            <w:r/>
            <w:r>
              <w:rPr>
                <w:b/>
                <w:color w:val="FFFFFF"/>
                <w:sz w:val="17"/>
              </w:rPr>
              <w:t>Medium tier</w:t>
            </w:r>
          </w:p>
        </w:tc>
        <w:tc>
          <w:tcPr>
            <w:tcW w:type="dxa" w:w="2016"/>
            <w:shd w:fill="1B4965"/>
          </w:tcPr>
          <w:p>
            <w:r/>
            <w:r>
              <w:rPr>
                <w:b/>
                <w:color w:val="FFFFFF"/>
                <w:sz w:val="17"/>
              </w:rPr>
              <w:t>High tier</w:t>
            </w:r>
          </w:p>
        </w:tc>
      </w:tr>
      <w:tr>
        <w:tc>
          <w:tcPr>
            <w:tcW w:type="dxa" w:w="2160"/>
          </w:tcPr>
          <w:p>
            <w:r/>
            <w:r>
              <w:rPr>
                <w:sz w:val="17"/>
              </w:rPr>
              <w:t>Non-smokers</w:t>
            </w:r>
          </w:p>
        </w:tc>
        <w:tc>
          <w:tcPr>
            <w:tcW w:type="dxa" w:w="2016"/>
          </w:tcPr>
          <w:p>
            <w:pPr>
              <w:jc w:val="right"/>
            </w:pPr>
            <w:r/>
            <w:r>
              <w:rPr>
                <w:sz w:val="17"/>
              </w:rPr>
              <w:t>36.7%</w:t>
            </w:r>
          </w:p>
        </w:tc>
        <w:tc>
          <w:tcPr>
            <w:tcW w:type="dxa" w:w="2016"/>
          </w:tcPr>
          <w:p>
            <w:pPr>
              <w:jc w:val="right"/>
            </w:pPr>
            <w:r/>
            <w:r>
              <w:rPr>
                <w:sz w:val="17"/>
              </w:rPr>
              <w:t>58.6%</w:t>
            </w:r>
          </w:p>
        </w:tc>
        <w:tc>
          <w:tcPr>
            <w:tcW w:type="dxa" w:w="2016"/>
          </w:tcPr>
          <w:p>
            <w:pPr>
              <w:jc w:val="right"/>
            </w:pPr>
            <w:r/>
            <w:r>
              <w:rPr>
                <w:sz w:val="17"/>
              </w:rPr>
              <w:t>4.7%</w:t>
            </w:r>
          </w:p>
        </w:tc>
      </w:tr>
      <w:tr>
        <w:tc>
          <w:tcPr>
            <w:tcW w:type="dxa" w:w="2160"/>
            <w:shd w:fill="EEF4F8"/>
          </w:tcPr>
          <w:p>
            <w:r/>
            <w:r>
              <w:rPr>
                <w:sz w:val="17"/>
              </w:rPr>
              <w:t>Smokers</w:t>
            </w:r>
          </w:p>
        </w:tc>
        <w:tc>
          <w:tcPr>
            <w:tcW w:type="dxa" w:w="2016"/>
            <w:shd w:fill="EEF4F8"/>
          </w:tcPr>
          <w:p>
            <w:pPr>
              <w:jc w:val="right"/>
            </w:pPr>
            <w:r/>
            <w:r>
              <w:rPr>
                <w:sz w:val="17"/>
              </w:rPr>
              <w:t>0.0%</w:t>
            </w:r>
          </w:p>
        </w:tc>
        <w:tc>
          <w:tcPr>
            <w:tcW w:type="dxa" w:w="2016"/>
            <w:shd w:fill="EEF4F8"/>
          </w:tcPr>
          <w:p>
            <w:pPr>
              <w:jc w:val="right"/>
            </w:pPr>
            <w:r/>
            <w:r>
              <w:rPr>
                <w:sz w:val="17"/>
              </w:rPr>
              <w:t>40.7%</w:t>
            </w:r>
          </w:p>
        </w:tc>
        <w:tc>
          <w:tcPr>
            <w:tcW w:type="dxa" w:w="2016"/>
            <w:shd w:fill="EEF4F8"/>
          </w:tcPr>
          <w:p>
            <w:pPr>
              <w:jc w:val="right"/>
            </w:pPr>
            <w:r/>
            <w:r>
              <w:rPr>
                <w:sz w:val="17"/>
              </w:rPr>
              <w:t>59.3%</w:t>
            </w:r>
          </w:p>
        </w:tc>
      </w:tr>
    </w:tbl>
    <w:p>
      <w:pPr>
        <w:spacing w:after="80"/>
      </w:pPr>
    </w:p>
    <w:p>
      <w:pPr>
        <w:spacing w:after="120"/>
      </w:pPr>
      <w:r>
        <w:rPr>
          <w:b w:val="0"/>
          <w:i w:val="0"/>
          <w:sz w:val="21"/>
        </w:rPr>
        <w:t>Not a single smoker in the portfolio reaches the Low tier, while 59.3% land in High against 4.7% of non-smokers. Smoking is close to a deterministic exclusion from the cheapest pricing. Note also that the median smoker premium sits far above the mean, indicating the smoker distribution is itself bimodal — smokers split into a Medium cluster and a High cluster rather than forming one shifted group.</w:t>
      </w:r>
    </w:p>
    <w:p>
      <w:pPr>
        <w:jc w:val="center"/>
      </w:pPr>
      <w:r>
        <w:drawing>
          <wp:inline xmlns:a="http://schemas.openxmlformats.org/drawingml/2006/main" xmlns:pic="http://schemas.openxmlformats.org/drawingml/2006/picture">
            <wp:extent cx="5852160" cy="1534528"/>
            <wp:docPr id="10" name="Picture 10"/>
            <wp:cNvGraphicFramePr>
              <a:graphicFrameLocks noChangeAspect="1"/>
            </wp:cNvGraphicFramePr>
            <a:graphic>
              <a:graphicData uri="http://schemas.openxmlformats.org/drawingml/2006/picture">
                <pic:pic>
                  <pic:nvPicPr>
                    <pic:cNvPr id="0" name="10_smoker_analysis.png"/>
                    <pic:cNvPicPr/>
                  </pic:nvPicPr>
                  <pic:blipFill>
                    <a:blip r:embed="rId18"/>
                    <a:stretch>
                      <a:fillRect/>
                    </a:stretch>
                  </pic:blipFill>
                  <pic:spPr>
                    <a:xfrm>
                      <a:off x="0" y="0"/>
                      <a:ext cx="5852160" cy="1534528"/>
                    </a:xfrm>
                    <a:prstGeom prst="rect"/>
                  </pic:spPr>
                </pic:pic>
              </a:graphicData>
            </a:graphic>
          </wp:inline>
        </w:drawing>
      </w:r>
    </w:p>
    <w:p>
      <w:pPr>
        <w:spacing w:after="220"/>
        <w:jc w:val="center"/>
      </w:pPr>
      <w:r>
        <w:rPr>
          <w:i/>
          <w:color w:val="5A6A78"/>
          <w:sz w:val="17"/>
        </w:rPr>
        <w:t>Figure 10 — Smoker vs non-smoker across portfolio mix, Health Score, premium and the quantified gap.</w:t>
      </w:r>
    </w:p>
    <w:p>
      <w:r>
        <w:br w:type="page"/>
      </w:r>
    </w:p>
    <w:p>
      <w:pPr>
        <w:pStyle w:val="Heading1"/>
      </w:pPr>
      <w:r>
        <w:t>11. Classification — Stage 1</w:t>
      </w:r>
    </w:p>
    <w:p>
      <w:pPr>
        <w:spacing w:after="120"/>
      </w:pPr>
      <w:r>
        <w:rPr>
          <w:b w:val="0"/>
          <w:i w:val="0"/>
          <w:sz w:val="21"/>
        </w:rPr>
        <w:t>Stage 1 predicts the risk tier from the customer profile. Seven candidates were compared and the model was chosen on cross-validated accuracy rather than a single test score.</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1872"/>
            <w:shd w:fill="1B4965"/>
          </w:tcPr>
          <w:p>
            <w:r/>
            <w:r>
              <w:rPr>
                <w:b/>
                <w:color w:val="FFFFFF"/>
                <w:sz w:val="15"/>
              </w:rPr>
              <w:t>Model</w:t>
            </w:r>
          </w:p>
        </w:tc>
        <w:tc>
          <w:tcPr>
            <w:tcW w:type="dxa" w:w="792"/>
            <w:shd w:fill="1B4965"/>
          </w:tcPr>
          <w:p>
            <w:r/>
            <w:r>
              <w:rPr>
                <w:b/>
                <w:color w:val="FFFFFF"/>
                <w:sz w:val="15"/>
              </w:rPr>
              <w:t>Train</w:t>
            </w:r>
          </w:p>
        </w:tc>
        <w:tc>
          <w:tcPr>
            <w:tcW w:type="dxa" w:w="792"/>
            <w:shd w:fill="1B4965"/>
          </w:tcPr>
          <w:p>
            <w:r/>
            <w:r>
              <w:rPr>
                <w:b/>
                <w:color w:val="FFFFFF"/>
                <w:sz w:val="15"/>
              </w:rPr>
              <w:t>Test</w:t>
            </w:r>
          </w:p>
        </w:tc>
        <w:tc>
          <w:tcPr>
            <w:tcW w:type="dxa" w:w="792"/>
            <w:shd w:fill="1B4965"/>
          </w:tcPr>
          <w:p>
            <w:r/>
            <w:r>
              <w:rPr>
                <w:b/>
                <w:color w:val="FFFFFF"/>
                <w:sz w:val="15"/>
              </w:rPr>
              <w:t>Gap</w:t>
            </w:r>
          </w:p>
        </w:tc>
        <w:tc>
          <w:tcPr>
            <w:tcW w:type="dxa" w:w="691"/>
            <w:shd w:fill="1B4965"/>
          </w:tcPr>
          <w:p>
            <w:r/>
            <w:r>
              <w:rPr>
                <w:b/>
                <w:color w:val="FFFFFF"/>
                <w:sz w:val="15"/>
              </w:rPr>
              <w:t>Prec</w:t>
            </w:r>
          </w:p>
        </w:tc>
        <w:tc>
          <w:tcPr>
            <w:tcW w:type="dxa" w:w="691"/>
            <w:shd w:fill="1B4965"/>
          </w:tcPr>
          <w:p>
            <w:r/>
            <w:r>
              <w:rPr>
                <w:b/>
                <w:color w:val="FFFFFF"/>
                <w:sz w:val="15"/>
              </w:rPr>
              <w:t>Rec</w:t>
            </w:r>
          </w:p>
        </w:tc>
        <w:tc>
          <w:tcPr>
            <w:tcW w:type="dxa" w:w="691"/>
            <w:shd w:fill="1B4965"/>
          </w:tcPr>
          <w:p>
            <w:r/>
            <w:r>
              <w:rPr>
                <w:b/>
                <w:color w:val="FFFFFF"/>
                <w:sz w:val="15"/>
              </w:rPr>
              <w:t>F1</w:t>
            </w:r>
          </w:p>
        </w:tc>
        <w:tc>
          <w:tcPr>
            <w:tcW w:type="dxa" w:w="835"/>
            <w:shd w:fill="1B4965"/>
          </w:tcPr>
          <w:p>
            <w:r/>
            <w:r>
              <w:rPr>
                <w:b/>
                <w:color w:val="FFFFFF"/>
                <w:sz w:val="15"/>
              </w:rPr>
              <w:t>ROC-AUC</w:t>
            </w:r>
          </w:p>
        </w:tc>
        <w:tc>
          <w:tcPr>
            <w:tcW w:type="dxa" w:w="792"/>
            <w:shd w:fill="1B4965"/>
          </w:tcPr>
          <w:p>
            <w:r/>
            <w:r>
              <w:rPr>
                <w:b/>
                <w:color w:val="FFFFFF"/>
                <w:sz w:val="15"/>
              </w:rPr>
              <w:t>CV</w:t>
            </w:r>
          </w:p>
        </w:tc>
        <w:tc>
          <w:tcPr>
            <w:tcW w:type="dxa" w:w="1152"/>
            <w:shd w:fill="1B4965"/>
          </w:tcPr>
          <w:p>
            <w:r/>
            <w:r>
              <w:rPr>
                <w:b/>
                <w:color w:val="FFFFFF"/>
                <w:sz w:val="15"/>
              </w:rPr>
              <w:t>Bias/variance</w:t>
            </w:r>
          </w:p>
        </w:tc>
      </w:tr>
      <w:tr>
        <w:tc>
          <w:tcPr>
            <w:tcW w:type="dxa" w:w="1872"/>
          </w:tcPr>
          <w:p>
            <w:r/>
            <w:r>
              <w:rPr>
                <w:sz w:val="15"/>
              </w:rPr>
              <w:t>Logistic Regression</w:t>
            </w:r>
          </w:p>
        </w:tc>
        <w:tc>
          <w:tcPr>
            <w:tcW w:type="dxa" w:w="792"/>
          </w:tcPr>
          <w:p>
            <w:pPr>
              <w:jc w:val="right"/>
            </w:pPr>
            <w:r/>
            <w:r>
              <w:rPr>
                <w:sz w:val="15"/>
              </w:rPr>
              <w:t>0.7865</w:t>
            </w:r>
          </w:p>
        </w:tc>
        <w:tc>
          <w:tcPr>
            <w:tcW w:type="dxa" w:w="792"/>
          </w:tcPr>
          <w:p>
            <w:pPr>
              <w:jc w:val="right"/>
            </w:pPr>
            <w:r/>
            <w:r>
              <w:rPr>
                <w:sz w:val="15"/>
              </w:rPr>
              <w:t>0.8292</w:t>
            </w:r>
          </w:p>
        </w:tc>
        <w:tc>
          <w:tcPr>
            <w:tcW w:type="dxa" w:w="792"/>
          </w:tcPr>
          <w:p>
            <w:pPr>
              <w:jc w:val="right"/>
            </w:pPr>
            <w:r/>
            <w:r>
              <w:rPr>
                <w:sz w:val="15"/>
              </w:rPr>
              <w:t>-0.0427</w:t>
            </w:r>
          </w:p>
        </w:tc>
        <w:tc>
          <w:tcPr>
            <w:tcW w:type="dxa" w:w="691"/>
          </w:tcPr>
          <w:p>
            <w:pPr>
              <w:jc w:val="right"/>
            </w:pPr>
            <w:r/>
            <w:r>
              <w:rPr>
                <w:sz w:val="15"/>
              </w:rPr>
              <w:t>0.842</w:t>
            </w:r>
          </w:p>
        </w:tc>
        <w:tc>
          <w:tcPr>
            <w:tcW w:type="dxa" w:w="691"/>
          </w:tcPr>
          <w:p>
            <w:pPr>
              <w:jc w:val="right"/>
            </w:pPr>
            <w:r/>
            <w:r>
              <w:rPr>
                <w:sz w:val="15"/>
              </w:rPr>
              <w:t>0.804</w:t>
            </w:r>
          </w:p>
        </w:tc>
        <w:tc>
          <w:tcPr>
            <w:tcW w:type="dxa" w:w="691"/>
          </w:tcPr>
          <w:p>
            <w:pPr>
              <w:jc w:val="right"/>
            </w:pPr>
            <w:r/>
            <w:r>
              <w:rPr>
                <w:sz w:val="15"/>
              </w:rPr>
              <w:t>0.818</w:t>
            </w:r>
          </w:p>
        </w:tc>
        <w:tc>
          <w:tcPr>
            <w:tcW w:type="dxa" w:w="835"/>
          </w:tcPr>
          <w:p>
            <w:pPr>
              <w:jc w:val="right"/>
            </w:pPr>
            <w:r/>
            <w:r>
              <w:rPr>
                <w:sz w:val="15"/>
              </w:rPr>
              <w:t>0.934</w:t>
            </w:r>
          </w:p>
        </w:tc>
        <w:tc>
          <w:tcPr>
            <w:tcW w:type="dxa" w:w="792"/>
          </w:tcPr>
          <w:p>
            <w:pPr>
              <w:jc w:val="right"/>
            </w:pPr>
            <w:r/>
            <w:r>
              <w:rPr>
                <w:sz w:val="15"/>
              </w:rPr>
              <w:t>0.7750</w:t>
            </w:r>
          </w:p>
        </w:tc>
        <w:tc>
          <w:tcPr>
            <w:tcW w:type="dxa" w:w="1152"/>
          </w:tcPr>
          <w:p>
            <w:r/>
            <w:r>
              <w:rPr>
                <w:sz w:val="15"/>
              </w:rPr>
              <w:t>Underfits</w:t>
            </w:r>
          </w:p>
        </w:tc>
      </w:tr>
      <w:tr>
        <w:tc>
          <w:tcPr>
            <w:tcW w:type="dxa" w:w="1872"/>
            <w:shd w:fill="EEF4F8"/>
          </w:tcPr>
          <w:p>
            <w:r/>
            <w:r>
              <w:rPr>
                <w:sz w:val="15"/>
              </w:rPr>
              <w:t>Decision Tree (d=3)</w:t>
            </w:r>
          </w:p>
        </w:tc>
        <w:tc>
          <w:tcPr>
            <w:tcW w:type="dxa" w:w="792"/>
            <w:shd w:fill="EEF4F8"/>
          </w:tcPr>
          <w:p>
            <w:pPr>
              <w:jc w:val="right"/>
            </w:pPr>
            <w:r/>
            <w:r>
              <w:rPr>
                <w:sz w:val="15"/>
              </w:rPr>
              <w:t>0.8948</w:t>
            </w:r>
          </w:p>
        </w:tc>
        <w:tc>
          <w:tcPr>
            <w:tcW w:type="dxa" w:w="792"/>
            <w:shd w:fill="EEF4F8"/>
          </w:tcPr>
          <w:p>
            <w:pPr>
              <w:jc w:val="right"/>
            </w:pPr>
            <w:r/>
            <w:r>
              <w:rPr>
                <w:sz w:val="15"/>
              </w:rPr>
              <w:t>0.9125</w:t>
            </w:r>
          </w:p>
        </w:tc>
        <w:tc>
          <w:tcPr>
            <w:tcW w:type="dxa" w:w="792"/>
            <w:shd w:fill="EEF4F8"/>
          </w:tcPr>
          <w:p>
            <w:pPr>
              <w:jc w:val="right"/>
            </w:pPr>
            <w:r/>
            <w:r>
              <w:rPr>
                <w:sz w:val="15"/>
              </w:rPr>
              <w:t>-0.0177</w:t>
            </w:r>
          </w:p>
        </w:tc>
        <w:tc>
          <w:tcPr>
            <w:tcW w:type="dxa" w:w="691"/>
            <w:shd w:fill="EEF4F8"/>
          </w:tcPr>
          <w:p>
            <w:pPr>
              <w:jc w:val="right"/>
            </w:pPr>
            <w:r/>
            <w:r>
              <w:rPr>
                <w:sz w:val="15"/>
              </w:rPr>
              <w:t>0.934</w:t>
            </w:r>
          </w:p>
        </w:tc>
        <w:tc>
          <w:tcPr>
            <w:tcW w:type="dxa" w:w="691"/>
            <w:shd w:fill="EEF4F8"/>
          </w:tcPr>
          <w:p>
            <w:pPr>
              <w:jc w:val="right"/>
            </w:pPr>
            <w:r/>
            <w:r>
              <w:rPr>
                <w:sz w:val="15"/>
              </w:rPr>
              <w:t>0.887</w:t>
            </w:r>
          </w:p>
        </w:tc>
        <w:tc>
          <w:tcPr>
            <w:tcW w:type="dxa" w:w="691"/>
            <w:shd w:fill="EEF4F8"/>
          </w:tcPr>
          <w:p>
            <w:pPr>
              <w:jc w:val="right"/>
            </w:pPr>
            <w:r/>
            <w:r>
              <w:rPr>
                <w:sz w:val="15"/>
              </w:rPr>
              <w:t>0.905</w:t>
            </w:r>
          </w:p>
        </w:tc>
        <w:tc>
          <w:tcPr>
            <w:tcW w:type="dxa" w:w="835"/>
            <w:shd w:fill="EEF4F8"/>
          </w:tcPr>
          <w:p>
            <w:pPr>
              <w:jc w:val="right"/>
            </w:pPr>
            <w:r/>
            <w:r>
              <w:rPr>
                <w:sz w:val="15"/>
              </w:rPr>
              <w:t>0.952</w:t>
            </w:r>
          </w:p>
        </w:tc>
        <w:tc>
          <w:tcPr>
            <w:tcW w:type="dxa" w:w="792"/>
            <w:shd w:fill="EEF4F8"/>
          </w:tcPr>
          <w:p>
            <w:pPr>
              <w:jc w:val="right"/>
            </w:pPr>
            <w:r/>
            <w:r>
              <w:rPr>
                <w:sz w:val="15"/>
              </w:rPr>
              <w:t>0.8975</w:t>
            </w:r>
          </w:p>
        </w:tc>
        <w:tc>
          <w:tcPr>
            <w:tcW w:type="dxa" w:w="1152"/>
            <w:shd w:fill="EEF4F8"/>
          </w:tcPr>
          <w:p>
            <w:r/>
            <w:r>
              <w:rPr>
                <w:sz w:val="15"/>
              </w:rPr>
              <w:t>Balanced</w:t>
            </w:r>
          </w:p>
        </w:tc>
      </w:tr>
      <w:tr>
        <w:tc>
          <w:tcPr>
            <w:tcW w:type="dxa" w:w="1872"/>
          </w:tcPr>
          <w:p>
            <w:r/>
            <w:r>
              <w:rPr>
                <w:sz w:val="15"/>
              </w:rPr>
              <w:t>Decision Tree (d=4)</w:t>
            </w:r>
          </w:p>
        </w:tc>
        <w:tc>
          <w:tcPr>
            <w:tcW w:type="dxa" w:w="792"/>
          </w:tcPr>
          <w:p>
            <w:pPr>
              <w:jc w:val="right"/>
            </w:pPr>
            <w:r/>
            <w:r>
              <w:rPr>
                <w:sz w:val="15"/>
              </w:rPr>
              <w:t>0.9323</w:t>
            </w:r>
          </w:p>
        </w:tc>
        <w:tc>
          <w:tcPr>
            <w:tcW w:type="dxa" w:w="792"/>
          </w:tcPr>
          <w:p>
            <w:pPr>
              <w:jc w:val="right"/>
            </w:pPr>
            <w:r/>
            <w:r>
              <w:rPr>
                <w:sz w:val="15"/>
              </w:rPr>
              <w:t>0.9458</w:t>
            </w:r>
          </w:p>
        </w:tc>
        <w:tc>
          <w:tcPr>
            <w:tcW w:type="dxa" w:w="792"/>
          </w:tcPr>
          <w:p>
            <w:pPr>
              <w:jc w:val="right"/>
            </w:pPr>
            <w:r/>
            <w:r>
              <w:rPr>
                <w:sz w:val="15"/>
              </w:rPr>
              <w:t>-0.0135</w:t>
            </w:r>
          </w:p>
        </w:tc>
        <w:tc>
          <w:tcPr>
            <w:tcW w:type="dxa" w:w="691"/>
          </w:tcPr>
          <w:p>
            <w:pPr>
              <w:jc w:val="right"/>
            </w:pPr>
            <w:r/>
            <w:r>
              <w:rPr>
                <w:sz w:val="15"/>
              </w:rPr>
              <w:t>0.954</w:t>
            </w:r>
          </w:p>
        </w:tc>
        <w:tc>
          <w:tcPr>
            <w:tcW w:type="dxa" w:w="691"/>
          </w:tcPr>
          <w:p>
            <w:pPr>
              <w:jc w:val="right"/>
            </w:pPr>
            <w:r/>
            <w:r>
              <w:rPr>
                <w:sz w:val="15"/>
              </w:rPr>
              <w:t>0.937</w:t>
            </w:r>
          </w:p>
        </w:tc>
        <w:tc>
          <w:tcPr>
            <w:tcW w:type="dxa" w:w="691"/>
          </w:tcPr>
          <w:p>
            <w:pPr>
              <w:jc w:val="right"/>
            </w:pPr>
            <w:r/>
            <w:r>
              <w:rPr>
                <w:sz w:val="15"/>
              </w:rPr>
              <w:t>0.944</w:t>
            </w:r>
          </w:p>
        </w:tc>
        <w:tc>
          <w:tcPr>
            <w:tcW w:type="dxa" w:w="835"/>
          </w:tcPr>
          <w:p>
            <w:pPr>
              <w:jc w:val="right"/>
            </w:pPr>
            <w:r/>
            <w:r>
              <w:rPr>
                <w:sz w:val="15"/>
              </w:rPr>
              <w:t>0.976</w:t>
            </w:r>
          </w:p>
        </w:tc>
        <w:tc>
          <w:tcPr>
            <w:tcW w:type="dxa" w:w="792"/>
          </w:tcPr>
          <w:p>
            <w:pPr>
              <w:jc w:val="right"/>
            </w:pPr>
            <w:r/>
            <w:r>
              <w:rPr>
                <w:sz w:val="15"/>
              </w:rPr>
              <w:t>0.9242</w:t>
            </w:r>
          </w:p>
        </w:tc>
        <w:tc>
          <w:tcPr>
            <w:tcW w:type="dxa" w:w="1152"/>
          </w:tcPr>
          <w:p>
            <w:r/>
            <w:r>
              <w:rPr>
                <w:sz w:val="15"/>
              </w:rPr>
              <w:t>Balanced</w:t>
            </w:r>
          </w:p>
        </w:tc>
      </w:tr>
      <w:tr>
        <w:tc>
          <w:tcPr>
            <w:tcW w:type="dxa" w:w="1872"/>
            <w:shd w:fill="EEF4F8"/>
          </w:tcPr>
          <w:p>
            <w:r/>
            <w:r>
              <w:rPr>
                <w:sz w:val="15"/>
              </w:rPr>
              <w:t>Decision Tree (d=5)</w:t>
            </w:r>
          </w:p>
        </w:tc>
        <w:tc>
          <w:tcPr>
            <w:tcW w:type="dxa" w:w="792"/>
            <w:shd w:fill="EEF4F8"/>
          </w:tcPr>
          <w:p>
            <w:pPr>
              <w:jc w:val="right"/>
            </w:pPr>
            <w:r/>
            <w:r>
              <w:rPr>
                <w:sz w:val="15"/>
              </w:rPr>
              <w:t>0.9365</w:t>
            </w:r>
          </w:p>
        </w:tc>
        <w:tc>
          <w:tcPr>
            <w:tcW w:type="dxa" w:w="792"/>
            <w:shd w:fill="EEF4F8"/>
          </w:tcPr>
          <w:p>
            <w:pPr>
              <w:jc w:val="right"/>
            </w:pPr>
            <w:r/>
            <w:r>
              <w:rPr>
                <w:sz w:val="15"/>
              </w:rPr>
              <w:t>0.9375</w:t>
            </w:r>
          </w:p>
        </w:tc>
        <w:tc>
          <w:tcPr>
            <w:tcW w:type="dxa" w:w="792"/>
            <w:shd w:fill="EEF4F8"/>
          </w:tcPr>
          <w:p>
            <w:pPr>
              <w:jc w:val="right"/>
            </w:pPr>
            <w:r/>
            <w:r>
              <w:rPr>
                <w:sz w:val="15"/>
              </w:rPr>
              <w:t>-0.0010</w:t>
            </w:r>
          </w:p>
        </w:tc>
        <w:tc>
          <w:tcPr>
            <w:tcW w:type="dxa" w:w="691"/>
            <w:shd w:fill="EEF4F8"/>
          </w:tcPr>
          <w:p>
            <w:pPr>
              <w:jc w:val="right"/>
            </w:pPr>
            <w:r/>
            <w:r>
              <w:rPr>
                <w:sz w:val="15"/>
              </w:rPr>
              <w:t>0.946</w:t>
            </w:r>
          </w:p>
        </w:tc>
        <w:tc>
          <w:tcPr>
            <w:tcW w:type="dxa" w:w="691"/>
            <w:shd w:fill="EEF4F8"/>
          </w:tcPr>
          <w:p>
            <w:pPr>
              <w:jc w:val="right"/>
            </w:pPr>
            <w:r/>
            <w:r>
              <w:rPr>
                <w:sz w:val="15"/>
              </w:rPr>
              <w:t>0.928</w:t>
            </w:r>
          </w:p>
        </w:tc>
        <w:tc>
          <w:tcPr>
            <w:tcW w:type="dxa" w:w="691"/>
            <w:shd w:fill="EEF4F8"/>
          </w:tcPr>
          <w:p>
            <w:pPr>
              <w:jc w:val="right"/>
            </w:pPr>
            <w:r/>
            <w:r>
              <w:rPr>
                <w:sz w:val="15"/>
              </w:rPr>
              <w:t>0.936</w:t>
            </w:r>
          </w:p>
        </w:tc>
        <w:tc>
          <w:tcPr>
            <w:tcW w:type="dxa" w:w="835"/>
            <w:shd w:fill="EEF4F8"/>
          </w:tcPr>
          <w:p>
            <w:pPr>
              <w:jc w:val="right"/>
            </w:pPr>
            <w:r/>
            <w:r>
              <w:rPr>
                <w:sz w:val="15"/>
              </w:rPr>
              <w:t>0.971</w:t>
            </w:r>
          </w:p>
        </w:tc>
        <w:tc>
          <w:tcPr>
            <w:tcW w:type="dxa" w:w="792"/>
            <w:shd w:fill="EEF4F8"/>
          </w:tcPr>
          <w:p>
            <w:pPr>
              <w:jc w:val="right"/>
            </w:pPr>
            <w:r/>
            <w:r>
              <w:rPr>
                <w:sz w:val="15"/>
              </w:rPr>
              <w:t>0.9150</w:t>
            </w:r>
          </w:p>
        </w:tc>
        <w:tc>
          <w:tcPr>
            <w:tcW w:type="dxa" w:w="1152"/>
            <w:shd w:fill="EEF4F8"/>
          </w:tcPr>
          <w:p>
            <w:r/>
            <w:r>
              <w:rPr>
                <w:sz w:val="15"/>
              </w:rPr>
              <w:t>Balanced</w:t>
            </w:r>
          </w:p>
        </w:tc>
      </w:tr>
      <w:tr>
        <w:tc>
          <w:tcPr>
            <w:tcW w:type="dxa" w:w="1872"/>
          </w:tcPr>
          <w:p>
            <w:r/>
            <w:r>
              <w:rPr>
                <w:sz w:val="15"/>
              </w:rPr>
              <w:t>Decision Tree (d=10)</w:t>
            </w:r>
          </w:p>
        </w:tc>
        <w:tc>
          <w:tcPr>
            <w:tcW w:type="dxa" w:w="792"/>
          </w:tcPr>
          <w:p>
            <w:pPr>
              <w:jc w:val="right"/>
            </w:pPr>
            <w:r/>
            <w:r>
              <w:rPr>
                <w:sz w:val="15"/>
              </w:rPr>
              <w:t>0.9844</w:t>
            </w:r>
          </w:p>
        </w:tc>
        <w:tc>
          <w:tcPr>
            <w:tcW w:type="dxa" w:w="792"/>
          </w:tcPr>
          <w:p>
            <w:pPr>
              <w:jc w:val="right"/>
            </w:pPr>
            <w:r/>
            <w:r>
              <w:rPr>
                <w:sz w:val="15"/>
              </w:rPr>
              <w:t>0.9083</w:t>
            </w:r>
          </w:p>
        </w:tc>
        <w:tc>
          <w:tcPr>
            <w:tcW w:type="dxa" w:w="792"/>
          </w:tcPr>
          <w:p>
            <w:pPr>
              <w:jc w:val="right"/>
            </w:pPr>
            <w:r/>
            <w:r>
              <w:rPr>
                <w:sz w:val="15"/>
              </w:rPr>
              <w:t>+0.0760</w:t>
            </w:r>
          </w:p>
        </w:tc>
        <w:tc>
          <w:tcPr>
            <w:tcW w:type="dxa" w:w="691"/>
          </w:tcPr>
          <w:p>
            <w:pPr>
              <w:jc w:val="right"/>
            </w:pPr>
            <w:r/>
            <w:r>
              <w:rPr>
                <w:sz w:val="15"/>
              </w:rPr>
              <w:t>0.908</w:t>
            </w:r>
          </w:p>
        </w:tc>
        <w:tc>
          <w:tcPr>
            <w:tcW w:type="dxa" w:w="691"/>
          </w:tcPr>
          <w:p>
            <w:pPr>
              <w:jc w:val="right"/>
            </w:pPr>
            <w:r/>
            <w:r>
              <w:rPr>
                <w:sz w:val="15"/>
              </w:rPr>
              <w:t>0.904</w:t>
            </w:r>
          </w:p>
        </w:tc>
        <w:tc>
          <w:tcPr>
            <w:tcW w:type="dxa" w:w="691"/>
          </w:tcPr>
          <w:p>
            <w:pPr>
              <w:jc w:val="right"/>
            </w:pPr>
            <w:r/>
            <w:r>
              <w:rPr>
                <w:sz w:val="15"/>
              </w:rPr>
              <w:t>0.905</w:t>
            </w:r>
          </w:p>
        </w:tc>
        <w:tc>
          <w:tcPr>
            <w:tcW w:type="dxa" w:w="835"/>
          </w:tcPr>
          <w:p>
            <w:pPr>
              <w:jc w:val="right"/>
            </w:pPr>
            <w:r/>
            <w:r>
              <w:rPr>
                <w:sz w:val="15"/>
              </w:rPr>
              <w:t>0.916</w:t>
            </w:r>
          </w:p>
        </w:tc>
        <w:tc>
          <w:tcPr>
            <w:tcW w:type="dxa" w:w="792"/>
          </w:tcPr>
          <w:p>
            <w:pPr>
              <w:jc w:val="right"/>
            </w:pPr>
            <w:r/>
            <w:r>
              <w:rPr>
                <w:sz w:val="15"/>
              </w:rPr>
              <w:t>0.8592</w:t>
            </w:r>
          </w:p>
        </w:tc>
        <w:tc>
          <w:tcPr>
            <w:tcW w:type="dxa" w:w="1152"/>
          </w:tcPr>
          <w:p>
            <w:r/>
            <w:r>
              <w:rPr>
                <w:sz w:val="15"/>
              </w:rPr>
              <w:t>Overfits</w:t>
            </w:r>
          </w:p>
        </w:tc>
      </w:tr>
      <w:tr>
        <w:tc>
          <w:tcPr>
            <w:tcW w:type="dxa" w:w="1872"/>
            <w:shd w:fill="EEF4F8"/>
          </w:tcPr>
          <w:p>
            <w:r/>
            <w:r>
              <w:rPr>
                <w:sz w:val="15"/>
              </w:rPr>
              <w:t>Decision Tree (unpruned)</w:t>
            </w:r>
          </w:p>
        </w:tc>
        <w:tc>
          <w:tcPr>
            <w:tcW w:type="dxa" w:w="792"/>
            <w:shd w:fill="EEF4F8"/>
          </w:tcPr>
          <w:p>
            <w:pPr>
              <w:jc w:val="right"/>
            </w:pPr>
            <w:r/>
            <w:r>
              <w:rPr>
                <w:sz w:val="15"/>
              </w:rPr>
              <w:t>1.0000</w:t>
            </w:r>
          </w:p>
        </w:tc>
        <w:tc>
          <w:tcPr>
            <w:tcW w:type="dxa" w:w="792"/>
            <w:shd w:fill="EEF4F8"/>
          </w:tcPr>
          <w:p>
            <w:pPr>
              <w:jc w:val="right"/>
            </w:pPr>
            <w:r/>
            <w:r>
              <w:rPr>
                <w:sz w:val="15"/>
              </w:rPr>
              <w:t>0.8875</w:t>
            </w:r>
          </w:p>
        </w:tc>
        <w:tc>
          <w:tcPr>
            <w:tcW w:type="dxa" w:w="792"/>
            <w:shd w:fill="EEF4F8"/>
          </w:tcPr>
          <w:p>
            <w:pPr>
              <w:jc w:val="right"/>
            </w:pPr>
            <w:r/>
            <w:r>
              <w:rPr>
                <w:sz w:val="15"/>
              </w:rPr>
              <w:t>+0.1125</w:t>
            </w:r>
          </w:p>
        </w:tc>
        <w:tc>
          <w:tcPr>
            <w:tcW w:type="dxa" w:w="691"/>
            <w:shd w:fill="EEF4F8"/>
          </w:tcPr>
          <w:p>
            <w:pPr>
              <w:jc w:val="right"/>
            </w:pPr>
            <w:r/>
            <w:r>
              <w:rPr>
                <w:sz w:val="15"/>
              </w:rPr>
              <w:t>0.883</w:t>
            </w:r>
          </w:p>
        </w:tc>
        <w:tc>
          <w:tcPr>
            <w:tcW w:type="dxa" w:w="691"/>
            <w:shd w:fill="EEF4F8"/>
          </w:tcPr>
          <w:p>
            <w:pPr>
              <w:jc w:val="right"/>
            </w:pPr>
            <w:r/>
            <w:r>
              <w:rPr>
                <w:sz w:val="15"/>
              </w:rPr>
              <w:t>0.890</w:t>
            </w:r>
          </w:p>
        </w:tc>
        <w:tc>
          <w:tcPr>
            <w:tcW w:type="dxa" w:w="691"/>
            <w:shd w:fill="EEF4F8"/>
          </w:tcPr>
          <w:p>
            <w:pPr>
              <w:jc w:val="right"/>
            </w:pPr>
            <w:r/>
            <w:r>
              <w:rPr>
                <w:sz w:val="15"/>
              </w:rPr>
              <w:t>0.887</w:t>
            </w:r>
          </w:p>
        </w:tc>
        <w:tc>
          <w:tcPr>
            <w:tcW w:type="dxa" w:w="835"/>
            <w:shd w:fill="EEF4F8"/>
          </w:tcPr>
          <w:p>
            <w:pPr>
              <w:jc w:val="right"/>
            </w:pPr>
            <w:r/>
            <w:r>
              <w:rPr>
                <w:sz w:val="15"/>
              </w:rPr>
              <w:t>0.914</w:t>
            </w:r>
          </w:p>
        </w:tc>
        <w:tc>
          <w:tcPr>
            <w:tcW w:type="dxa" w:w="792"/>
            <w:shd w:fill="EEF4F8"/>
          </w:tcPr>
          <w:p>
            <w:pPr>
              <w:jc w:val="right"/>
            </w:pPr>
            <w:r/>
            <w:r>
              <w:rPr>
                <w:sz w:val="15"/>
              </w:rPr>
              <w:t>0.8425</w:t>
            </w:r>
          </w:p>
        </w:tc>
        <w:tc>
          <w:tcPr>
            <w:tcW w:type="dxa" w:w="1152"/>
            <w:shd w:fill="EEF4F8"/>
          </w:tcPr>
          <w:p>
            <w:r/>
            <w:r>
              <w:rPr>
                <w:sz w:val="15"/>
              </w:rPr>
              <w:t>Underfits</w:t>
            </w:r>
          </w:p>
        </w:tc>
      </w:tr>
      <w:tr>
        <w:tc>
          <w:tcPr>
            <w:tcW w:type="dxa" w:w="1872"/>
          </w:tcPr>
          <w:p>
            <w:r/>
            <w:r>
              <w:rPr>
                <w:sz w:val="15"/>
              </w:rPr>
              <w:t>Random Forest</w:t>
            </w:r>
          </w:p>
        </w:tc>
        <w:tc>
          <w:tcPr>
            <w:tcW w:type="dxa" w:w="792"/>
          </w:tcPr>
          <w:p>
            <w:pPr>
              <w:jc w:val="right"/>
            </w:pPr>
            <w:r/>
            <w:r>
              <w:rPr>
                <w:sz w:val="15"/>
              </w:rPr>
              <w:t>1.0000</w:t>
            </w:r>
          </w:p>
        </w:tc>
        <w:tc>
          <w:tcPr>
            <w:tcW w:type="dxa" w:w="792"/>
          </w:tcPr>
          <w:p>
            <w:pPr>
              <w:jc w:val="right"/>
            </w:pPr>
            <w:r/>
            <w:r>
              <w:rPr>
                <w:sz w:val="15"/>
              </w:rPr>
              <w:t>0.9458</w:t>
            </w:r>
          </w:p>
        </w:tc>
        <w:tc>
          <w:tcPr>
            <w:tcW w:type="dxa" w:w="792"/>
          </w:tcPr>
          <w:p>
            <w:pPr>
              <w:jc w:val="right"/>
            </w:pPr>
            <w:r/>
            <w:r>
              <w:rPr>
                <w:sz w:val="15"/>
              </w:rPr>
              <w:t>+0.0542</w:t>
            </w:r>
          </w:p>
        </w:tc>
        <w:tc>
          <w:tcPr>
            <w:tcW w:type="dxa" w:w="691"/>
          </w:tcPr>
          <w:p>
            <w:pPr>
              <w:jc w:val="right"/>
            </w:pPr>
            <w:r/>
            <w:r>
              <w:rPr>
                <w:sz w:val="15"/>
              </w:rPr>
              <w:t>0.950</w:t>
            </w:r>
          </w:p>
        </w:tc>
        <w:tc>
          <w:tcPr>
            <w:tcW w:type="dxa" w:w="691"/>
          </w:tcPr>
          <w:p>
            <w:pPr>
              <w:jc w:val="right"/>
            </w:pPr>
            <w:r/>
            <w:r>
              <w:rPr>
                <w:sz w:val="15"/>
              </w:rPr>
              <w:t>0.940</w:t>
            </w:r>
          </w:p>
        </w:tc>
        <w:tc>
          <w:tcPr>
            <w:tcW w:type="dxa" w:w="691"/>
          </w:tcPr>
          <w:p>
            <w:pPr>
              <w:jc w:val="right"/>
            </w:pPr>
            <w:r/>
            <w:r>
              <w:rPr>
                <w:sz w:val="15"/>
              </w:rPr>
              <w:t>0.945</w:t>
            </w:r>
          </w:p>
        </w:tc>
        <w:tc>
          <w:tcPr>
            <w:tcW w:type="dxa" w:w="835"/>
          </w:tcPr>
          <w:p>
            <w:pPr>
              <w:jc w:val="right"/>
            </w:pPr>
            <w:r/>
            <w:r>
              <w:rPr>
                <w:sz w:val="15"/>
              </w:rPr>
              <w:t>0.969</w:t>
            </w:r>
          </w:p>
        </w:tc>
        <w:tc>
          <w:tcPr>
            <w:tcW w:type="dxa" w:w="792"/>
          </w:tcPr>
          <w:p>
            <w:pPr>
              <w:jc w:val="right"/>
            </w:pPr>
            <w:r/>
            <w:r>
              <w:rPr>
                <w:sz w:val="15"/>
              </w:rPr>
              <w:t>0.9275</w:t>
            </w:r>
          </w:p>
        </w:tc>
        <w:tc>
          <w:tcPr>
            <w:tcW w:type="dxa" w:w="1152"/>
          </w:tcPr>
          <w:p>
            <w:r/>
            <w:r>
              <w:rPr>
                <w:sz w:val="15"/>
              </w:rPr>
              <w:t>Overfits</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EAF4FA"/>
          </w:tcPr>
          <w:p>
            <w:r/>
            <w:r>
              <w:rPr>
                <w:b/>
                <w:color w:val="1B4965"/>
                <w:sz w:val="20"/>
              </w:rPr>
              <w:t xml:space="preserve">Model choice — depth 4, not the template's depth 5:  </w:t>
            </w:r>
            <w:r>
              <w:rPr>
                <w:sz w:val="20"/>
              </w:rPr>
              <w:t>Cross-validated accuracy peaks at depth 4 (0.9242 vs 0.9150 at depth 5), test accuracy is higher (0.9458 vs 0.9375) and the train–test gap is comparably small. Random Forest ties on test accuracy and edges CV by 0.003, but that margin sits inside the CV standard deviation (±0.011) and it carries a 5.4-point gap. A depth-4 tree is a readable set of underwriting rules that can be shown to a regulator or explained to a declined customer; a 300-tree ensemble cannot be. For a regulated pricing decision, 0.003 accuracy does not justify losing explainability.</w:t>
            </w:r>
          </w:p>
        </w:tc>
      </w:tr>
    </w:tbl>
    <w:p>
      <w:pPr>
        <w:spacing w:after="80"/>
      </w:pP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92"/>
            <w:shd w:fill="1B4965"/>
          </w:tcPr>
          <w:p>
            <w:r/>
            <w:r>
              <w:rPr>
                <w:b/>
                <w:color w:val="FFFFFF"/>
                <w:sz w:val="17"/>
              </w:rPr>
              <w:t>Actual ↓ / Predicted →</w:t>
            </w:r>
          </w:p>
        </w:tc>
        <w:tc>
          <w:tcPr>
            <w:tcW w:type="dxa" w:w="1224"/>
            <w:shd w:fill="1B4965"/>
          </w:tcPr>
          <w:p>
            <w:r/>
            <w:r>
              <w:rPr>
                <w:b/>
                <w:color w:val="FFFFFF"/>
                <w:sz w:val="17"/>
              </w:rPr>
              <w:t>Low</w:t>
            </w:r>
          </w:p>
        </w:tc>
        <w:tc>
          <w:tcPr>
            <w:tcW w:type="dxa" w:w="1368"/>
            <w:shd w:fill="1B4965"/>
          </w:tcPr>
          <w:p>
            <w:r/>
            <w:r>
              <w:rPr>
                <w:b/>
                <w:color w:val="FFFFFF"/>
                <w:sz w:val="17"/>
              </w:rPr>
              <w:t>Medium</w:t>
            </w:r>
          </w:p>
        </w:tc>
        <w:tc>
          <w:tcPr>
            <w:tcW w:type="dxa" w:w="1224"/>
            <w:shd w:fill="1B4965"/>
          </w:tcPr>
          <w:p>
            <w:r/>
            <w:r>
              <w:rPr>
                <w:b/>
                <w:color w:val="FFFFFF"/>
                <w:sz w:val="17"/>
              </w:rPr>
              <w:t>High</w:t>
            </w:r>
          </w:p>
        </w:tc>
        <w:tc>
          <w:tcPr>
            <w:tcW w:type="dxa" w:w="1368"/>
            <w:shd w:fill="1B4965"/>
          </w:tcPr>
          <w:p>
            <w:r/>
            <w:r>
              <w:rPr>
                <w:b/>
                <w:color w:val="FFFFFF"/>
                <w:sz w:val="17"/>
              </w:rPr>
              <w:t>Recall</w:t>
            </w:r>
          </w:p>
        </w:tc>
      </w:tr>
      <w:tr>
        <w:tc>
          <w:tcPr>
            <w:tcW w:type="dxa" w:w="2592"/>
          </w:tcPr>
          <w:p>
            <w:r/>
            <w:r>
              <w:rPr>
                <w:sz w:val="17"/>
              </w:rPr>
              <w:t>Low</w:t>
            </w:r>
          </w:p>
        </w:tc>
        <w:tc>
          <w:tcPr>
            <w:tcW w:type="dxa" w:w="1224"/>
          </w:tcPr>
          <w:p>
            <w:pPr>
              <w:jc w:val="right"/>
            </w:pPr>
            <w:r/>
            <w:r>
              <w:rPr>
                <w:sz w:val="17"/>
              </w:rPr>
              <w:t>57</w:t>
            </w:r>
          </w:p>
        </w:tc>
        <w:tc>
          <w:tcPr>
            <w:tcW w:type="dxa" w:w="1368"/>
          </w:tcPr>
          <w:p>
            <w:pPr>
              <w:jc w:val="right"/>
            </w:pPr>
            <w:r/>
            <w:r>
              <w:rPr>
                <w:sz w:val="17"/>
              </w:rPr>
              <w:t>4</w:t>
            </w:r>
          </w:p>
        </w:tc>
        <w:tc>
          <w:tcPr>
            <w:tcW w:type="dxa" w:w="1224"/>
          </w:tcPr>
          <w:p>
            <w:pPr>
              <w:jc w:val="right"/>
            </w:pPr>
            <w:r/>
            <w:r>
              <w:rPr>
                <w:sz w:val="17"/>
              </w:rPr>
              <w:t>0</w:t>
            </w:r>
          </w:p>
        </w:tc>
        <w:tc>
          <w:tcPr>
            <w:tcW w:type="dxa" w:w="1368"/>
          </w:tcPr>
          <w:p>
            <w:pPr>
              <w:jc w:val="right"/>
            </w:pPr>
            <w:r/>
            <w:r>
              <w:rPr>
                <w:sz w:val="17"/>
              </w:rPr>
              <w:t>0.934</w:t>
            </w:r>
          </w:p>
        </w:tc>
      </w:tr>
      <w:tr>
        <w:tc>
          <w:tcPr>
            <w:tcW w:type="dxa" w:w="2592"/>
            <w:shd w:fill="EEF4F8"/>
          </w:tcPr>
          <w:p>
            <w:r/>
            <w:r>
              <w:rPr>
                <w:sz w:val="17"/>
              </w:rPr>
              <w:t>Medium</w:t>
            </w:r>
          </w:p>
        </w:tc>
        <w:tc>
          <w:tcPr>
            <w:tcW w:type="dxa" w:w="1224"/>
            <w:shd w:fill="EEF4F8"/>
          </w:tcPr>
          <w:p>
            <w:pPr>
              <w:jc w:val="right"/>
            </w:pPr>
            <w:r/>
            <w:r>
              <w:rPr>
                <w:sz w:val="17"/>
              </w:rPr>
              <w:t>3</w:t>
            </w:r>
          </w:p>
        </w:tc>
        <w:tc>
          <w:tcPr>
            <w:tcW w:type="dxa" w:w="1368"/>
            <w:shd w:fill="EEF4F8"/>
          </w:tcPr>
          <w:p>
            <w:pPr>
              <w:jc w:val="right"/>
            </w:pPr>
            <w:r/>
            <w:r>
              <w:rPr>
                <w:sz w:val="17"/>
              </w:rPr>
              <w:t>121</w:t>
            </w:r>
          </w:p>
        </w:tc>
        <w:tc>
          <w:tcPr>
            <w:tcW w:type="dxa" w:w="1224"/>
            <w:shd w:fill="EEF4F8"/>
          </w:tcPr>
          <w:p>
            <w:pPr>
              <w:jc w:val="right"/>
            </w:pPr>
            <w:r/>
            <w:r>
              <w:rPr>
                <w:sz w:val="17"/>
              </w:rPr>
              <w:t>1</w:t>
            </w:r>
          </w:p>
        </w:tc>
        <w:tc>
          <w:tcPr>
            <w:tcW w:type="dxa" w:w="1368"/>
            <w:shd w:fill="EEF4F8"/>
          </w:tcPr>
          <w:p>
            <w:pPr>
              <w:jc w:val="right"/>
            </w:pPr>
            <w:r/>
            <w:r>
              <w:rPr>
                <w:sz w:val="17"/>
              </w:rPr>
              <w:t>0.968</w:t>
            </w:r>
          </w:p>
        </w:tc>
      </w:tr>
      <w:tr>
        <w:tc>
          <w:tcPr>
            <w:tcW w:type="dxa" w:w="2592"/>
          </w:tcPr>
          <w:p>
            <w:r/>
            <w:r>
              <w:rPr>
                <w:sz w:val="17"/>
              </w:rPr>
              <w:t>High</w:t>
            </w:r>
          </w:p>
        </w:tc>
        <w:tc>
          <w:tcPr>
            <w:tcW w:type="dxa" w:w="1224"/>
          </w:tcPr>
          <w:p>
            <w:pPr>
              <w:jc w:val="right"/>
            </w:pPr>
            <w:r/>
            <w:r>
              <w:rPr>
                <w:sz w:val="17"/>
              </w:rPr>
              <w:t>0</w:t>
            </w:r>
          </w:p>
        </w:tc>
        <w:tc>
          <w:tcPr>
            <w:tcW w:type="dxa" w:w="1368"/>
          </w:tcPr>
          <w:p>
            <w:pPr>
              <w:jc w:val="right"/>
            </w:pPr>
            <w:r/>
            <w:r>
              <w:rPr>
                <w:sz w:val="17"/>
              </w:rPr>
              <w:t>5</w:t>
            </w:r>
          </w:p>
        </w:tc>
        <w:tc>
          <w:tcPr>
            <w:tcW w:type="dxa" w:w="1224"/>
          </w:tcPr>
          <w:p>
            <w:pPr>
              <w:jc w:val="right"/>
            </w:pPr>
            <w:r/>
            <w:r>
              <w:rPr>
                <w:sz w:val="17"/>
              </w:rPr>
              <w:t>49</w:t>
            </w:r>
          </w:p>
        </w:tc>
        <w:tc>
          <w:tcPr>
            <w:tcW w:type="dxa" w:w="1368"/>
          </w:tcPr>
          <w:p>
            <w:pPr>
              <w:jc w:val="right"/>
            </w:pPr>
            <w:r/>
            <w:r>
              <w:rPr>
                <w:sz w:val="17"/>
              </w:rPr>
              <w:t>0.907</w:t>
            </w:r>
          </w:p>
        </w:tc>
      </w:tr>
    </w:tbl>
    <w:p>
      <w:pPr>
        <w:spacing w:after="80"/>
      </w:pPr>
    </w:p>
    <w:p>
      <w:pPr>
        <w:spacing w:after="120"/>
      </w:pPr>
      <w:r>
        <w:rPr>
          <w:b w:val="0"/>
          <w:i w:val="0"/>
          <w:sz w:val="21"/>
        </w:rPr>
        <w:t>Test accuracy is 94.58%, balanced accuracy 93.66% and macro-F1 0.9445 — all three agree, so the headline is not being propped up by the majority Medium class. Crucially, all confusion is between neighbouring tiers: zero High-risk customers were labelled Low and zero Low-risk customers were labelled High. The model never makes a two-tier jump, which bounds the financial damage of any single mistake.</w:t>
      </w:r>
    </w:p>
    <w:p>
      <w:pPr>
        <w:pStyle w:val="Heading2"/>
      </w:pPr>
      <w:r>
        <w:t>Business asymmetry of the two error types</w:t>
      </w:r>
    </w:p>
    <w:p>
      <w:pPr>
        <w:spacing w:after="120"/>
      </w:pPr>
      <w:r>
        <w:rPr>
          <w:b w:val="0"/>
          <w:i w:val="0"/>
          <w:sz w:val="21"/>
        </w:rPr>
        <w:t>The two errors are not equally costly. Calling a High-risk customer Low would price a customer whose expected claim is $45,904 using a model fitted on customers averaging $7,592 — an immediate loss exceeding $35,000 on that policy, and one that is self-selecting, because a high-risk applicant offered a cheap price is unusually likely to accept it. Calling a Low-risk customer High costs only a lost sale: the customer finds the quote uncompetitive and buys elsewhere. Since the downside of underpricing is roughly an order of magnitude larger, the classifier should be tuned toward recall on the High tier even at some cost to overall accuracy.</w:t>
      </w:r>
    </w:p>
    <w:p>
      <w:pPr>
        <w:jc w:val="center"/>
      </w:pPr>
      <w:r>
        <w:drawing>
          <wp:inline xmlns:a="http://schemas.openxmlformats.org/drawingml/2006/main" xmlns:pic="http://schemas.openxmlformats.org/drawingml/2006/picture">
            <wp:extent cx="5852160" cy="1759275"/>
            <wp:docPr id="11" name="Picture 11"/>
            <wp:cNvGraphicFramePr>
              <a:graphicFrameLocks noChangeAspect="1"/>
            </wp:cNvGraphicFramePr>
            <a:graphic>
              <a:graphicData uri="http://schemas.openxmlformats.org/drawingml/2006/picture">
                <pic:pic>
                  <pic:nvPicPr>
                    <pic:cNvPr id="0" name="11_classification.png"/>
                    <pic:cNvPicPr/>
                  </pic:nvPicPr>
                  <pic:blipFill>
                    <a:blip r:embed="rId19"/>
                    <a:stretch>
                      <a:fillRect/>
                    </a:stretch>
                  </pic:blipFill>
                  <pic:spPr>
                    <a:xfrm>
                      <a:off x="0" y="0"/>
                      <a:ext cx="5852160" cy="1759275"/>
                    </a:xfrm>
                    <a:prstGeom prst="rect"/>
                  </pic:spPr>
                </pic:pic>
              </a:graphicData>
            </a:graphic>
          </wp:inline>
        </w:drawing>
      </w:r>
    </w:p>
    <w:p>
      <w:pPr>
        <w:spacing w:after="220"/>
        <w:jc w:val="center"/>
      </w:pPr>
      <w:r>
        <w:rPr>
          <w:i/>
          <w:color w:val="5A6A78"/>
          <w:sz w:val="17"/>
        </w:rPr>
        <w:t>Figure 11 — Stage-1 performance: confusion matrix, model comparison and per-tier precision/recall/F1.</w:t>
      </w:r>
    </w:p>
    <w:p>
      <w:r>
        <w:br w:type="page"/>
      </w:r>
    </w:p>
    <w:p>
      <w:pPr>
        <w:pStyle w:val="Heading1"/>
      </w:pPr>
      <w:r>
        <w:t>12. Regression — Stage 2</w:t>
      </w:r>
    </w:p>
    <w:p>
      <w:pPr>
        <w:pStyle w:val="Heading2"/>
      </w:pPr>
      <w:r>
        <w:t>12.1 The global baseline</w:t>
      </w:r>
    </w:p>
    <w:tbl>
      <w:tblPr>
        <w:tblStyle w:val="TableGrid"/>
        <w:tblW w:type="auto" w:w="0"/>
        <w:jc w:val="center"/>
        <w:tblLook w:firstColumn="1" w:firstRow="1" w:lastColumn="0" w:lastRow="0" w:noHBand="0" w:noVBand="1" w:val="04A0"/>
      </w:tblPr>
      <w:tblGrid>
        <w:gridCol w:w="3216"/>
        <w:gridCol w:w="3216"/>
        <w:gridCol w:w="3216"/>
      </w:tblGrid>
      <w:tr>
        <w:tc>
          <w:tcPr>
            <w:tcW w:type="dxa" w:w="1656"/>
            <w:shd w:fill="1B4965"/>
          </w:tcPr>
          <w:p>
            <w:r/>
            <w:r>
              <w:rPr>
                <w:b/>
                <w:color w:val="FFFFFF"/>
                <w:sz w:val="17"/>
              </w:rPr>
              <w:t>Metric</w:t>
            </w:r>
          </w:p>
        </w:tc>
        <w:tc>
          <w:tcPr>
            <w:tcW w:type="dxa" w:w="1440"/>
            <w:shd w:fill="1B4965"/>
          </w:tcPr>
          <w:p>
            <w:r/>
            <w:r>
              <w:rPr>
                <w:b/>
                <w:color w:val="FFFFFF"/>
                <w:sz w:val="17"/>
              </w:rPr>
              <w:t>Value</w:t>
            </w:r>
          </w:p>
        </w:tc>
        <w:tc>
          <w:tcPr>
            <w:tcW w:type="dxa" w:w="5184"/>
            <w:shd w:fill="1B4965"/>
          </w:tcPr>
          <w:p>
            <w:r/>
            <w:r>
              <w:rPr>
                <w:b/>
                <w:color w:val="FFFFFF"/>
                <w:sz w:val="17"/>
              </w:rPr>
              <w:t>Interpretation</w:t>
            </w:r>
          </w:p>
        </w:tc>
      </w:tr>
      <w:tr>
        <w:tc>
          <w:tcPr>
            <w:tcW w:type="dxa" w:w="1656"/>
          </w:tcPr>
          <w:p>
            <w:r/>
            <w:r>
              <w:rPr>
                <w:sz w:val="17"/>
              </w:rPr>
              <w:t>MAE</w:t>
            </w:r>
          </w:p>
        </w:tc>
        <w:tc>
          <w:tcPr>
            <w:tcW w:type="dxa" w:w="1440"/>
          </w:tcPr>
          <w:p>
            <w:pPr>
              <w:jc w:val="right"/>
            </w:pPr>
            <w:r/>
            <w:r>
              <w:rPr>
                <w:sz w:val="17"/>
              </w:rPr>
              <w:t>$5,698</w:t>
            </w:r>
          </w:p>
        </w:tc>
        <w:tc>
          <w:tcPr>
            <w:tcW w:type="dxa" w:w="5184"/>
          </w:tcPr>
          <w:p>
            <w:r/>
            <w:r>
              <w:rPr>
                <w:sz w:val="17"/>
              </w:rPr>
              <w:t>Average quote is wrong by this much, either direction</w:t>
            </w:r>
          </w:p>
        </w:tc>
      </w:tr>
      <w:tr>
        <w:tc>
          <w:tcPr>
            <w:tcW w:type="dxa" w:w="1656"/>
            <w:shd w:fill="EEF4F8"/>
          </w:tcPr>
          <w:p>
            <w:r/>
            <w:r>
              <w:rPr>
                <w:sz w:val="17"/>
              </w:rPr>
              <w:t>MSE</w:t>
            </w:r>
          </w:p>
        </w:tc>
        <w:tc>
          <w:tcPr>
            <w:tcW w:type="dxa" w:w="1440"/>
            <w:shd w:fill="EEF4F8"/>
          </w:tcPr>
          <w:p>
            <w:pPr>
              <w:jc w:val="right"/>
            </w:pPr>
            <w:r/>
            <w:r>
              <w:rPr>
                <w:sz w:val="17"/>
              </w:rPr>
              <w:t>56,514,872</w:t>
            </w:r>
          </w:p>
        </w:tc>
        <w:tc>
          <w:tcPr>
            <w:tcW w:type="dxa" w:w="5184"/>
            <w:shd w:fill="EEF4F8"/>
          </w:tcPr>
          <w:p>
            <w:r/>
            <w:r>
              <w:rPr>
                <w:sz w:val="17"/>
              </w:rPr>
              <w:t>In squared dollars — not directly interpretable</w:t>
            </w:r>
          </w:p>
        </w:tc>
      </w:tr>
      <w:tr>
        <w:tc>
          <w:tcPr>
            <w:tcW w:type="dxa" w:w="1656"/>
          </w:tcPr>
          <w:p>
            <w:r/>
            <w:r>
              <w:rPr>
                <w:sz w:val="17"/>
              </w:rPr>
              <w:t>RMSE</w:t>
            </w:r>
          </w:p>
        </w:tc>
        <w:tc>
          <w:tcPr>
            <w:tcW w:type="dxa" w:w="1440"/>
          </w:tcPr>
          <w:p>
            <w:pPr>
              <w:jc w:val="right"/>
            </w:pPr>
            <w:r/>
            <w:r>
              <w:rPr>
                <w:sz w:val="17"/>
              </w:rPr>
              <w:t>$7,518</w:t>
            </w:r>
          </w:p>
        </w:tc>
        <w:tc>
          <w:tcPr>
            <w:tcW w:type="dxa" w:w="5184"/>
          </w:tcPr>
          <w:p>
            <w:r/>
            <w:r>
              <w:rPr>
                <w:sz w:val="17"/>
              </w:rPr>
              <w:t>Above MAE, so large errors are present</w:t>
            </w:r>
          </w:p>
        </w:tc>
      </w:tr>
      <w:tr>
        <w:tc>
          <w:tcPr>
            <w:tcW w:type="dxa" w:w="1656"/>
            <w:shd w:fill="EEF4F8"/>
          </w:tcPr>
          <w:p>
            <w:r/>
            <w:r>
              <w:rPr>
                <w:sz w:val="17"/>
              </w:rPr>
              <w:t>R²</w:t>
            </w:r>
          </w:p>
        </w:tc>
        <w:tc>
          <w:tcPr>
            <w:tcW w:type="dxa" w:w="1440"/>
            <w:shd w:fill="EEF4F8"/>
          </w:tcPr>
          <w:p>
            <w:pPr>
              <w:jc w:val="right"/>
            </w:pPr>
            <w:r/>
            <w:r>
              <w:rPr>
                <w:sz w:val="17"/>
              </w:rPr>
              <w:t>0.6913</w:t>
            </w:r>
          </w:p>
        </w:tc>
        <w:tc>
          <w:tcPr>
            <w:tcW w:type="dxa" w:w="5184"/>
            <w:shd w:fill="EEF4F8"/>
          </w:tcPr>
          <w:p>
            <w:r/>
            <w:r>
              <w:rPr>
                <w:sz w:val="17"/>
              </w:rPr>
              <w:t>Explains 69% of the variation in charges</w:t>
            </w:r>
          </w:p>
        </w:tc>
      </w:tr>
      <w:tr>
        <w:tc>
          <w:tcPr>
            <w:tcW w:type="dxa" w:w="1656"/>
          </w:tcPr>
          <w:p>
            <w:r/>
            <w:r>
              <w:rPr>
                <w:sz w:val="17"/>
              </w:rPr>
              <w:t>Adjusted R²</w:t>
            </w:r>
          </w:p>
        </w:tc>
        <w:tc>
          <w:tcPr>
            <w:tcW w:type="dxa" w:w="1440"/>
          </w:tcPr>
          <w:p>
            <w:pPr>
              <w:jc w:val="right"/>
            </w:pPr>
            <w:r/>
            <w:r>
              <w:rPr>
                <w:sz w:val="17"/>
              </w:rPr>
              <w:t>0.6792</w:t>
            </w:r>
          </w:p>
        </w:tc>
        <w:tc>
          <w:tcPr>
            <w:tcW w:type="dxa" w:w="5184"/>
          </w:tcPr>
          <w:p>
            <w:r/>
            <w:r>
              <w:rPr>
                <w:sz w:val="17"/>
              </w:rPr>
              <w:t>Barely below R² — the 9 features earn their place</w:t>
            </w:r>
          </w:p>
        </w:tc>
      </w:tr>
      <w:tr>
        <w:tc>
          <w:tcPr>
            <w:tcW w:type="dxa" w:w="1656"/>
            <w:shd w:fill="EEF4F8"/>
          </w:tcPr>
          <w:p>
            <w:r/>
            <w:r>
              <w:rPr>
                <w:sz w:val="17"/>
              </w:rPr>
              <w:t>Train R²</w:t>
            </w:r>
          </w:p>
        </w:tc>
        <w:tc>
          <w:tcPr>
            <w:tcW w:type="dxa" w:w="1440"/>
            <w:shd w:fill="EEF4F8"/>
          </w:tcPr>
          <w:p>
            <w:pPr>
              <w:jc w:val="right"/>
            </w:pPr>
            <w:r/>
            <w:r>
              <w:rPr>
                <w:sz w:val="17"/>
              </w:rPr>
              <w:t>0.7032</w:t>
            </w:r>
          </w:p>
        </w:tc>
        <w:tc>
          <w:tcPr>
            <w:tcW w:type="dxa" w:w="5184"/>
            <w:shd w:fill="EEF4F8"/>
          </w:tcPr>
          <w:p>
            <w:r/>
            <w:r>
              <w:rPr>
                <w:sz w:val="17"/>
              </w:rPr>
              <w:t>Only 0.012 above test — not overfitting</w:t>
            </w:r>
          </w:p>
        </w:tc>
      </w:tr>
      <w:tr>
        <w:tc>
          <w:tcPr>
            <w:tcW w:type="dxa" w:w="1656"/>
          </w:tcPr>
          <w:p>
            <w:r/>
            <w:r>
              <w:rPr>
                <w:sz w:val="17"/>
              </w:rPr>
              <w:t>CV R² (5-fold)</w:t>
            </w:r>
          </w:p>
        </w:tc>
        <w:tc>
          <w:tcPr>
            <w:tcW w:type="dxa" w:w="1440"/>
          </w:tcPr>
          <w:p>
            <w:pPr>
              <w:jc w:val="right"/>
            </w:pPr>
            <w:r/>
            <w:r>
              <w:rPr>
                <w:sz w:val="17"/>
              </w:rPr>
              <w:t>0.6954</w:t>
            </w:r>
          </w:p>
        </w:tc>
        <w:tc>
          <w:tcPr>
            <w:tcW w:type="dxa" w:w="5184"/>
          </w:tcPr>
          <w:p>
            <w:r/>
            <w:r>
              <w:rPr>
                <w:sz w:val="17"/>
              </w:rPr>
              <w:t>Stable across folds</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FFF4E6"/>
          </w:tcPr>
          <w:p>
            <w:r/>
            <w:r>
              <w:rPr>
                <w:b/>
                <w:color w:val="1B4965"/>
                <w:sz w:val="20"/>
              </w:rPr>
              <w:t xml:space="preserve">Diagnosis — high bias, not high variance:  </w:t>
            </w:r>
            <w:r>
              <w:rPr>
                <w:sz w:val="20"/>
              </w:rPr>
              <w:t>An MAE of $5,698 against a mean charge of $20,590 is a 28% error on every quote. The residual plot shows clear diagonal banding: the model systematically over-predicts cheap customers and under-predicts expensive ones. Shapiro–Wilk rejects residual normality (p &lt; 0.001). Critically, train and test R² agree closely (0.703 vs 0.691), so the model is underfitting rather than overfitting — which means more data or heavier regularisation would not help. The fix had to be structural.</w:t>
            </w:r>
          </w:p>
        </w:tc>
      </w:tr>
    </w:tbl>
    <w:p>
      <w:pPr>
        <w:spacing w:after="80"/>
      </w:pPr>
    </w:p>
    <w:p>
      <w:pPr>
        <w:jc w:val="center"/>
      </w:pPr>
      <w:r>
        <w:drawing>
          <wp:inline xmlns:a="http://schemas.openxmlformats.org/drawingml/2006/main" xmlns:pic="http://schemas.openxmlformats.org/drawingml/2006/picture">
            <wp:extent cx="5852160" cy="3096287"/>
            <wp:docPr id="12" name="Picture 12"/>
            <wp:cNvGraphicFramePr>
              <a:graphicFrameLocks noChangeAspect="1"/>
            </wp:cNvGraphicFramePr>
            <a:graphic>
              <a:graphicData uri="http://schemas.openxmlformats.org/drawingml/2006/picture">
                <pic:pic>
                  <pic:nvPicPr>
                    <pic:cNvPr id="0" name="13_regression_diagnostics.png"/>
                    <pic:cNvPicPr/>
                  </pic:nvPicPr>
                  <pic:blipFill>
                    <a:blip r:embed="rId20"/>
                    <a:stretch>
                      <a:fillRect/>
                    </a:stretch>
                  </pic:blipFill>
                  <pic:spPr>
                    <a:xfrm>
                      <a:off x="0" y="0"/>
                      <a:ext cx="5852160" cy="3096287"/>
                    </a:xfrm>
                    <a:prstGeom prst="rect"/>
                  </pic:spPr>
                </pic:pic>
              </a:graphicData>
            </a:graphic>
          </wp:inline>
        </w:drawing>
      </w:r>
    </w:p>
    <w:p>
      <w:pPr>
        <w:spacing w:after="220"/>
        <w:jc w:val="center"/>
      </w:pPr>
      <w:r>
        <w:rPr>
          <w:i/>
          <w:color w:val="5A6A78"/>
          <w:sz w:val="17"/>
        </w:rPr>
        <w:t>Figure 12 — Regression diagnostics. Top row: the global model's structured residuals and non-normal Q-Q plot. Bottom row: the two-stage engine's residuals, tightly centred except for tier misclassifications.</w:t>
      </w:r>
    </w:p>
    <w:p>
      <w:pPr>
        <w:pStyle w:val="Heading2"/>
      </w:pPr>
      <w:r>
        <w:t>12.2 Simple vs multiple regression within each tier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152"/>
            <w:shd w:fill="1B4965"/>
          </w:tcPr>
          <w:p>
            <w:r/>
            <w:r>
              <w:rPr>
                <w:b/>
                <w:color w:val="FFFFFF"/>
                <w:sz w:val="17"/>
              </w:rPr>
              <w:t>Tier</w:t>
            </w:r>
          </w:p>
        </w:tc>
        <w:tc>
          <w:tcPr>
            <w:tcW w:type="dxa" w:w="864"/>
            <w:shd w:fill="1B4965"/>
          </w:tcPr>
          <w:p>
            <w:r/>
            <w:r>
              <w:rPr>
                <w:b/>
                <w:color w:val="FFFFFF"/>
                <w:sz w:val="17"/>
              </w:rPr>
              <w:t>n</w:t>
            </w:r>
          </w:p>
        </w:tc>
        <w:tc>
          <w:tcPr>
            <w:tcW w:type="dxa" w:w="2664"/>
            <w:shd w:fill="1B4965"/>
          </w:tcPr>
          <w:p>
            <w:r/>
            <w:r>
              <w:rPr>
                <w:b/>
                <w:color w:val="FFFFFF"/>
                <w:sz w:val="17"/>
              </w:rPr>
              <w:t>Strongest single feature</w:t>
            </w:r>
          </w:p>
        </w:tc>
        <w:tc>
          <w:tcPr>
            <w:tcW w:type="dxa" w:w="1440"/>
            <w:shd w:fill="1B4965"/>
          </w:tcPr>
          <w:p>
            <w:r/>
            <w:r>
              <w:rPr>
                <w:b/>
                <w:color w:val="FFFFFF"/>
                <w:sz w:val="17"/>
              </w:rPr>
              <w:t>Simple R²</w:t>
            </w:r>
          </w:p>
        </w:tc>
        <w:tc>
          <w:tcPr>
            <w:tcW w:type="dxa" w:w="1512"/>
            <w:shd w:fill="1B4965"/>
          </w:tcPr>
          <w:p>
            <w:r/>
            <w:r>
              <w:rPr>
                <w:b/>
                <w:color w:val="FFFFFF"/>
                <w:sz w:val="17"/>
              </w:rPr>
              <w:t>Multiple R²</w:t>
            </w:r>
          </w:p>
        </w:tc>
        <w:tc>
          <w:tcPr>
            <w:tcW w:type="dxa" w:w="1224"/>
            <w:shd w:fill="1B4965"/>
          </w:tcPr>
          <w:p>
            <w:r/>
            <w:r>
              <w:rPr>
                <w:b/>
                <w:color w:val="FFFFFF"/>
                <w:sz w:val="17"/>
              </w:rPr>
              <w:t>Gain</w:t>
            </w:r>
          </w:p>
        </w:tc>
      </w:tr>
      <w:tr>
        <w:tc>
          <w:tcPr>
            <w:tcW w:type="dxa" w:w="1152"/>
          </w:tcPr>
          <w:p>
            <w:r/>
            <w:r>
              <w:rPr>
                <w:sz w:val="17"/>
              </w:rPr>
              <w:t>Low</w:t>
            </w:r>
          </w:p>
        </w:tc>
        <w:tc>
          <w:tcPr>
            <w:tcW w:type="dxa" w:w="864"/>
          </w:tcPr>
          <w:p>
            <w:pPr>
              <w:jc w:val="right"/>
            </w:pPr>
            <w:r/>
            <w:r>
              <w:rPr>
                <w:sz w:val="17"/>
              </w:rPr>
              <w:t>307</w:t>
            </w:r>
          </w:p>
        </w:tc>
        <w:tc>
          <w:tcPr>
            <w:tcW w:type="dxa" w:w="2664"/>
          </w:tcPr>
          <w:p>
            <w:r/>
            <w:r>
              <w:rPr>
                <w:sz w:val="17"/>
              </w:rPr>
              <w:t>age</w:t>
            </w:r>
          </w:p>
        </w:tc>
        <w:tc>
          <w:tcPr>
            <w:tcW w:type="dxa" w:w="1440"/>
          </w:tcPr>
          <w:p>
            <w:pPr>
              <w:jc w:val="right"/>
            </w:pPr>
            <w:r/>
            <w:r>
              <w:rPr>
                <w:sz w:val="17"/>
              </w:rPr>
              <w:t>0.4068</w:t>
            </w:r>
          </w:p>
        </w:tc>
        <w:tc>
          <w:tcPr>
            <w:tcW w:type="dxa" w:w="1512"/>
          </w:tcPr>
          <w:p>
            <w:pPr>
              <w:jc w:val="right"/>
            </w:pPr>
            <w:r/>
            <w:r>
              <w:rPr>
                <w:sz w:val="17"/>
              </w:rPr>
              <w:t>0.8007</w:t>
            </w:r>
          </w:p>
        </w:tc>
        <w:tc>
          <w:tcPr>
            <w:tcW w:type="dxa" w:w="1224"/>
          </w:tcPr>
          <w:p>
            <w:pPr>
              <w:jc w:val="right"/>
            </w:pPr>
            <w:r/>
            <w:r>
              <w:rPr>
                <w:sz w:val="17"/>
              </w:rPr>
              <w:t>+0.3938</w:t>
            </w:r>
          </w:p>
        </w:tc>
      </w:tr>
      <w:tr>
        <w:tc>
          <w:tcPr>
            <w:tcW w:type="dxa" w:w="1152"/>
            <w:shd w:fill="EEF4F8"/>
          </w:tcPr>
          <w:p>
            <w:r/>
            <w:r>
              <w:rPr>
                <w:sz w:val="17"/>
              </w:rPr>
              <w:t>Medium</w:t>
            </w:r>
          </w:p>
        </w:tc>
        <w:tc>
          <w:tcPr>
            <w:tcW w:type="dxa" w:w="864"/>
            <w:shd w:fill="EEF4F8"/>
          </w:tcPr>
          <w:p>
            <w:pPr>
              <w:jc w:val="right"/>
            </w:pPr>
            <w:r/>
            <w:r>
              <w:rPr>
                <w:sz w:val="17"/>
              </w:rPr>
              <w:t>625</w:t>
            </w:r>
          </w:p>
        </w:tc>
        <w:tc>
          <w:tcPr>
            <w:tcW w:type="dxa" w:w="2664"/>
            <w:shd w:fill="EEF4F8"/>
          </w:tcPr>
          <w:p>
            <w:r/>
            <w:r>
              <w:rPr>
                <w:sz w:val="17"/>
              </w:rPr>
              <w:t>smoker_yes</w:t>
            </w:r>
          </w:p>
        </w:tc>
        <w:tc>
          <w:tcPr>
            <w:tcW w:type="dxa" w:w="1440"/>
            <w:shd w:fill="EEF4F8"/>
          </w:tcPr>
          <w:p>
            <w:pPr>
              <w:jc w:val="right"/>
            </w:pPr>
            <w:r/>
            <w:r>
              <w:rPr>
                <w:sz w:val="17"/>
              </w:rPr>
              <w:t>0.3571</w:t>
            </w:r>
          </w:p>
        </w:tc>
        <w:tc>
          <w:tcPr>
            <w:tcW w:type="dxa" w:w="1512"/>
            <w:shd w:fill="EEF4F8"/>
          </w:tcPr>
          <w:p>
            <w:pPr>
              <w:jc w:val="right"/>
            </w:pPr>
            <w:r/>
            <w:r>
              <w:rPr>
                <w:sz w:val="17"/>
              </w:rPr>
              <w:t>0.7671</w:t>
            </w:r>
          </w:p>
        </w:tc>
        <w:tc>
          <w:tcPr>
            <w:tcW w:type="dxa" w:w="1224"/>
            <w:shd w:fill="EEF4F8"/>
          </w:tcPr>
          <w:p>
            <w:pPr>
              <w:jc w:val="right"/>
            </w:pPr>
            <w:r/>
            <w:r>
              <w:rPr>
                <w:sz w:val="17"/>
              </w:rPr>
              <w:t>+0.4100</w:t>
            </w:r>
          </w:p>
        </w:tc>
      </w:tr>
      <w:tr>
        <w:tc>
          <w:tcPr>
            <w:tcW w:type="dxa" w:w="1152"/>
          </w:tcPr>
          <w:p>
            <w:r/>
            <w:r>
              <w:rPr>
                <w:sz w:val="17"/>
              </w:rPr>
              <w:t>High</w:t>
            </w:r>
          </w:p>
        </w:tc>
        <w:tc>
          <w:tcPr>
            <w:tcW w:type="dxa" w:w="864"/>
          </w:tcPr>
          <w:p>
            <w:pPr>
              <w:jc w:val="right"/>
            </w:pPr>
            <w:r/>
            <w:r>
              <w:rPr>
                <w:sz w:val="17"/>
              </w:rPr>
              <w:t>268</w:t>
            </w:r>
          </w:p>
        </w:tc>
        <w:tc>
          <w:tcPr>
            <w:tcW w:type="dxa" w:w="2664"/>
          </w:tcPr>
          <w:p>
            <w:r/>
            <w:r>
              <w:rPr>
                <w:sz w:val="17"/>
              </w:rPr>
              <w:t>bmi</w:t>
            </w:r>
          </w:p>
        </w:tc>
        <w:tc>
          <w:tcPr>
            <w:tcW w:type="dxa" w:w="1440"/>
          </w:tcPr>
          <w:p>
            <w:pPr>
              <w:jc w:val="right"/>
            </w:pPr>
            <w:r/>
            <w:r>
              <w:rPr>
                <w:sz w:val="17"/>
              </w:rPr>
              <w:t>0.1288</w:t>
            </w:r>
          </w:p>
        </w:tc>
        <w:tc>
          <w:tcPr>
            <w:tcW w:type="dxa" w:w="1512"/>
          </w:tcPr>
          <w:p>
            <w:pPr>
              <w:jc w:val="right"/>
            </w:pPr>
            <w:r/>
            <w:r>
              <w:rPr>
                <w:sz w:val="17"/>
              </w:rPr>
              <w:t>0.7540</w:t>
            </w:r>
          </w:p>
        </w:tc>
        <w:tc>
          <w:tcPr>
            <w:tcW w:type="dxa" w:w="1224"/>
          </w:tcPr>
          <w:p>
            <w:pPr>
              <w:jc w:val="right"/>
            </w:pPr>
            <w:r/>
            <w:r>
              <w:rPr>
                <w:sz w:val="17"/>
              </w:rPr>
              <w:t>+0.6252</w:t>
            </w:r>
          </w:p>
        </w:tc>
      </w:tr>
    </w:tbl>
    <w:p>
      <w:pPr>
        <w:spacing w:after="80"/>
      </w:pPr>
    </w:p>
    <w:p>
      <w:pPr>
        <w:spacing w:after="120"/>
      </w:pPr>
      <w:r>
        <w:rPr>
          <w:b w:val="0"/>
          <w:i w:val="0"/>
          <w:sz w:val="21"/>
        </w:rPr>
        <w:t>Two things stand out. First, the strongest single driver is different in every tier — age in Low, smoker status in Medium, BMI in High — which alone justifies fitting separate models, because a global model must apply one fixed coefficient per feature to everybody. Second, the gain from adding features is largest in the High tier (+0.63 vs +0.39 for Low): low-risk customers are nearly one-dimensional (302 of 307 are non-smokers, so age is most of what varies), whereas high-risk customers are simultaneously older, heavier, smoking and sedentary in varying combinations, so cost is driven by interactions that no single variable can capture.</w:t>
      </w:r>
    </w:p>
    <w:p>
      <w:pPr>
        <w:pStyle w:val="Heading2"/>
      </w:pPr>
      <w:r>
        <w:t>12.3 Per-tier model performance</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080"/>
            <w:shd w:fill="1B4965"/>
          </w:tcPr>
          <w:p>
            <w:r/>
            <w:r>
              <w:rPr>
                <w:b/>
                <w:color w:val="FFFFFF"/>
                <w:sz w:val="16"/>
              </w:rPr>
              <w:t>Tier</w:t>
            </w:r>
          </w:p>
        </w:tc>
        <w:tc>
          <w:tcPr>
            <w:tcW w:type="dxa" w:w="720"/>
            <w:shd w:fill="1B4965"/>
          </w:tcPr>
          <w:p>
            <w:r/>
            <w:r>
              <w:rPr>
                <w:b/>
                <w:color w:val="FFFFFF"/>
                <w:sz w:val="16"/>
              </w:rPr>
              <w:t>n</w:t>
            </w:r>
          </w:p>
        </w:tc>
        <w:tc>
          <w:tcPr>
            <w:tcW w:type="dxa" w:w="1123"/>
            <w:shd w:fill="1B4965"/>
          </w:tcPr>
          <w:p>
            <w:r/>
            <w:r>
              <w:rPr>
                <w:b/>
                <w:color w:val="FFFFFF"/>
                <w:sz w:val="16"/>
              </w:rPr>
              <w:t>Test R²</w:t>
            </w:r>
          </w:p>
        </w:tc>
        <w:tc>
          <w:tcPr>
            <w:tcW w:type="dxa" w:w="1123"/>
            <w:shd w:fill="1B4965"/>
          </w:tcPr>
          <w:p>
            <w:r/>
            <w:r>
              <w:rPr>
                <w:b/>
                <w:color w:val="FFFFFF"/>
                <w:sz w:val="16"/>
              </w:rPr>
              <w:t>MAE</w:t>
            </w:r>
          </w:p>
        </w:tc>
        <w:tc>
          <w:tcPr>
            <w:tcW w:type="dxa" w:w="1152"/>
            <w:shd w:fill="1B4965"/>
          </w:tcPr>
          <w:p>
            <w:r/>
            <w:r>
              <w:rPr>
                <w:b/>
                <w:color w:val="FFFFFF"/>
                <w:sz w:val="16"/>
              </w:rPr>
              <w:t>RMSE</w:t>
            </w:r>
          </w:p>
        </w:tc>
        <w:tc>
          <w:tcPr>
            <w:tcW w:type="dxa" w:w="1123"/>
            <w:shd w:fill="1B4965"/>
          </w:tcPr>
          <w:p>
            <w:r/>
            <w:r>
              <w:rPr>
                <w:b/>
                <w:color w:val="FFFFFF"/>
                <w:sz w:val="16"/>
              </w:rPr>
              <w:t>Train R²</w:t>
            </w:r>
          </w:p>
        </w:tc>
        <w:tc>
          <w:tcPr>
            <w:tcW w:type="dxa" w:w="1008"/>
            <w:shd w:fill="1B4965"/>
          </w:tcPr>
          <w:p>
            <w:r/>
            <w:r>
              <w:rPr>
                <w:b/>
                <w:color w:val="FFFFFF"/>
                <w:sz w:val="16"/>
              </w:rPr>
              <w:t>CV R²</w:t>
            </w:r>
          </w:p>
        </w:tc>
        <w:tc>
          <w:tcPr>
            <w:tcW w:type="dxa" w:w="1944"/>
            <w:shd w:fill="1B4965"/>
          </w:tcPr>
          <w:p>
            <w:r/>
            <w:r>
              <w:rPr>
                <w:b/>
                <w:color w:val="FFFFFF"/>
                <w:sz w:val="16"/>
              </w:rPr>
              <w:t>MAE as % of tier mean</w:t>
            </w:r>
          </w:p>
        </w:tc>
      </w:tr>
      <w:tr>
        <w:tc>
          <w:tcPr>
            <w:tcW w:type="dxa" w:w="1080"/>
          </w:tcPr>
          <w:p>
            <w:r/>
            <w:r>
              <w:rPr>
                <w:sz w:val="16"/>
              </w:rPr>
              <w:t>Low</w:t>
            </w:r>
          </w:p>
        </w:tc>
        <w:tc>
          <w:tcPr>
            <w:tcW w:type="dxa" w:w="720"/>
          </w:tcPr>
          <w:p>
            <w:pPr>
              <w:jc w:val="right"/>
            </w:pPr>
            <w:r/>
            <w:r>
              <w:rPr>
                <w:sz w:val="16"/>
              </w:rPr>
              <w:t>307</w:t>
            </w:r>
          </w:p>
        </w:tc>
        <w:tc>
          <w:tcPr>
            <w:tcW w:type="dxa" w:w="1123"/>
          </w:tcPr>
          <w:p>
            <w:pPr>
              <w:jc w:val="right"/>
            </w:pPr>
            <w:r/>
            <w:r>
              <w:rPr>
                <w:sz w:val="16"/>
              </w:rPr>
              <w:t>0.8007</w:t>
            </w:r>
          </w:p>
        </w:tc>
        <w:tc>
          <w:tcPr>
            <w:tcW w:type="dxa" w:w="1123"/>
          </w:tcPr>
          <w:p>
            <w:pPr>
              <w:jc w:val="right"/>
            </w:pPr>
            <w:r/>
            <w:r>
              <w:rPr>
                <w:sz w:val="16"/>
              </w:rPr>
              <w:t>$378</w:t>
            </w:r>
          </w:p>
        </w:tc>
        <w:tc>
          <w:tcPr>
            <w:tcW w:type="dxa" w:w="1152"/>
          </w:tcPr>
          <w:p>
            <w:pPr>
              <w:jc w:val="right"/>
            </w:pPr>
            <w:r/>
            <w:r>
              <w:rPr>
                <w:sz w:val="16"/>
              </w:rPr>
              <w:t>$460</w:t>
            </w:r>
          </w:p>
        </w:tc>
        <w:tc>
          <w:tcPr>
            <w:tcW w:type="dxa" w:w="1123"/>
          </w:tcPr>
          <w:p>
            <w:pPr>
              <w:jc w:val="right"/>
            </w:pPr>
            <w:r/>
            <w:r>
              <w:rPr>
                <w:sz w:val="16"/>
              </w:rPr>
              <w:t>0.7890</w:t>
            </w:r>
          </w:p>
        </w:tc>
        <w:tc>
          <w:tcPr>
            <w:tcW w:type="dxa" w:w="1008"/>
          </w:tcPr>
          <w:p>
            <w:pPr>
              <w:jc w:val="right"/>
            </w:pPr>
            <w:r/>
            <w:r>
              <w:rPr>
                <w:sz w:val="16"/>
              </w:rPr>
              <w:t>0.7548</w:t>
            </w:r>
          </w:p>
        </w:tc>
        <w:tc>
          <w:tcPr>
            <w:tcW w:type="dxa" w:w="1944"/>
          </w:tcPr>
          <w:p>
            <w:pPr>
              <w:jc w:val="right"/>
            </w:pPr>
            <w:r/>
            <w:r>
              <w:rPr>
                <w:sz w:val="16"/>
              </w:rPr>
              <w:t>5.0%</w:t>
            </w:r>
          </w:p>
        </w:tc>
      </w:tr>
      <w:tr>
        <w:tc>
          <w:tcPr>
            <w:tcW w:type="dxa" w:w="1080"/>
            <w:shd w:fill="EEF4F8"/>
          </w:tcPr>
          <w:p>
            <w:r/>
            <w:r>
              <w:rPr>
                <w:sz w:val="16"/>
              </w:rPr>
              <w:t>Medium</w:t>
            </w:r>
          </w:p>
        </w:tc>
        <w:tc>
          <w:tcPr>
            <w:tcW w:type="dxa" w:w="720"/>
            <w:shd w:fill="EEF4F8"/>
          </w:tcPr>
          <w:p>
            <w:pPr>
              <w:jc w:val="right"/>
            </w:pPr>
            <w:r/>
            <w:r>
              <w:rPr>
                <w:sz w:val="16"/>
              </w:rPr>
              <w:t>625</w:t>
            </w:r>
          </w:p>
        </w:tc>
        <w:tc>
          <w:tcPr>
            <w:tcW w:type="dxa" w:w="1123"/>
            <w:shd w:fill="EEF4F8"/>
          </w:tcPr>
          <w:p>
            <w:pPr>
              <w:jc w:val="right"/>
            </w:pPr>
            <w:r/>
            <w:r>
              <w:rPr>
                <w:sz w:val="16"/>
              </w:rPr>
              <w:t>0.7671</w:t>
            </w:r>
          </w:p>
        </w:tc>
        <w:tc>
          <w:tcPr>
            <w:tcW w:type="dxa" w:w="1123"/>
            <w:shd w:fill="EEF4F8"/>
          </w:tcPr>
          <w:p>
            <w:pPr>
              <w:jc w:val="right"/>
            </w:pPr>
            <w:r/>
            <w:r>
              <w:rPr>
                <w:sz w:val="16"/>
              </w:rPr>
              <w:t>$734</w:t>
            </w:r>
          </w:p>
        </w:tc>
        <w:tc>
          <w:tcPr>
            <w:tcW w:type="dxa" w:w="1152"/>
            <w:shd w:fill="EEF4F8"/>
          </w:tcPr>
          <w:p>
            <w:pPr>
              <w:jc w:val="right"/>
            </w:pPr>
            <w:r/>
            <w:r>
              <w:rPr>
                <w:sz w:val="16"/>
              </w:rPr>
              <w:t>$934</w:t>
            </w:r>
          </w:p>
        </w:tc>
        <w:tc>
          <w:tcPr>
            <w:tcW w:type="dxa" w:w="1123"/>
            <w:shd w:fill="EEF4F8"/>
          </w:tcPr>
          <w:p>
            <w:pPr>
              <w:jc w:val="right"/>
            </w:pPr>
            <w:r/>
            <w:r>
              <w:rPr>
                <w:sz w:val="16"/>
              </w:rPr>
              <w:t>0.7789</w:t>
            </w:r>
          </w:p>
        </w:tc>
        <w:tc>
          <w:tcPr>
            <w:tcW w:type="dxa" w:w="1008"/>
            <w:shd w:fill="EEF4F8"/>
          </w:tcPr>
          <w:p>
            <w:pPr>
              <w:jc w:val="right"/>
            </w:pPr>
            <w:r/>
            <w:r>
              <w:rPr>
                <w:sz w:val="16"/>
              </w:rPr>
              <w:t>0.7574</w:t>
            </w:r>
          </w:p>
        </w:tc>
        <w:tc>
          <w:tcPr>
            <w:tcW w:type="dxa" w:w="1944"/>
            <w:shd w:fill="EEF4F8"/>
          </w:tcPr>
          <w:p>
            <w:pPr>
              <w:jc w:val="right"/>
            </w:pPr>
            <w:r/>
            <w:r>
              <w:rPr>
                <w:sz w:val="16"/>
              </w:rPr>
              <w:t>4.6%</w:t>
            </w:r>
          </w:p>
        </w:tc>
      </w:tr>
      <w:tr>
        <w:tc>
          <w:tcPr>
            <w:tcW w:type="dxa" w:w="1080"/>
          </w:tcPr>
          <w:p>
            <w:r/>
            <w:r>
              <w:rPr>
                <w:sz w:val="16"/>
              </w:rPr>
              <w:t>High</w:t>
            </w:r>
          </w:p>
        </w:tc>
        <w:tc>
          <w:tcPr>
            <w:tcW w:type="dxa" w:w="720"/>
          </w:tcPr>
          <w:p>
            <w:pPr>
              <w:jc w:val="right"/>
            </w:pPr>
            <w:r/>
            <w:r>
              <w:rPr>
                <w:sz w:val="16"/>
              </w:rPr>
              <w:t>268</w:t>
            </w:r>
          </w:p>
        </w:tc>
        <w:tc>
          <w:tcPr>
            <w:tcW w:type="dxa" w:w="1123"/>
          </w:tcPr>
          <w:p>
            <w:pPr>
              <w:jc w:val="right"/>
            </w:pPr>
            <w:r/>
            <w:r>
              <w:rPr>
                <w:sz w:val="16"/>
              </w:rPr>
              <w:t>0.7540</w:t>
            </w:r>
          </w:p>
        </w:tc>
        <w:tc>
          <w:tcPr>
            <w:tcW w:type="dxa" w:w="1123"/>
          </w:tcPr>
          <w:p>
            <w:pPr>
              <w:jc w:val="right"/>
            </w:pPr>
            <w:r/>
            <w:r>
              <w:rPr>
                <w:sz w:val="16"/>
              </w:rPr>
              <w:t>$1,919</w:t>
            </w:r>
          </w:p>
        </w:tc>
        <w:tc>
          <w:tcPr>
            <w:tcW w:type="dxa" w:w="1152"/>
          </w:tcPr>
          <w:p>
            <w:pPr>
              <w:jc w:val="right"/>
            </w:pPr>
            <w:r/>
            <w:r>
              <w:rPr>
                <w:sz w:val="16"/>
              </w:rPr>
              <w:t>$2,258</w:t>
            </w:r>
          </w:p>
        </w:tc>
        <w:tc>
          <w:tcPr>
            <w:tcW w:type="dxa" w:w="1123"/>
          </w:tcPr>
          <w:p>
            <w:pPr>
              <w:jc w:val="right"/>
            </w:pPr>
            <w:r/>
            <w:r>
              <w:rPr>
                <w:sz w:val="16"/>
              </w:rPr>
              <w:t>0.8250</w:t>
            </w:r>
          </w:p>
        </w:tc>
        <w:tc>
          <w:tcPr>
            <w:tcW w:type="dxa" w:w="1008"/>
          </w:tcPr>
          <w:p>
            <w:pPr>
              <w:jc w:val="right"/>
            </w:pPr>
            <w:r/>
            <w:r>
              <w:rPr>
                <w:sz w:val="16"/>
              </w:rPr>
              <w:t>0.7939</w:t>
            </w:r>
          </w:p>
        </w:tc>
        <w:tc>
          <w:tcPr>
            <w:tcW w:type="dxa" w:w="1944"/>
          </w:tcPr>
          <w:p>
            <w:pPr>
              <w:jc w:val="right"/>
            </w:pPr>
            <w:r/>
            <w:r>
              <w:rPr>
                <w:sz w:val="16"/>
              </w:rPr>
              <w:t>4.2%</w:t>
            </w:r>
          </w:p>
        </w:tc>
      </w:tr>
    </w:tbl>
    <w:p>
      <w:pPr>
        <w:spacing w:after="80"/>
      </w:pPr>
    </w:p>
    <w:p>
      <w:pPr>
        <w:spacing w:after="120"/>
      </w:pPr>
      <w:r>
        <w:rPr>
          <w:b w:val="0"/>
          <w:i w:val="0"/>
          <w:sz w:val="21"/>
        </w:rPr>
        <w:t>The ranking reverses depending on the metric, and both readings are informative. By R², Low fits best and High worst. By absolute error, Low is five times more precise ($378 vs $1,919). But by relative error the order flips: High is actually the most predictable in percentage terms. High-risk customers cost more and carry larger dollar uncertainty, but they are not proportionally more erratic — the $1,919 error is large because the underlying charges are large, not because the model understands those customers poorly.</w:t>
      </w:r>
    </w:p>
    <w:p>
      <w:pPr>
        <w:pStyle w:val="Heading2"/>
      </w:pPr>
      <w:r>
        <w:t>12.4 The two-stage engine versus the flat model</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520"/>
            <w:shd w:fill="1B4965"/>
          </w:tcPr>
          <w:p>
            <w:r/>
            <w:r>
              <w:rPr>
                <w:b/>
                <w:color w:val="FFFFFF"/>
                <w:sz w:val="16"/>
              </w:rPr>
              <w:t>Pricing approach</w:t>
            </w:r>
          </w:p>
        </w:tc>
        <w:tc>
          <w:tcPr>
            <w:tcW w:type="dxa" w:w="1224"/>
            <w:shd w:fill="1B4965"/>
          </w:tcPr>
          <w:p>
            <w:r/>
            <w:r>
              <w:rPr>
                <w:b/>
                <w:color w:val="FFFFFF"/>
                <w:sz w:val="16"/>
              </w:rPr>
              <w:t>MAE</w:t>
            </w:r>
          </w:p>
        </w:tc>
        <w:tc>
          <w:tcPr>
            <w:tcW w:type="dxa" w:w="1224"/>
            <w:shd w:fill="1B4965"/>
          </w:tcPr>
          <w:p>
            <w:r/>
            <w:r>
              <w:rPr>
                <w:b/>
                <w:color w:val="FFFFFF"/>
                <w:sz w:val="16"/>
              </w:rPr>
              <w:t>RMSE</w:t>
            </w:r>
          </w:p>
        </w:tc>
        <w:tc>
          <w:tcPr>
            <w:tcW w:type="dxa" w:w="1008"/>
            <w:shd w:fill="1B4965"/>
          </w:tcPr>
          <w:p>
            <w:r/>
            <w:r>
              <w:rPr>
                <w:b/>
                <w:color w:val="FFFFFF"/>
                <w:sz w:val="16"/>
              </w:rPr>
              <w:t>R²</w:t>
            </w:r>
          </w:p>
        </w:tc>
        <w:tc>
          <w:tcPr>
            <w:tcW w:type="dxa" w:w="2520"/>
            <w:shd w:fill="1B4965"/>
          </w:tcPr>
          <w:p>
            <w:r/>
            <w:r>
              <w:rPr>
                <w:b/>
                <w:color w:val="FFFFFF"/>
                <w:sz w:val="16"/>
              </w:rPr>
              <w:t>Note</w:t>
            </w:r>
          </w:p>
        </w:tc>
      </w:tr>
      <w:tr>
        <w:tc>
          <w:tcPr>
            <w:tcW w:type="dxa" w:w="2520"/>
          </w:tcPr>
          <w:p>
            <w:r/>
            <w:r>
              <w:rPr>
                <w:sz w:val="16"/>
              </w:rPr>
              <w:t>Global flat model (today)</w:t>
            </w:r>
          </w:p>
        </w:tc>
        <w:tc>
          <w:tcPr>
            <w:tcW w:type="dxa" w:w="1224"/>
          </w:tcPr>
          <w:p>
            <w:pPr>
              <w:jc w:val="right"/>
            </w:pPr>
            <w:r/>
            <w:r>
              <w:rPr>
                <w:sz w:val="16"/>
              </w:rPr>
              <w:t>$6,167</w:t>
            </w:r>
          </w:p>
        </w:tc>
        <w:tc>
          <w:tcPr>
            <w:tcW w:type="dxa" w:w="1224"/>
          </w:tcPr>
          <w:p>
            <w:pPr>
              <w:jc w:val="right"/>
            </w:pPr>
            <w:r/>
            <w:r>
              <w:rPr>
                <w:sz w:val="16"/>
              </w:rPr>
              <w:t>$7,571</w:t>
            </w:r>
          </w:p>
        </w:tc>
        <w:tc>
          <w:tcPr>
            <w:tcW w:type="dxa" w:w="1008"/>
          </w:tcPr>
          <w:p>
            <w:pPr>
              <w:jc w:val="right"/>
            </w:pPr>
            <w:r/>
            <w:r>
              <w:rPr>
                <w:sz w:val="16"/>
              </w:rPr>
              <w:t>0.7153</w:t>
            </w:r>
          </w:p>
        </w:tc>
        <w:tc>
          <w:tcPr>
            <w:tcW w:type="dxa" w:w="2520"/>
          </w:tcPr>
          <w:p>
            <w:r/>
            <w:r>
              <w:rPr>
                <w:sz w:val="16"/>
              </w:rPr>
              <w:t>The benchmark</w:t>
            </w:r>
          </w:p>
        </w:tc>
      </w:tr>
      <w:tr>
        <w:tc>
          <w:tcPr>
            <w:tcW w:type="dxa" w:w="2520"/>
            <w:shd w:fill="EEF4F8"/>
          </w:tcPr>
          <w:p>
            <w:r/>
            <w:r>
              <w:rPr>
                <w:sz w:val="16"/>
              </w:rPr>
              <w:t>Two-stage, predicted tier</w:t>
            </w:r>
          </w:p>
        </w:tc>
        <w:tc>
          <w:tcPr>
            <w:tcW w:type="dxa" w:w="1224"/>
            <w:shd w:fill="EEF4F8"/>
          </w:tcPr>
          <w:p>
            <w:pPr>
              <w:jc w:val="right"/>
            </w:pPr>
            <w:r/>
            <w:r>
              <w:rPr>
                <w:sz w:val="16"/>
              </w:rPr>
              <w:t>$1,535</w:t>
            </w:r>
          </w:p>
        </w:tc>
        <w:tc>
          <w:tcPr>
            <w:tcW w:type="dxa" w:w="1224"/>
            <w:shd w:fill="EEF4F8"/>
          </w:tcPr>
          <w:p>
            <w:pPr>
              <w:jc w:val="right"/>
            </w:pPr>
            <w:r/>
            <w:r>
              <w:rPr>
                <w:sz w:val="16"/>
              </w:rPr>
              <w:t>$4,047</w:t>
            </w:r>
          </w:p>
        </w:tc>
        <w:tc>
          <w:tcPr>
            <w:tcW w:type="dxa" w:w="1008"/>
            <w:shd w:fill="EEF4F8"/>
          </w:tcPr>
          <w:p>
            <w:pPr>
              <w:jc w:val="right"/>
            </w:pPr>
            <w:r/>
            <w:r>
              <w:rPr>
                <w:sz w:val="16"/>
              </w:rPr>
              <w:t>0.9187</w:t>
            </w:r>
          </w:p>
        </w:tc>
        <w:tc>
          <w:tcPr>
            <w:tcW w:type="dxa" w:w="2520"/>
            <w:shd w:fill="EEF4F8"/>
          </w:tcPr>
          <w:p>
            <w:r/>
            <w:r>
              <w:rPr>
                <w:sz w:val="16"/>
              </w:rPr>
              <w:t>DEPLOYMENT REALITY — use this figure</w:t>
            </w:r>
          </w:p>
        </w:tc>
      </w:tr>
      <w:tr>
        <w:tc>
          <w:tcPr>
            <w:tcW w:type="dxa" w:w="2520"/>
          </w:tcPr>
          <w:p>
            <w:r/>
            <w:r>
              <w:rPr>
                <w:sz w:val="16"/>
              </w:rPr>
              <w:t>Two-stage, true tier (oracle)</w:t>
            </w:r>
          </w:p>
        </w:tc>
        <w:tc>
          <w:tcPr>
            <w:tcW w:type="dxa" w:w="1224"/>
          </w:tcPr>
          <w:p>
            <w:pPr>
              <w:jc w:val="right"/>
            </w:pPr>
            <w:r/>
            <w:r>
              <w:rPr>
                <w:sz w:val="16"/>
              </w:rPr>
              <w:t>$816</w:t>
            </w:r>
          </w:p>
        </w:tc>
        <w:tc>
          <w:tcPr>
            <w:tcW w:type="dxa" w:w="1224"/>
          </w:tcPr>
          <w:p>
            <w:pPr>
              <w:jc w:val="right"/>
            </w:pPr>
            <w:r/>
            <w:r>
              <w:rPr>
                <w:sz w:val="16"/>
              </w:rPr>
              <w:t>$1,175</w:t>
            </w:r>
          </w:p>
        </w:tc>
        <w:tc>
          <w:tcPr>
            <w:tcW w:type="dxa" w:w="1008"/>
          </w:tcPr>
          <w:p>
            <w:pPr>
              <w:jc w:val="right"/>
            </w:pPr>
            <w:r/>
            <w:r>
              <w:rPr>
                <w:sz w:val="16"/>
              </w:rPr>
              <w:t>0.9931</w:t>
            </w:r>
          </w:p>
        </w:tc>
        <w:tc>
          <w:tcPr>
            <w:tcW w:type="dxa" w:w="2520"/>
          </w:tcPr>
          <w:p>
            <w:r/>
            <w:r>
              <w:rPr>
                <w:sz w:val="16"/>
              </w:rPr>
              <w:t>Optimistic — assumes perfect tier assignment</w:t>
            </w:r>
          </w:p>
        </w:tc>
      </w:tr>
    </w:tbl>
    <w:p>
      <w:pPr>
        <w:spacing w:after="80"/>
      </w:pPr>
    </w:p>
    <w:p>
      <w:pPr>
        <w:spacing w:after="120"/>
      </w:pPr>
      <w:r>
        <w:rPr>
          <w:b/>
          <w:color w:val="1B4965"/>
          <w:sz w:val="21"/>
        </w:rPr>
        <w:t xml:space="preserve">Board question 1 answered: </w:t>
      </w:r>
      <w:r>
        <w:rPr>
          <w:b w:val="0"/>
          <w:sz w:val="21"/>
        </w:rPr>
        <w:t>the two-stage engine reduces mean absolute pricing error from $6,167 to $1,535 — a 75.1% reduction — and lifts R² from 0.715 to 0.919, measured end-to-end on held-out customers.</w:t>
      </w:r>
    </w:p>
    <w:p>
      <w:pPr>
        <w:jc w:val="center"/>
      </w:pPr>
      <w:r>
        <w:drawing>
          <wp:inline xmlns:a="http://schemas.openxmlformats.org/drawingml/2006/main" xmlns:pic="http://schemas.openxmlformats.org/drawingml/2006/picture">
            <wp:extent cx="5852160" cy="1797643"/>
            <wp:docPr id="13" name="Picture 13"/>
            <wp:cNvGraphicFramePr>
              <a:graphicFrameLocks noChangeAspect="1"/>
            </wp:cNvGraphicFramePr>
            <a:graphic>
              <a:graphicData uri="http://schemas.openxmlformats.org/drawingml/2006/picture">
                <pic:pic>
                  <pic:nvPicPr>
                    <pic:cNvPr id="0" name="12_two_stage_vs_global.png"/>
                    <pic:cNvPicPr/>
                  </pic:nvPicPr>
                  <pic:blipFill>
                    <a:blip r:embed="rId21"/>
                    <a:stretch>
                      <a:fillRect/>
                    </a:stretch>
                  </pic:blipFill>
                  <pic:spPr>
                    <a:xfrm>
                      <a:off x="0" y="0"/>
                      <a:ext cx="5852160" cy="1797643"/>
                    </a:xfrm>
                    <a:prstGeom prst="rect"/>
                  </pic:spPr>
                </pic:pic>
              </a:graphicData>
            </a:graphic>
          </wp:inline>
        </w:drawing>
      </w:r>
    </w:p>
    <w:p>
      <w:pPr>
        <w:spacing w:after="220"/>
        <w:jc w:val="center"/>
      </w:pPr>
      <w:r>
        <w:rPr>
          <w:i/>
          <w:color w:val="5A6A78"/>
          <w:sz w:val="17"/>
        </w:rPr>
        <w:t>Figure 13 — MAE, R² and the simple-vs-multiple comparison per tier.</w:t>
      </w:r>
    </w:p>
    <w:p>
      <w:pPr>
        <w:pStyle w:val="Heading2"/>
      </w:pPr>
      <w:r>
        <w:t>12.5 Regularisation and fine-tuning</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152"/>
            <w:shd w:fill="1B4965"/>
          </w:tcPr>
          <w:p>
            <w:r/>
            <w:r>
              <w:rPr>
                <w:b/>
                <w:color w:val="FFFFFF"/>
                <w:sz w:val="17"/>
              </w:rPr>
              <w:t>Tier</w:t>
            </w:r>
          </w:p>
        </w:tc>
        <w:tc>
          <w:tcPr>
            <w:tcW w:type="dxa" w:w="1512"/>
            <w:shd w:fill="1B4965"/>
          </w:tcPr>
          <w:p>
            <w:r/>
            <w:r>
              <w:rPr>
                <w:b/>
                <w:color w:val="FFFFFF"/>
                <w:sz w:val="17"/>
              </w:rPr>
              <w:t>Best Ridge α</w:t>
            </w:r>
          </w:p>
        </w:tc>
        <w:tc>
          <w:tcPr>
            <w:tcW w:type="dxa" w:w="1368"/>
            <w:shd w:fill="1B4965"/>
          </w:tcPr>
          <w:p>
            <w:r/>
            <w:r>
              <w:rPr>
                <w:b/>
                <w:color w:val="FFFFFF"/>
                <w:sz w:val="17"/>
              </w:rPr>
              <w:t>Ridge R²</w:t>
            </w:r>
          </w:p>
        </w:tc>
        <w:tc>
          <w:tcPr>
            <w:tcW w:type="dxa" w:w="1512"/>
            <w:shd w:fill="1B4965"/>
          </w:tcPr>
          <w:p>
            <w:r/>
            <w:r>
              <w:rPr>
                <w:b/>
                <w:color w:val="FFFFFF"/>
                <w:sz w:val="17"/>
              </w:rPr>
              <w:t>Best Lasso α</w:t>
            </w:r>
          </w:p>
        </w:tc>
        <w:tc>
          <w:tcPr>
            <w:tcW w:type="dxa" w:w="1368"/>
            <w:shd w:fill="1B4965"/>
          </w:tcPr>
          <w:p>
            <w:r/>
            <w:r>
              <w:rPr>
                <w:b/>
                <w:color w:val="FFFFFF"/>
                <w:sz w:val="17"/>
              </w:rPr>
              <w:t>Lasso R²</w:t>
            </w:r>
          </w:p>
        </w:tc>
        <w:tc>
          <w:tcPr>
            <w:tcW w:type="dxa" w:w="1584"/>
            <w:shd w:fill="1B4965"/>
          </w:tcPr>
          <w:p>
            <w:r/>
            <w:r>
              <w:rPr>
                <w:b/>
                <w:color w:val="FFFFFF"/>
                <w:sz w:val="17"/>
              </w:rPr>
              <w:t>Gain over OLS</w:t>
            </w:r>
          </w:p>
        </w:tc>
      </w:tr>
      <w:tr>
        <w:tc>
          <w:tcPr>
            <w:tcW w:type="dxa" w:w="1152"/>
          </w:tcPr>
          <w:p>
            <w:r/>
            <w:r>
              <w:rPr>
                <w:sz w:val="17"/>
              </w:rPr>
              <w:t>Low</w:t>
            </w:r>
          </w:p>
        </w:tc>
        <w:tc>
          <w:tcPr>
            <w:tcW w:type="dxa" w:w="1512"/>
          </w:tcPr>
          <w:p>
            <w:pPr>
              <w:jc w:val="right"/>
            </w:pPr>
            <w:r/>
            <w:r>
              <w:rPr>
                <w:sz w:val="17"/>
              </w:rPr>
              <w:t>0.01</w:t>
            </w:r>
          </w:p>
        </w:tc>
        <w:tc>
          <w:tcPr>
            <w:tcW w:type="dxa" w:w="1368"/>
          </w:tcPr>
          <w:p>
            <w:pPr>
              <w:jc w:val="right"/>
            </w:pPr>
            <w:r/>
            <w:r>
              <w:rPr>
                <w:sz w:val="17"/>
              </w:rPr>
              <w:t>0.8007</w:t>
            </w:r>
          </w:p>
        </w:tc>
        <w:tc>
          <w:tcPr>
            <w:tcW w:type="dxa" w:w="1512"/>
          </w:tcPr>
          <w:p>
            <w:pPr>
              <w:jc w:val="right"/>
            </w:pPr>
            <w:r/>
            <w:r>
              <w:rPr>
                <w:sz w:val="17"/>
              </w:rPr>
              <w:t>10</w:t>
            </w:r>
          </w:p>
        </w:tc>
        <w:tc>
          <w:tcPr>
            <w:tcW w:type="dxa" w:w="1368"/>
          </w:tcPr>
          <w:p>
            <w:pPr>
              <w:jc w:val="right"/>
            </w:pPr>
            <w:r/>
            <w:r>
              <w:rPr>
                <w:sz w:val="17"/>
              </w:rPr>
              <w:t>0.8013</w:t>
            </w:r>
          </w:p>
        </w:tc>
        <w:tc>
          <w:tcPr>
            <w:tcW w:type="dxa" w:w="1584"/>
          </w:tcPr>
          <w:p>
            <w:pPr>
              <w:jc w:val="right"/>
            </w:pPr>
            <w:r/>
            <w:r>
              <w:rPr>
                <w:sz w:val="17"/>
              </w:rPr>
              <w:t>+0.0007</w:t>
            </w:r>
          </w:p>
        </w:tc>
      </w:tr>
      <w:tr>
        <w:tc>
          <w:tcPr>
            <w:tcW w:type="dxa" w:w="1152"/>
            <w:shd w:fill="EEF4F8"/>
          </w:tcPr>
          <w:p>
            <w:r/>
            <w:r>
              <w:rPr>
                <w:sz w:val="17"/>
              </w:rPr>
              <w:t>Medium</w:t>
            </w:r>
          </w:p>
        </w:tc>
        <w:tc>
          <w:tcPr>
            <w:tcW w:type="dxa" w:w="1512"/>
            <w:shd w:fill="EEF4F8"/>
          </w:tcPr>
          <w:p>
            <w:pPr>
              <w:jc w:val="right"/>
            </w:pPr>
            <w:r/>
            <w:r>
              <w:rPr>
                <w:sz w:val="17"/>
              </w:rPr>
              <w:t>0.01</w:t>
            </w:r>
          </w:p>
        </w:tc>
        <w:tc>
          <w:tcPr>
            <w:tcW w:type="dxa" w:w="1368"/>
            <w:shd w:fill="EEF4F8"/>
          </w:tcPr>
          <w:p>
            <w:pPr>
              <w:jc w:val="right"/>
            </w:pPr>
            <w:r/>
            <w:r>
              <w:rPr>
                <w:sz w:val="17"/>
              </w:rPr>
              <w:t>0.7671</w:t>
            </w:r>
          </w:p>
        </w:tc>
        <w:tc>
          <w:tcPr>
            <w:tcW w:type="dxa" w:w="1512"/>
            <w:shd w:fill="EEF4F8"/>
          </w:tcPr>
          <w:p>
            <w:pPr>
              <w:jc w:val="right"/>
            </w:pPr>
            <w:r/>
            <w:r>
              <w:rPr>
                <w:sz w:val="17"/>
              </w:rPr>
              <w:t>0.01</w:t>
            </w:r>
          </w:p>
        </w:tc>
        <w:tc>
          <w:tcPr>
            <w:tcW w:type="dxa" w:w="1368"/>
            <w:shd w:fill="EEF4F8"/>
          </w:tcPr>
          <w:p>
            <w:pPr>
              <w:jc w:val="right"/>
            </w:pPr>
            <w:r/>
            <w:r>
              <w:rPr>
                <w:sz w:val="17"/>
              </w:rPr>
              <w:t>0.7671</w:t>
            </w:r>
          </w:p>
        </w:tc>
        <w:tc>
          <w:tcPr>
            <w:tcW w:type="dxa" w:w="1584"/>
            <w:shd w:fill="EEF4F8"/>
          </w:tcPr>
          <w:p>
            <w:pPr>
              <w:jc w:val="right"/>
            </w:pPr>
            <w:r/>
            <w:r>
              <w:rPr>
                <w:sz w:val="17"/>
              </w:rPr>
              <w:t>-0.0000</w:t>
            </w:r>
          </w:p>
        </w:tc>
      </w:tr>
      <w:tr>
        <w:tc>
          <w:tcPr>
            <w:tcW w:type="dxa" w:w="1152"/>
          </w:tcPr>
          <w:p>
            <w:r/>
            <w:r>
              <w:rPr>
                <w:sz w:val="17"/>
              </w:rPr>
              <w:t>High</w:t>
            </w:r>
          </w:p>
        </w:tc>
        <w:tc>
          <w:tcPr>
            <w:tcW w:type="dxa" w:w="1512"/>
          </w:tcPr>
          <w:p>
            <w:pPr>
              <w:jc w:val="right"/>
            </w:pPr>
            <w:r/>
            <w:r>
              <w:rPr>
                <w:sz w:val="17"/>
              </w:rPr>
              <w:t>1</w:t>
            </w:r>
          </w:p>
        </w:tc>
        <w:tc>
          <w:tcPr>
            <w:tcW w:type="dxa" w:w="1368"/>
          </w:tcPr>
          <w:p>
            <w:pPr>
              <w:jc w:val="right"/>
            </w:pPr>
            <w:r/>
            <w:r>
              <w:rPr>
                <w:sz w:val="17"/>
              </w:rPr>
              <w:t>0.7540</w:t>
            </w:r>
          </w:p>
        </w:tc>
        <w:tc>
          <w:tcPr>
            <w:tcW w:type="dxa" w:w="1512"/>
          </w:tcPr>
          <w:p>
            <w:pPr>
              <w:jc w:val="right"/>
            </w:pPr>
            <w:r/>
            <w:r>
              <w:rPr>
                <w:sz w:val="17"/>
              </w:rPr>
              <w:t>10</w:t>
            </w:r>
          </w:p>
        </w:tc>
        <w:tc>
          <w:tcPr>
            <w:tcW w:type="dxa" w:w="1368"/>
          </w:tcPr>
          <w:p>
            <w:pPr>
              <w:jc w:val="right"/>
            </w:pPr>
            <w:r/>
            <w:r>
              <w:rPr>
                <w:sz w:val="17"/>
              </w:rPr>
              <w:t>0.7544</w:t>
            </w:r>
          </w:p>
        </w:tc>
        <w:tc>
          <w:tcPr>
            <w:tcW w:type="dxa" w:w="1584"/>
          </w:tcPr>
          <w:p>
            <w:pPr>
              <w:jc w:val="right"/>
            </w:pPr>
            <w:r/>
            <w:r>
              <w:rPr>
                <w:sz w:val="17"/>
              </w:rPr>
              <w:t>+0.0004</w:t>
            </w:r>
          </w:p>
        </w:tc>
      </w:tr>
    </w:tbl>
    <w:p>
      <w:pPr>
        <w:spacing w:after="80"/>
      </w:pPr>
    </w:p>
    <w:p>
      <w:pPr>
        <w:spacing w:after="120"/>
      </w:pPr>
      <w:r>
        <w:rPr>
          <w:b w:val="0"/>
          <w:i w:val="0"/>
          <w:sz w:val="21"/>
        </w:rPr>
        <w:t>The optimal alpha is essentially zero in every tier and the gains are in the fourth decimal place. That is not a disappointment — it is evidence that the feature selection was done properly upstream. Regularisation combats variance, and after the junk columns and the collinear pair were removed there was very little variance left to combat. Had a large alpha won, it would have warned of residual redundancy. When alpha is pushed too far the model is penalised into uselessness: at α = 500, Low-tier R² collapses from 0.80 to 0.44 (Ridge) and 0.11 (Lasso), because coefficients shrink toward zero and every customer converges on the same quote — deliberately induced high bias.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664"/>
            <w:shd w:fill="1B4965"/>
          </w:tcPr>
          <w:p>
            <w:r/>
            <w:r>
              <w:rPr>
                <w:b/>
                <w:color w:val="FFFFFF"/>
                <w:sz w:val="16"/>
              </w:rPr>
              <w:t>Feature (standardised)</w:t>
            </w:r>
          </w:p>
        </w:tc>
        <w:tc>
          <w:tcPr>
            <w:tcW w:type="dxa" w:w="1800"/>
            <w:shd w:fill="1B4965"/>
          </w:tcPr>
          <w:p>
            <w:r/>
            <w:r>
              <w:rPr>
                <w:b/>
                <w:color w:val="FFFFFF"/>
                <w:sz w:val="16"/>
              </w:rPr>
              <w:t>Low tier</w:t>
            </w:r>
          </w:p>
        </w:tc>
        <w:tc>
          <w:tcPr>
            <w:tcW w:type="dxa" w:w="1944"/>
            <w:shd w:fill="1B4965"/>
          </w:tcPr>
          <w:p>
            <w:r/>
            <w:r>
              <w:rPr>
                <w:b/>
                <w:color w:val="FFFFFF"/>
                <w:sz w:val="16"/>
              </w:rPr>
              <w:t>Medium tier</w:t>
            </w:r>
          </w:p>
        </w:tc>
        <w:tc>
          <w:tcPr>
            <w:tcW w:type="dxa" w:w="1800"/>
            <w:shd w:fill="1B4965"/>
          </w:tcPr>
          <w:p>
            <w:r/>
            <w:r>
              <w:rPr>
                <w:b/>
                <w:color w:val="FFFFFF"/>
                <w:sz w:val="16"/>
              </w:rPr>
              <w:t>High tier</w:t>
            </w:r>
          </w:p>
        </w:tc>
      </w:tr>
      <w:tr>
        <w:tc>
          <w:tcPr>
            <w:tcW w:type="dxa" w:w="2664"/>
          </w:tcPr>
          <w:p>
            <w:r/>
            <w:r>
              <w:rPr>
                <w:sz w:val="16"/>
              </w:rPr>
              <w:t>bmi</w:t>
            </w:r>
          </w:p>
        </w:tc>
        <w:tc>
          <w:tcPr>
            <w:tcW w:type="dxa" w:w="1800"/>
          </w:tcPr>
          <w:p>
            <w:pPr>
              <w:jc w:val="right"/>
            </w:pPr>
            <w:r/>
            <w:r>
              <w:rPr>
                <w:sz w:val="16"/>
              </w:rPr>
              <w:t>284.9</w:t>
            </w:r>
          </w:p>
        </w:tc>
        <w:tc>
          <w:tcPr>
            <w:tcW w:type="dxa" w:w="1944"/>
          </w:tcPr>
          <w:p>
            <w:pPr>
              <w:jc w:val="right"/>
            </w:pPr>
            <w:r/>
            <w:r>
              <w:rPr>
                <w:sz w:val="16"/>
              </w:rPr>
              <w:t>961.3</w:t>
            </w:r>
          </w:p>
        </w:tc>
        <w:tc>
          <w:tcPr>
            <w:tcW w:type="dxa" w:w="1800"/>
          </w:tcPr>
          <w:p>
            <w:pPr>
              <w:jc w:val="right"/>
            </w:pPr>
            <w:r/>
            <w:r>
              <w:rPr>
                <w:sz w:val="16"/>
              </w:rPr>
              <w:t>3,777.9</w:t>
            </w:r>
          </w:p>
        </w:tc>
      </w:tr>
      <w:tr>
        <w:tc>
          <w:tcPr>
            <w:tcW w:type="dxa" w:w="2664"/>
            <w:shd w:fill="EEF4F8"/>
          </w:tcPr>
          <w:p>
            <w:r/>
            <w:r>
              <w:rPr>
                <w:sz w:val="16"/>
              </w:rPr>
              <w:t>smoker_yes</w:t>
            </w:r>
          </w:p>
        </w:tc>
        <w:tc>
          <w:tcPr>
            <w:tcW w:type="dxa" w:w="1800"/>
            <w:shd w:fill="EEF4F8"/>
          </w:tcPr>
          <w:p>
            <w:pPr>
              <w:jc w:val="right"/>
            </w:pPr>
            <w:r/>
            <w:r>
              <w:rPr>
                <w:sz w:val="16"/>
              </w:rPr>
              <w:t>350.8</w:t>
            </w:r>
          </w:p>
        </w:tc>
        <w:tc>
          <w:tcPr>
            <w:tcW w:type="dxa" w:w="1944"/>
            <w:shd w:fill="EEF4F8"/>
          </w:tcPr>
          <w:p>
            <w:pPr>
              <w:jc w:val="right"/>
            </w:pPr>
            <w:r/>
            <w:r>
              <w:rPr>
                <w:sz w:val="16"/>
              </w:rPr>
              <w:t>1,782.3</w:t>
            </w:r>
          </w:p>
        </w:tc>
        <w:tc>
          <w:tcPr>
            <w:tcW w:type="dxa" w:w="1800"/>
            <w:shd w:fill="EEF4F8"/>
          </w:tcPr>
          <w:p>
            <w:pPr>
              <w:jc w:val="right"/>
            </w:pPr>
            <w:r/>
            <w:r>
              <w:rPr>
                <w:sz w:val="16"/>
              </w:rPr>
              <w:t>3,206.3</w:t>
            </w:r>
          </w:p>
        </w:tc>
      </w:tr>
      <w:tr>
        <w:tc>
          <w:tcPr>
            <w:tcW w:type="dxa" w:w="2664"/>
          </w:tcPr>
          <w:p>
            <w:r/>
            <w:r>
              <w:rPr>
                <w:sz w:val="16"/>
              </w:rPr>
              <w:t>age</w:t>
            </w:r>
          </w:p>
        </w:tc>
        <w:tc>
          <w:tcPr>
            <w:tcW w:type="dxa" w:w="1800"/>
          </w:tcPr>
          <w:p>
            <w:pPr>
              <w:jc w:val="right"/>
            </w:pPr>
            <w:r/>
            <w:r>
              <w:rPr>
                <w:sz w:val="16"/>
              </w:rPr>
              <w:t>537.5</w:t>
            </w:r>
          </w:p>
        </w:tc>
        <w:tc>
          <w:tcPr>
            <w:tcW w:type="dxa" w:w="1944"/>
          </w:tcPr>
          <w:p>
            <w:pPr>
              <w:jc w:val="right"/>
            </w:pPr>
            <w:r/>
            <w:r>
              <w:rPr>
                <w:sz w:val="16"/>
              </w:rPr>
              <w:t>1,162.4</w:t>
            </w:r>
          </w:p>
        </w:tc>
        <w:tc>
          <w:tcPr>
            <w:tcW w:type="dxa" w:w="1800"/>
          </w:tcPr>
          <w:p>
            <w:pPr>
              <w:jc w:val="right"/>
            </w:pPr>
            <w:r/>
            <w:r>
              <w:rPr>
                <w:sz w:val="16"/>
              </w:rPr>
              <w:t>2,211.3</w:t>
            </w:r>
          </w:p>
        </w:tc>
      </w:tr>
      <w:tr>
        <w:tc>
          <w:tcPr>
            <w:tcW w:type="dxa" w:w="2664"/>
            <w:shd w:fill="EEF4F8"/>
          </w:tcPr>
          <w:p>
            <w:r/>
            <w:r>
              <w:rPr>
                <w:sz w:val="16"/>
              </w:rPr>
              <w:t>children</w:t>
            </w:r>
          </w:p>
        </w:tc>
        <w:tc>
          <w:tcPr>
            <w:tcW w:type="dxa" w:w="1800"/>
            <w:shd w:fill="EEF4F8"/>
          </w:tcPr>
          <w:p>
            <w:pPr>
              <w:jc w:val="right"/>
            </w:pPr>
            <w:r/>
            <w:r>
              <w:rPr>
                <w:sz w:val="16"/>
              </w:rPr>
              <w:t>353.9</w:t>
            </w:r>
          </w:p>
        </w:tc>
        <w:tc>
          <w:tcPr>
            <w:tcW w:type="dxa" w:w="1944"/>
            <w:shd w:fill="EEF4F8"/>
          </w:tcPr>
          <w:p>
            <w:pPr>
              <w:jc w:val="right"/>
            </w:pPr>
            <w:r/>
            <w:r>
              <w:rPr>
                <w:sz w:val="16"/>
              </w:rPr>
              <w:t>437.8</w:t>
            </w:r>
          </w:p>
        </w:tc>
        <w:tc>
          <w:tcPr>
            <w:tcW w:type="dxa" w:w="1800"/>
            <w:shd w:fill="EEF4F8"/>
          </w:tcPr>
          <w:p>
            <w:pPr>
              <w:jc w:val="right"/>
            </w:pPr>
            <w:r/>
            <w:r>
              <w:rPr>
                <w:sz w:val="16"/>
              </w:rPr>
              <w:t>722.4</w:t>
            </w:r>
          </w:p>
        </w:tc>
      </w:tr>
      <w:tr>
        <w:tc>
          <w:tcPr>
            <w:tcW w:type="dxa" w:w="2664"/>
          </w:tcPr>
          <w:p>
            <w:r/>
            <w:r>
              <w:rPr>
                <w:sz w:val="16"/>
              </w:rPr>
              <w:t>sex_male</w:t>
            </w:r>
          </w:p>
        </w:tc>
        <w:tc>
          <w:tcPr>
            <w:tcW w:type="dxa" w:w="1800"/>
          </w:tcPr>
          <w:p>
            <w:pPr>
              <w:jc w:val="right"/>
            </w:pPr>
            <w:r/>
            <w:r>
              <w:rPr>
                <w:sz w:val="16"/>
              </w:rPr>
              <w:t>172.8</w:t>
            </w:r>
          </w:p>
        </w:tc>
        <w:tc>
          <w:tcPr>
            <w:tcW w:type="dxa" w:w="1944"/>
          </w:tcPr>
          <w:p>
            <w:pPr>
              <w:jc w:val="right"/>
            </w:pPr>
            <w:r/>
            <w:r>
              <w:rPr>
                <w:sz w:val="16"/>
              </w:rPr>
              <w:t>169.0</w:t>
            </w:r>
          </w:p>
        </w:tc>
        <w:tc>
          <w:tcPr>
            <w:tcW w:type="dxa" w:w="1800"/>
          </w:tcPr>
          <w:p>
            <w:pPr>
              <w:jc w:val="right"/>
            </w:pPr>
            <w:r/>
            <w:r>
              <w:rPr>
                <w:sz w:val="16"/>
              </w:rPr>
              <w:t>388.7</w:t>
            </w:r>
          </w:p>
        </w:tc>
      </w:tr>
      <w:tr>
        <w:tc>
          <w:tcPr>
            <w:tcW w:type="dxa" w:w="2664"/>
            <w:shd w:fill="EEF4F8"/>
          </w:tcPr>
          <w:p>
            <w:r/>
            <w:r>
              <w:rPr>
                <w:sz w:val="16"/>
              </w:rPr>
              <w:t>region_south</w:t>
            </w:r>
          </w:p>
        </w:tc>
        <w:tc>
          <w:tcPr>
            <w:tcW w:type="dxa" w:w="1800"/>
            <w:shd w:fill="EEF4F8"/>
          </w:tcPr>
          <w:p>
            <w:pPr>
              <w:jc w:val="right"/>
            </w:pPr>
            <w:r/>
            <w:r>
              <w:rPr>
                <w:sz w:val="16"/>
              </w:rPr>
              <w:t>0.0</w:t>
            </w:r>
          </w:p>
        </w:tc>
        <w:tc>
          <w:tcPr>
            <w:tcW w:type="dxa" w:w="1944"/>
            <w:shd w:fill="EEF4F8"/>
          </w:tcPr>
          <w:p>
            <w:pPr>
              <w:jc w:val="right"/>
            </w:pPr>
            <w:r/>
            <w:r>
              <w:rPr>
                <w:sz w:val="16"/>
              </w:rPr>
              <w:t>17.1</w:t>
            </w:r>
          </w:p>
        </w:tc>
        <w:tc>
          <w:tcPr>
            <w:tcW w:type="dxa" w:w="1800"/>
            <w:shd w:fill="EEF4F8"/>
          </w:tcPr>
          <w:p>
            <w:pPr>
              <w:jc w:val="right"/>
            </w:pPr>
            <w:r/>
            <w:r>
              <w:rPr>
                <w:sz w:val="16"/>
              </w:rPr>
              <w:t>-154.1</w:t>
            </w:r>
          </w:p>
        </w:tc>
      </w:tr>
      <w:tr>
        <w:tc>
          <w:tcPr>
            <w:tcW w:type="dxa" w:w="2664"/>
          </w:tcPr>
          <w:p>
            <w:r/>
            <w:r>
              <w:rPr>
                <w:sz w:val="16"/>
              </w:rPr>
              <w:t>region_west</w:t>
            </w:r>
          </w:p>
        </w:tc>
        <w:tc>
          <w:tcPr>
            <w:tcW w:type="dxa" w:w="1800"/>
          </w:tcPr>
          <w:p>
            <w:pPr>
              <w:jc w:val="right"/>
            </w:pPr>
            <w:r/>
            <w:r>
              <w:rPr>
                <w:sz w:val="16"/>
              </w:rPr>
              <w:t>0.0</w:t>
            </w:r>
          </w:p>
        </w:tc>
        <w:tc>
          <w:tcPr>
            <w:tcW w:type="dxa" w:w="1944"/>
          </w:tcPr>
          <w:p>
            <w:pPr>
              <w:jc w:val="right"/>
            </w:pPr>
            <w:r/>
            <w:r>
              <w:rPr>
                <w:sz w:val="16"/>
              </w:rPr>
              <w:t>38.4</w:t>
            </w:r>
          </w:p>
        </w:tc>
        <w:tc>
          <w:tcPr>
            <w:tcW w:type="dxa" w:w="1800"/>
          </w:tcPr>
          <w:p>
            <w:pPr>
              <w:jc w:val="right"/>
            </w:pPr>
            <w:r/>
            <w:r>
              <w:rPr>
                <w:sz w:val="16"/>
              </w:rPr>
              <w:t>-24.5</w:t>
            </w:r>
          </w:p>
        </w:tc>
      </w:tr>
      <w:tr>
        <w:tc>
          <w:tcPr>
            <w:tcW w:type="dxa" w:w="2664"/>
            <w:shd w:fill="EEF4F8"/>
          </w:tcPr>
          <w:p>
            <w:r/>
            <w:r>
              <w:rPr>
                <w:sz w:val="16"/>
              </w:rPr>
              <w:t>region_north</w:t>
            </w:r>
          </w:p>
        </w:tc>
        <w:tc>
          <w:tcPr>
            <w:tcW w:type="dxa" w:w="1800"/>
            <w:shd w:fill="EEF4F8"/>
          </w:tcPr>
          <w:p>
            <w:pPr>
              <w:jc w:val="right"/>
            </w:pPr>
            <w:r/>
            <w:r>
              <w:rPr>
                <w:sz w:val="16"/>
              </w:rPr>
              <w:t>-0.9</w:t>
            </w:r>
          </w:p>
        </w:tc>
        <w:tc>
          <w:tcPr>
            <w:tcW w:type="dxa" w:w="1944"/>
            <w:shd w:fill="EEF4F8"/>
          </w:tcPr>
          <w:p>
            <w:pPr>
              <w:jc w:val="right"/>
            </w:pPr>
            <w:r/>
            <w:r>
              <w:rPr>
                <w:sz w:val="16"/>
              </w:rPr>
              <w:t>8.8</w:t>
            </w:r>
          </w:p>
        </w:tc>
        <w:tc>
          <w:tcPr>
            <w:tcW w:type="dxa" w:w="1800"/>
            <w:shd w:fill="EEF4F8"/>
          </w:tcPr>
          <w:p>
            <w:pPr>
              <w:jc w:val="right"/>
            </w:pPr>
            <w:r/>
            <w:r>
              <w:rPr>
                <w:sz w:val="16"/>
              </w:rPr>
              <w:t>-26.9</w:t>
            </w:r>
          </w:p>
        </w:tc>
      </w:tr>
      <w:tr>
        <w:tc>
          <w:tcPr>
            <w:tcW w:type="dxa" w:w="2664"/>
          </w:tcPr>
          <w:p>
            <w:r/>
            <w:r>
              <w:rPr>
                <w:sz w:val="16"/>
              </w:rPr>
              <w:t>exercise_freq</w:t>
            </w:r>
          </w:p>
        </w:tc>
        <w:tc>
          <w:tcPr>
            <w:tcW w:type="dxa" w:w="1800"/>
          </w:tcPr>
          <w:p>
            <w:pPr>
              <w:jc w:val="right"/>
            </w:pPr>
            <w:r/>
            <w:r>
              <w:rPr>
                <w:sz w:val="16"/>
              </w:rPr>
              <w:t>14.9</w:t>
            </w:r>
          </w:p>
        </w:tc>
        <w:tc>
          <w:tcPr>
            <w:tcW w:type="dxa" w:w="1944"/>
          </w:tcPr>
          <w:p>
            <w:pPr>
              <w:jc w:val="right"/>
            </w:pPr>
            <w:r/>
            <w:r>
              <w:rPr>
                <w:sz w:val="16"/>
              </w:rPr>
              <w:t>-21.1</w:t>
            </w:r>
          </w:p>
        </w:tc>
        <w:tc>
          <w:tcPr>
            <w:tcW w:type="dxa" w:w="1800"/>
          </w:tcPr>
          <w:p>
            <w:pPr>
              <w:jc w:val="right"/>
            </w:pPr>
            <w:r/>
            <w:r>
              <w:rPr>
                <w:sz w:val="16"/>
              </w:rPr>
              <w:t>0.0</w:t>
            </w:r>
          </w:p>
        </w:tc>
      </w:tr>
    </w:tbl>
    <w:p>
      <w:pPr>
        <w:spacing w:after="80"/>
      </w:pPr>
    </w:p>
    <w:p>
      <w:pPr>
        <w:spacing w:after="120"/>
      </w:pPr>
      <w:r>
        <w:rPr>
          <w:b w:val="0"/>
          <w:i w:val="0"/>
          <w:sz w:val="21"/>
        </w:rPr>
        <w:t>Because the features are standardised these are directly comparable: a one-standard-deviation increase in BMI adds $3,778 to a High-tier customer's expected charge, while the entire effect of region is under $155 in any tier. Region was kept in the model deliberately so that this could be demonstrated rather than asserted. Recommendation: HealthWise should not use geography as a rating factor.</w:t>
      </w:r>
    </w:p>
    <w:p>
      <w:pPr>
        <w:jc w:val="center"/>
      </w:pPr>
      <w:r>
        <w:drawing>
          <wp:inline xmlns:a="http://schemas.openxmlformats.org/drawingml/2006/main" xmlns:pic="http://schemas.openxmlformats.org/drawingml/2006/picture">
            <wp:extent cx="5852160" cy="1716956"/>
            <wp:docPr id="14" name="Picture 14"/>
            <wp:cNvGraphicFramePr>
              <a:graphicFrameLocks noChangeAspect="1"/>
            </wp:cNvGraphicFramePr>
            <a:graphic>
              <a:graphicData uri="http://schemas.openxmlformats.org/drawingml/2006/picture">
                <pic:pic>
                  <pic:nvPicPr>
                    <pic:cNvPr id="0" name="16_alpha_sweep.png"/>
                    <pic:cNvPicPr/>
                  </pic:nvPicPr>
                  <pic:blipFill>
                    <a:blip r:embed="rId22"/>
                    <a:stretch>
                      <a:fillRect/>
                    </a:stretch>
                  </pic:blipFill>
                  <pic:spPr>
                    <a:xfrm>
                      <a:off x="0" y="0"/>
                      <a:ext cx="5852160" cy="1716956"/>
                    </a:xfrm>
                    <a:prstGeom prst="rect"/>
                  </pic:spPr>
                </pic:pic>
              </a:graphicData>
            </a:graphic>
          </wp:inline>
        </w:drawing>
      </w:r>
    </w:p>
    <w:p>
      <w:pPr>
        <w:spacing w:after="220"/>
        <w:jc w:val="center"/>
      </w:pPr>
      <w:r>
        <w:rPr>
          <w:i/>
          <w:color w:val="5A6A78"/>
          <w:sz w:val="17"/>
        </w:rPr>
        <w:t>Figure 14 — Regularisation sweeps per tier. Too much alpha destroys the signal.</w:t>
      </w:r>
    </w:p>
    <w:p>
      <w:r>
        <w:br w:type="page"/>
      </w:r>
    </w:p>
    <w:p>
      <w:pPr>
        <w:pStyle w:val="Heading1"/>
      </w:pPr>
      <w:r>
        <w:t>13. Bias–Variance Analysis</w:t>
      </w:r>
    </w:p>
    <w:p>
      <w:pPr>
        <w:spacing w:after="120"/>
      </w:pPr>
      <w:r>
        <w:rPr>
          <w:b w:val="0"/>
          <w:i w:val="0"/>
          <w:sz w:val="21"/>
        </w:rPr>
        <w:t>Bias and variance are diagnosed empirically here, from learning curves, complexity curves, cross-validation variability and train/test gaps — not asserted from theory.</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224"/>
            <w:shd w:fill="1B4965"/>
          </w:tcPr>
          <w:p>
            <w:r/>
            <w:r>
              <w:rPr>
                <w:b/>
                <w:color w:val="FFFFFF"/>
                <w:sz w:val="16"/>
              </w:rPr>
              <w:t>Tree depth</w:t>
            </w:r>
          </w:p>
        </w:tc>
        <w:tc>
          <w:tcPr>
            <w:tcW w:type="dxa" w:w="1512"/>
            <w:shd w:fill="1B4965"/>
          </w:tcPr>
          <w:p>
            <w:r/>
            <w:r>
              <w:rPr>
                <w:b/>
                <w:color w:val="FFFFFF"/>
                <w:sz w:val="16"/>
              </w:rPr>
              <w:t>Train accuracy</w:t>
            </w:r>
          </w:p>
        </w:tc>
        <w:tc>
          <w:tcPr>
            <w:tcW w:type="dxa" w:w="1440"/>
            <w:shd w:fill="1B4965"/>
          </w:tcPr>
          <w:p>
            <w:r/>
            <w:r>
              <w:rPr>
                <w:b/>
                <w:color w:val="FFFFFF"/>
                <w:sz w:val="16"/>
              </w:rPr>
              <w:t>Test accuracy</w:t>
            </w:r>
          </w:p>
        </w:tc>
        <w:tc>
          <w:tcPr>
            <w:tcW w:type="dxa" w:w="1368"/>
            <w:shd w:fill="1B4965"/>
          </w:tcPr>
          <w:p>
            <w:r/>
            <w:r>
              <w:rPr>
                <w:b/>
                <w:color w:val="FFFFFF"/>
                <w:sz w:val="16"/>
              </w:rPr>
              <w:t>CV accuracy</w:t>
            </w:r>
          </w:p>
        </w:tc>
        <w:tc>
          <w:tcPr>
            <w:tcW w:type="dxa" w:w="1080"/>
            <w:shd w:fill="1B4965"/>
          </w:tcPr>
          <w:p>
            <w:r/>
            <w:r>
              <w:rPr>
                <w:b/>
                <w:color w:val="FFFFFF"/>
                <w:sz w:val="16"/>
              </w:rPr>
              <w:t>Gap</w:t>
            </w:r>
          </w:p>
        </w:tc>
        <w:tc>
          <w:tcPr>
            <w:tcW w:type="dxa" w:w="2592"/>
            <w:shd w:fill="1B4965"/>
          </w:tcPr>
          <w:p>
            <w:r/>
            <w:r>
              <w:rPr>
                <w:b/>
                <w:color w:val="FFFFFF"/>
                <w:sz w:val="16"/>
              </w:rPr>
              <w:t>Diagnosis</w:t>
            </w:r>
          </w:p>
        </w:tc>
      </w:tr>
      <w:tr>
        <w:tc>
          <w:tcPr>
            <w:tcW w:type="dxa" w:w="1224"/>
          </w:tcPr>
          <w:p>
            <w:pPr>
              <w:jc w:val="right"/>
            </w:pPr>
            <w:r/>
            <w:r>
              <w:rPr>
                <w:sz w:val="16"/>
              </w:rPr>
              <w:t>1</w:t>
            </w:r>
          </w:p>
        </w:tc>
        <w:tc>
          <w:tcPr>
            <w:tcW w:type="dxa" w:w="1512"/>
          </w:tcPr>
          <w:p>
            <w:pPr>
              <w:jc w:val="right"/>
            </w:pPr>
            <w:r/>
            <w:r>
              <w:rPr>
                <w:sz w:val="16"/>
              </w:rPr>
              <w:t>0.5615</w:t>
            </w:r>
          </w:p>
        </w:tc>
        <w:tc>
          <w:tcPr>
            <w:tcW w:type="dxa" w:w="1440"/>
          </w:tcPr>
          <w:p>
            <w:pPr>
              <w:jc w:val="right"/>
            </w:pPr>
            <w:r/>
            <w:r>
              <w:rPr>
                <w:sz w:val="16"/>
              </w:rPr>
              <w:t>0.6125</w:t>
            </w:r>
          </w:p>
        </w:tc>
        <w:tc>
          <w:tcPr>
            <w:tcW w:type="dxa" w:w="1368"/>
          </w:tcPr>
          <w:p>
            <w:pPr>
              <w:jc w:val="right"/>
            </w:pPr>
            <w:r/>
            <w:r>
              <w:rPr>
                <w:sz w:val="16"/>
              </w:rPr>
              <w:t>0.5717</w:t>
            </w:r>
          </w:p>
        </w:tc>
        <w:tc>
          <w:tcPr>
            <w:tcW w:type="dxa" w:w="1080"/>
          </w:tcPr>
          <w:p>
            <w:pPr>
              <w:jc w:val="right"/>
            </w:pPr>
            <w:r/>
            <w:r>
              <w:rPr>
                <w:sz w:val="16"/>
              </w:rPr>
              <w:t>-0.0510</w:t>
            </w:r>
          </w:p>
        </w:tc>
        <w:tc>
          <w:tcPr>
            <w:tcW w:type="dxa" w:w="2592"/>
          </w:tcPr>
          <w:p>
            <w:r/>
            <w:r>
              <w:rPr>
                <w:sz w:val="16"/>
              </w:rPr>
              <w:t>Underfitting (high bias)</w:t>
            </w:r>
          </w:p>
        </w:tc>
      </w:tr>
      <w:tr>
        <w:tc>
          <w:tcPr>
            <w:tcW w:type="dxa" w:w="1224"/>
            <w:shd w:fill="EEF4F8"/>
          </w:tcPr>
          <w:p>
            <w:pPr>
              <w:jc w:val="right"/>
            </w:pPr>
            <w:r/>
            <w:r>
              <w:rPr>
                <w:sz w:val="16"/>
              </w:rPr>
              <w:t>2</w:t>
            </w:r>
          </w:p>
        </w:tc>
        <w:tc>
          <w:tcPr>
            <w:tcW w:type="dxa" w:w="1512"/>
            <w:shd w:fill="EEF4F8"/>
          </w:tcPr>
          <w:p>
            <w:pPr>
              <w:jc w:val="right"/>
            </w:pPr>
            <w:r/>
            <w:r>
              <w:rPr>
                <w:sz w:val="16"/>
              </w:rPr>
              <w:t>0.7208</w:t>
            </w:r>
          </w:p>
        </w:tc>
        <w:tc>
          <w:tcPr>
            <w:tcW w:type="dxa" w:w="1440"/>
            <w:shd w:fill="EEF4F8"/>
          </w:tcPr>
          <w:p>
            <w:pPr>
              <w:jc w:val="right"/>
            </w:pPr>
            <w:r/>
            <w:r>
              <w:rPr>
                <w:sz w:val="16"/>
              </w:rPr>
              <w:t>0.7417</w:t>
            </w:r>
          </w:p>
        </w:tc>
        <w:tc>
          <w:tcPr>
            <w:tcW w:type="dxa" w:w="1368"/>
            <w:shd w:fill="EEF4F8"/>
          </w:tcPr>
          <w:p>
            <w:pPr>
              <w:jc w:val="right"/>
            </w:pPr>
            <w:r/>
            <w:r>
              <w:rPr>
                <w:sz w:val="16"/>
              </w:rPr>
              <w:t>0.7250</w:t>
            </w:r>
          </w:p>
        </w:tc>
        <w:tc>
          <w:tcPr>
            <w:tcW w:type="dxa" w:w="1080"/>
            <w:shd w:fill="EEF4F8"/>
          </w:tcPr>
          <w:p>
            <w:pPr>
              <w:jc w:val="right"/>
            </w:pPr>
            <w:r/>
            <w:r>
              <w:rPr>
                <w:sz w:val="16"/>
              </w:rPr>
              <w:t>-0.0208</w:t>
            </w:r>
          </w:p>
        </w:tc>
        <w:tc>
          <w:tcPr>
            <w:tcW w:type="dxa" w:w="2592"/>
            <w:shd w:fill="EEF4F8"/>
          </w:tcPr>
          <w:p>
            <w:r/>
            <w:r>
              <w:rPr>
                <w:sz w:val="16"/>
              </w:rPr>
              <w:t>Underfitting (high bias)</w:t>
            </w:r>
          </w:p>
        </w:tc>
      </w:tr>
      <w:tr>
        <w:tc>
          <w:tcPr>
            <w:tcW w:type="dxa" w:w="1224"/>
          </w:tcPr>
          <w:p>
            <w:pPr>
              <w:jc w:val="right"/>
            </w:pPr>
            <w:r/>
            <w:r>
              <w:rPr>
                <w:sz w:val="16"/>
              </w:rPr>
              <w:t>3</w:t>
            </w:r>
          </w:p>
        </w:tc>
        <w:tc>
          <w:tcPr>
            <w:tcW w:type="dxa" w:w="1512"/>
          </w:tcPr>
          <w:p>
            <w:pPr>
              <w:jc w:val="right"/>
            </w:pPr>
            <w:r/>
            <w:r>
              <w:rPr>
                <w:sz w:val="16"/>
              </w:rPr>
              <w:t>0.8948</w:t>
            </w:r>
          </w:p>
        </w:tc>
        <w:tc>
          <w:tcPr>
            <w:tcW w:type="dxa" w:w="1440"/>
          </w:tcPr>
          <w:p>
            <w:pPr>
              <w:jc w:val="right"/>
            </w:pPr>
            <w:r/>
            <w:r>
              <w:rPr>
                <w:sz w:val="16"/>
              </w:rPr>
              <w:t>0.9125</w:t>
            </w:r>
          </w:p>
        </w:tc>
        <w:tc>
          <w:tcPr>
            <w:tcW w:type="dxa" w:w="1368"/>
          </w:tcPr>
          <w:p>
            <w:pPr>
              <w:jc w:val="right"/>
            </w:pPr>
            <w:r/>
            <w:r>
              <w:rPr>
                <w:sz w:val="16"/>
              </w:rPr>
              <w:t>0.8975</w:t>
            </w:r>
          </w:p>
        </w:tc>
        <w:tc>
          <w:tcPr>
            <w:tcW w:type="dxa" w:w="1080"/>
          </w:tcPr>
          <w:p>
            <w:pPr>
              <w:jc w:val="right"/>
            </w:pPr>
            <w:r/>
            <w:r>
              <w:rPr>
                <w:sz w:val="16"/>
              </w:rPr>
              <w:t>-0.0177</w:t>
            </w:r>
          </w:p>
        </w:tc>
        <w:tc>
          <w:tcPr>
            <w:tcW w:type="dxa" w:w="2592"/>
          </w:tcPr>
          <w:p>
            <w:r/>
            <w:r>
              <w:rPr>
                <w:sz w:val="16"/>
              </w:rPr>
              <w:t>Balanced</w:t>
            </w:r>
          </w:p>
        </w:tc>
      </w:tr>
      <w:tr>
        <w:tc>
          <w:tcPr>
            <w:tcW w:type="dxa" w:w="1224"/>
            <w:shd w:fill="EEF4F8"/>
          </w:tcPr>
          <w:p>
            <w:pPr>
              <w:jc w:val="right"/>
            </w:pPr>
            <w:r/>
            <w:r>
              <w:rPr>
                <w:sz w:val="16"/>
              </w:rPr>
              <w:t>4</w:t>
            </w:r>
          </w:p>
        </w:tc>
        <w:tc>
          <w:tcPr>
            <w:tcW w:type="dxa" w:w="1512"/>
            <w:shd w:fill="EEF4F8"/>
          </w:tcPr>
          <w:p>
            <w:pPr>
              <w:jc w:val="right"/>
            </w:pPr>
            <w:r/>
            <w:r>
              <w:rPr>
                <w:sz w:val="16"/>
              </w:rPr>
              <w:t>0.9323</w:t>
            </w:r>
          </w:p>
        </w:tc>
        <w:tc>
          <w:tcPr>
            <w:tcW w:type="dxa" w:w="1440"/>
            <w:shd w:fill="EEF4F8"/>
          </w:tcPr>
          <w:p>
            <w:pPr>
              <w:jc w:val="right"/>
            </w:pPr>
            <w:r/>
            <w:r>
              <w:rPr>
                <w:sz w:val="16"/>
              </w:rPr>
              <w:t>0.9458</w:t>
            </w:r>
          </w:p>
        </w:tc>
        <w:tc>
          <w:tcPr>
            <w:tcW w:type="dxa" w:w="1368"/>
            <w:shd w:fill="EEF4F8"/>
          </w:tcPr>
          <w:p>
            <w:pPr>
              <w:jc w:val="right"/>
            </w:pPr>
            <w:r/>
            <w:r>
              <w:rPr>
                <w:sz w:val="16"/>
              </w:rPr>
              <w:t>0.9242</w:t>
            </w:r>
          </w:p>
        </w:tc>
        <w:tc>
          <w:tcPr>
            <w:tcW w:type="dxa" w:w="1080"/>
            <w:shd w:fill="EEF4F8"/>
          </w:tcPr>
          <w:p>
            <w:pPr>
              <w:jc w:val="right"/>
            </w:pPr>
            <w:r/>
            <w:r>
              <w:rPr>
                <w:sz w:val="16"/>
              </w:rPr>
              <w:t>-0.0135</w:t>
            </w:r>
          </w:p>
        </w:tc>
        <w:tc>
          <w:tcPr>
            <w:tcW w:type="dxa" w:w="2592"/>
            <w:shd w:fill="EEF4F8"/>
          </w:tcPr>
          <w:p>
            <w:r/>
            <w:r>
              <w:rPr>
                <w:sz w:val="16"/>
              </w:rPr>
              <w:t>Balanced — chosen</w:t>
            </w:r>
          </w:p>
        </w:tc>
      </w:tr>
      <w:tr>
        <w:tc>
          <w:tcPr>
            <w:tcW w:type="dxa" w:w="1224"/>
          </w:tcPr>
          <w:p>
            <w:pPr>
              <w:jc w:val="right"/>
            </w:pPr>
            <w:r/>
            <w:r>
              <w:rPr>
                <w:sz w:val="16"/>
              </w:rPr>
              <w:t>5</w:t>
            </w:r>
          </w:p>
        </w:tc>
        <w:tc>
          <w:tcPr>
            <w:tcW w:type="dxa" w:w="1512"/>
          </w:tcPr>
          <w:p>
            <w:pPr>
              <w:jc w:val="right"/>
            </w:pPr>
            <w:r/>
            <w:r>
              <w:rPr>
                <w:sz w:val="16"/>
              </w:rPr>
              <w:t>0.9365</w:t>
            </w:r>
          </w:p>
        </w:tc>
        <w:tc>
          <w:tcPr>
            <w:tcW w:type="dxa" w:w="1440"/>
          </w:tcPr>
          <w:p>
            <w:pPr>
              <w:jc w:val="right"/>
            </w:pPr>
            <w:r/>
            <w:r>
              <w:rPr>
                <w:sz w:val="16"/>
              </w:rPr>
              <w:t>0.9375</w:t>
            </w:r>
          </w:p>
        </w:tc>
        <w:tc>
          <w:tcPr>
            <w:tcW w:type="dxa" w:w="1368"/>
          </w:tcPr>
          <w:p>
            <w:pPr>
              <w:jc w:val="right"/>
            </w:pPr>
            <w:r/>
            <w:r>
              <w:rPr>
                <w:sz w:val="16"/>
              </w:rPr>
              <w:t>0.9150</w:t>
            </w:r>
          </w:p>
        </w:tc>
        <w:tc>
          <w:tcPr>
            <w:tcW w:type="dxa" w:w="1080"/>
          </w:tcPr>
          <w:p>
            <w:pPr>
              <w:jc w:val="right"/>
            </w:pPr>
            <w:r/>
            <w:r>
              <w:rPr>
                <w:sz w:val="16"/>
              </w:rPr>
              <w:t>-0.0010</w:t>
            </w:r>
          </w:p>
        </w:tc>
        <w:tc>
          <w:tcPr>
            <w:tcW w:type="dxa" w:w="2592"/>
          </w:tcPr>
          <w:p>
            <w:r/>
            <w:r>
              <w:rPr>
                <w:sz w:val="16"/>
              </w:rPr>
              <w:t>Balanced</w:t>
            </w:r>
          </w:p>
        </w:tc>
      </w:tr>
      <w:tr>
        <w:tc>
          <w:tcPr>
            <w:tcW w:type="dxa" w:w="1224"/>
            <w:shd w:fill="EEF4F8"/>
          </w:tcPr>
          <w:p>
            <w:pPr>
              <w:jc w:val="right"/>
            </w:pPr>
            <w:r/>
            <w:r>
              <w:rPr>
                <w:sz w:val="16"/>
              </w:rPr>
              <w:t>6</w:t>
            </w:r>
          </w:p>
        </w:tc>
        <w:tc>
          <w:tcPr>
            <w:tcW w:type="dxa" w:w="1512"/>
            <w:shd w:fill="EEF4F8"/>
          </w:tcPr>
          <w:p>
            <w:pPr>
              <w:jc w:val="right"/>
            </w:pPr>
            <w:r/>
            <w:r>
              <w:rPr>
                <w:sz w:val="16"/>
              </w:rPr>
              <w:t>0.9448</w:t>
            </w:r>
          </w:p>
        </w:tc>
        <w:tc>
          <w:tcPr>
            <w:tcW w:type="dxa" w:w="1440"/>
            <w:shd w:fill="EEF4F8"/>
          </w:tcPr>
          <w:p>
            <w:pPr>
              <w:jc w:val="right"/>
            </w:pPr>
            <w:r/>
            <w:r>
              <w:rPr>
                <w:sz w:val="16"/>
              </w:rPr>
              <w:t>0.9125</w:t>
            </w:r>
          </w:p>
        </w:tc>
        <w:tc>
          <w:tcPr>
            <w:tcW w:type="dxa" w:w="1368"/>
            <w:shd w:fill="EEF4F8"/>
          </w:tcPr>
          <w:p>
            <w:pPr>
              <w:jc w:val="right"/>
            </w:pPr>
            <w:r/>
            <w:r>
              <w:rPr>
                <w:sz w:val="16"/>
              </w:rPr>
              <w:t>0.9033</w:t>
            </w:r>
          </w:p>
        </w:tc>
        <w:tc>
          <w:tcPr>
            <w:tcW w:type="dxa" w:w="1080"/>
            <w:shd w:fill="EEF4F8"/>
          </w:tcPr>
          <w:p>
            <w:pPr>
              <w:jc w:val="right"/>
            </w:pPr>
            <w:r/>
            <w:r>
              <w:rPr>
                <w:sz w:val="16"/>
              </w:rPr>
              <w:t>+0.0323</w:t>
            </w:r>
          </w:p>
        </w:tc>
        <w:tc>
          <w:tcPr>
            <w:tcW w:type="dxa" w:w="2592"/>
            <w:shd w:fill="EEF4F8"/>
          </w:tcPr>
          <w:p>
            <w:r/>
            <w:r>
              <w:rPr>
                <w:sz w:val="16"/>
              </w:rPr>
              <w:t>Overfitting (high variance)</w:t>
            </w:r>
          </w:p>
        </w:tc>
      </w:tr>
      <w:tr>
        <w:tc>
          <w:tcPr>
            <w:tcW w:type="dxa" w:w="1224"/>
          </w:tcPr>
          <w:p>
            <w:pPr>
              <w:jc w:val="right"/>
            </w:pPr>
            <w:r/>
            <w:r>
              <w:rPr>
                <w:sz w:val="16"/>
              </w:rPr>
              <w:t>8</w:t>
            </w:r>
          </w:p>
        </w:tc>
        <w:tc>
          <w:tcPr>
            <w:tcW w:type="dxa" w:w="1512"/>
          </w:tcPr>
          <w:p>
            <w:pPr>
              <w:jc w:val="right"/>
            </w:pPr>
            <w:r/>
            <w:r>
              <w:rPr>
                <w:sz w:val="16"/>
              </w:rPr>
              <w:t>0.9646</w:t>
            </w:r>
          </w:p>
        </w:tc>
        <w:tc>
          <w:tcPr>
            <w:tcW w:type="dxa" w:w="1440"/>
          </w:tcPr>
          <w:p>
            <w:pPr>
              <w:jc w:val="right"/>
            </w:pPr>
            <w:r/>
            <w:r>
              <w:rPr>
                <w:sz w:val="16"/>
              </w:rPr>
              <w:t>0.9333</w:t>
            </w:r>
          </w:p>
        </w:tc>
        <w:tc>
          <w:tcPr>
            <w:tcW w:type="dxa" w:w="1368"/>
          </w:tcPr>
          <w:p>
            <w:pPr>
              <w:jc w:val="right"/>
            </w:pPr>
            <w:r/>
            <w:r>
              <w:rPr>
                <w:sz w:val="16"/>
              </w:rPr>
              <w:t>0.8800</w:t>
            </w:r>
          </w:p>
        </w:tc>
        <w:tc>
          <w:tcPr>
            <w:tcW w:type="dxa" w:w="1080"/>
          </w:tcPr>
          <w:p>
            <w:pPr>
              <w:jc w:val="right"/>
            </w:pPr>
            <w:r/>
            <w:r>
              <w:rPr>
                <w:sz w:val="16"/>
              </w:rPr>
              <w:t>+0.0312</w:t>
            </w:r>
          </w:p>
        </w:tc>
        <w:tc>
          <w:tcPr>
            <w:tcW w:type="dxa" w:w="2592"/>
          </w:tcPr>
          <w:p>
            <w:r/>
            <w:r>
              <w:rPr>
                <w:sz w:val="16"/>
              </w:rPr>
              <w:t>Overfitting (high variance)</w:t>
            </w:r>
          </w:p>
        </w:tc>
      </w:tr>
      <w:tr>
        <w:tc>
          <w:tcPr>
            <w:tcW w:type="dxa" w:w="1224"/>
            <w:shd w:fill="EEF4F8"/>
          </w:tcPr>
          <w:p>
            <w:pPr>
              <w:jc w:val="right"/>
            </w:pPr>
            <w:r/>
            <w:r>
              <w:rPr>
                <w:sz w:val="16"/>
              </w:rPr>
              <w:t>10</w:t>
            </w:r>
          </w:p>
        </w:tc>
        <w:tc>
          <w:tcPr>
            <w:tcW w:type="dxa" w:w="1512"/>
            <w:shd w:fill="EEF4F8"/>
          </w:tcPr>
          <w:p>
            <w:pPr>
              <w:jc w:val="right"/>
            </w:pPr>
            <w:r/>
            <w:r>
              <w:rPr>
                <w:sz w:val="16"/>
              </w:rPr>
              <w:t>0.9844</w:t>
            </w:r>
          </w:p>
        </w:tc>
        <w:tc>
          <w:tcPr>
            <w:tcW w:type="dxa" w:w="1440"/>
            <w:shd w:fill="EEF4F8"/>
          </w:tcPr>
          <w:p>
            <w:pPr>
              <w:jc w:val="right"/>
            </w:pPr>
            <w:r/>
            <w:r>
              <w:rPr>
                <w:sz w:val="16"/>
              </w:rPr>
              <w:t>0.9083</w:t>
            </w:r>
          </w:p>
        </w:tc>
        <w:tc>
          <w:tcPr>
            <w:tcW w:type="dxa" w:w="1368"/>
            <w:shd w:fill="EEF4F8"/>
          </w:tcPr>
          <w:p>
            <w:pPr>
              <w:jc w:val="right"/>
            </w:pPr>
            <w:r/>
            <w:r>
              <w:rPr>
                <w:sz w:val="16"/>
              </w:rPr>
              <w:t>0.8592</w:t>
            </w:r>
          </w:p>
        </w:tc>
        <w:tc>
          <w:tcPr>
            <w:tcW w:type="dxa" w:w="1080"/>
            <w:shd w:fill="EEF4F8"/>
          </w:tcPr>
          <w:p>
            <w:pPr>
              <w:jc w:val="right"/>
            </w:pPr>
            <w:r/>
            <w:r>
              <w:rPr>
                <w:sz w:val="16"/>
              </w:rPr>
              <w:t>+0.0760</w:t>
            </w:r>
          </w:p>
        </w:tc>
        <w:tc>
          <w:tcPr>
            <w:tcW w:type="dxa" w:w="2592"/>
            <w:shd w:fill="EEF4F8"/>
          </w:tcPr>
          <w:p>
            <w:r/>
            <w:r>
              <w:rPr>
                <w:sz w:val="16"/>
              </w:rPr>
              <w:t>Overfitting (high variance)</w:t>
            </w:r>
          </w:p>
        </w:tc>
      </w:tr>
      <w:tr>
        <w:tc>
          <w:tcPr>
            <w:tcW w:type="dxa" w:w="1224"/>
          </w:tcPr>
          <w:p>
            <w:pPr>
              <w:jc w:val="right"/>
            </w:pPr>
            <w:r/>
            <w:r>
              <w:rPr>
                <w:sz w:val="16"/>
              </w:rPr>
              <w:t>15</w:t>
            </w:r>
          </w:p>
        </w:tc>
        <w:tc>
          <w:tcPr>
            <w:tcW w:type="dxa" w:w="1512"/>
          </w:tcPr>
          <w:p>
            <w:pPr>
              <w:jc w:val="right"/>
            </w:pPr>
            <w:r/>
            <w:r>
              <w:rPr>
                <w:sz w:val="16"/>
              </w:rPr>
              <w:t>0.9990</w:t>
            </w:r>
          </w:p>
        </w:tc>
        <w:tc>
          <w:tcPr>
            <w:tcW w:type="dxa" w:w="1440"/>
          </w:tcPr>
          <w:p>
            <w:pPr>
              <w:jc w:val="right"/>
            </w:pPr>
            <w:r/>
            <w:r>
              <w:rPr>
                <w:sz w:val="16"/>
              </w:rPr>
              <w:t>0.8875</w:t>
            </w:r>
          </w:p>
        </w:tc>
        <w:tc>
          <w:tcPr>
            <w:tcW w:type="dxa" w:w="1368"/>
          </w:tcPr>
          <w:p>
            <w:pPr>
              <w:jc w:val="right"/>
            </w:pPr>
            <w:r/>
            <w:r>
              <w:rPr>
                <w:sz w:val="16"/>
              </w:rPr>
              <w:t>0.8425</w:t>
            </w:r>
          </w:p>
        </w:tc>
        <w:tc>
          <w:tcPr>
            <w:tcW w:type="dxa" w:w="1080"/>
          </w:tcPr>
          <w:p>
            <w:pPr>
              <w:jc w:val="right"/>
            </w:pPr>
            <w:r/>
            <w:r>
              <w:rPr>
                <w:sz w:val="16"/>
              </w:rPr>
              <w:t>+0.1115</w:t>
            </w:r>
          </w:p>
        </w:tc>
        <w:tc>
          <w:tcPr>
            <w:tcW w:type="dxa" w:w="2592"/>
          </w:tcPr>
          <w:p>
            <w:r/>
            <w:r>
              <w:rPr>
                <w:sz w:val="16"/>
              </w:rPr>
              <w:t>Overfitting (high variance)</w:t>
            </w:r>
          </w:p>
        </w:tc>
      </w:tr>
    </w:tbl>
    <w:p>
      <w:pPr>
        <w:spacing w:after="80"/>
      </w:pPr>
    </w:p>
    <w:p>
      <w:pPr>
        <w:pStyle w:val="Heading2"/>
      </w:pPr>
      <w:r>
        <w:t>Evidence-based conclusions</w:t>
      </w:r>
    </w:p>
    <w:p>
      <w:pPr>
        <w:pStyle w:val="ListBullet"/>
        <w:spacing w:after="60"/>
      </w:pPr>
      <w:r>
        <w:rPr>
          <w:sz w:val="21"/>
        </w:rPr>
        <w:t>Depths 1–2 show HIGH BIAS: training and CV accuracy are both poor together (0.56 and 0.72). Poor performance on both sets simultaneously is the diagnostic signature of underfitting — the model is too simple to represent the tier boundaries at all.</w:t>
      </w:r>
    </w:p>
    <w:p>
      <w:pPr>
        <w:pStyle w:val="ListBullet"/>
        <w:spacing w:after="60"/>
      </w:pPr>
      <w:r>
        <w:rPr>
          <w:sz w:val="21"/>
        </w:rPr>
        <w:t>Depths 6–15 show HIGH VARIANCE: training accuracy climbs to a perfect 1.0000 while CV accuracy falls to 0.8425. The unpruned tree memorises the training set flawlessly and performs worst of all the trees on new data.</w:t>
      </w:r>
    </w:p>
    <w:p>
      <w:pPr>
        <w:pStyle w:val="ListBullet"/>
        <w:spacing w:after="60"/>
      </w:pPr>
      <w:r>
        <w:rPr>
          <w:sz w:val="21"/>
        </w:rPr>
        <w:t>Depth 4 is BALANCED: CV accuracy peaks at 0.9242, the train–test gap is −0.0135, and the CV standard deviation is ±0.0103 across folds — a tight spread indicating the model is not sensitive to which customers it trains on.</w:t>
      </w:r>
    </w:p>
    <w:p>
      <w:pPr>
        <w:pStyle w:val="ListBullet"/>
        <w:spacing w:after="60"/>
      </w:pPr>
      <w:r>
        <w:rPr>
          <w:sz w:val="21"/>
        </w:rPr>
        <w:t>The GLOBAL regression shows HIGH BIAS: train R² 0.7032 vs test R² 0.6913 — a gap of only 0.0119. Its learning curves converge at a low R² and then flatten, which means additional data would not help. Segmenting into tiers lifts the ceiling to 0.992.</w:t>
      </w:r>
    </w:p>
    <w:p>
      <w:pPr>
        <w:spacing w:after="120"/>
      </w:pPr>
      <w:r>
        <w:rPr>
          <w:b w:val="0"/>
          <w:i w:val="0"/>
          <w:sz w:val="21"/>
        </w:rPr>
        <w:t>The underfitting → good generalisation → overfitting progression is visible directly in the complexity curve: as depth rises, the model moves from being unable to represent the pattern, through the optimum at depth 4, to memorising noise. The techniques that shift a model along this axis behave as theory predicts here — tree-depth limitation and feature selection reduced variance; the one that did not help was regularisation, precisely because variance had already been dealt with.</w:t>
      </w:r>
    </w:p>
    <w:p>
      <w:pPr>
        <w:jc w:val="center"/>
      </w:pPr>
      <w:r>
        <w:drawing>
          <wp:inline xmlns:a="http://schemas.openxmlformats.org/drawingml/2006/main" xmlns:pic="http://schemas.openxmlformats.org/drawingml/2006/picture">
            <wp:extent cx="5852160" cy="1798572"/>
            <wp:docPr id="15" name="Picture 15"/>
            <wp:cNvGraphicFramePr>
              <a:graphicFrameLocks noChangeAspect="1"/>
            </wp:cNvGraphicFramePr>
            <a:graphic>
              <a:graphicData uri="http://schemas.openxmlformats.org/drawingml/2006/picture">
                <pic:pic>
                  <pic:nvPicPr>
                    <pic:cNvPr id="0" name="14_bias_variance.png"/>
                    <pic:cNvPicPr/>
                  </pic:nvPicPr>
                  <pic:blipFill>
                    <a:blip r:embed="rId23"/>
                    <a:stretch>
                      <a:fillRect/>
                    </a:stretch>
                  </pic:blipFill>
                  <pic:spPr>
                    <a:xfrm>
                      <a:off x="0" y="0"/>
                      <a:ext cx="5852160" cy="1798572"/>
                    </a:xfrm>
                    <a:prstGeom prst="rect"/>
                  </pic:spPr>
                </pic:pic>
              </a:graphicData>
            </a:graphic>
          </wp:inline>
        </w:drawing>
      </w:r>
    </w:p>
    <w:p>
      <w:pPr>
        <w:spacing w:after="220"/>
        <w:jc w:val="center"/>
      </w:pPr>
      <w:r>
        <w:rPr>
          <w:i/>
          <w:color w:val="5A6A78"/>
          <w:sz w:val="17"/>
        </w:rPr>
        <w:t>Figure 15 — Complexity curve, classifier learning curve, and the global model's converged-low learning curve.</w:t>
      </w:r>
    </w:p>
    <w:p>
      <w:r>
        <w:br w:type="page"/>
      </w:r>
    </w:p>
    <w:p>
      <w:pPr>
        <w:pStyle w:val="Heading1"/>
      </w:pPr>
      <w:r>
        <w:t>14. Model Interpretability</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fill="1B4965"/>
          </w:tcPr>
          <w:p>
            <w:r/>
            <w:r>
              <w:rPr>
                <w:b/>
                <w:color w:val="FFFFFF"/>
                <w:sz w:val="17"/>
              </w:rPr>
              <w:t>Feature</w:t>
            </w:r>
          </w:p>
        </w:tc>
        <w:tc>
          <w:tcPr>
            <w:tcW w:type="dxa" w:w="2736"/>
            <w:shd w:fill="1B4965"/>
          </w:tcPr>
          <w:p>
            <w:r/>
            <w:r>
              <w:rPr>
                <w:b/>
                <w:color w:val="FFFFFF"/>
                <w:sz w:val="17"/>
              </w:rPr>
              <w:t>Stage-1 Gini importance</w:t>
            </w:r>
          </w:p>
        </w:tc>
        <w:tc>
          <w:tcPr>
            <w:tcW w:type="dxa" w:w="3312"/>
            <w:shd w:fill="1B4965"/>
          </w:tcPr>
          <w:p>
            <w:r/>
            <w:r>
              <w:rPr>
                <w:b/>
                <w:color w:val="FFFFFF"/>
                <w:sz w:val="17"/>
              </w:rPr>
              <w:t>Global permutation importance (ΔR²)</w:t>
            </w:r>
          </w:p>
        </w:tc>
      </w:tr>
      <w:tr>
        <w:tc>
          <w:tcPr>
            <w:tcW w:type="dxa" w:w="2304"/>
          </w:tcPr>
          <w:p>
            <w:r/>
            <w:r>
              <w:rPr>
                <w:sz w:val="17"/>
              </w:rPr>
              <w:t>smoker_yes</w:t>
            </w:r>
          </w:p>
        </w:tc>
        <w:tc>
          <w:tcPr>
            <w:tcW w:type="dxa" w:w="2736"/>
          </w:tcPr>
          <w:p>
            <w:pPr>
              <w:jc w:val="right"/>
            </w:pPr>
            <w:r/>
            <w:r>
              <w:rPr>
                <w:sz w:val="17"/>
              </w:rPr>
              <w:t>0.1673</w:t>
            </w:r>
          </w:p>
        </w:tc>
        <w:tc>
          <w:tcPr>
            <w:tcW w:type="dxa" w:w="3312"/>
          </w:tcPr>
          <w:p>
            <w:pPr>
              <w:jc w:val="right"/>
            </w:pPr>
            <w:r/>
            <w:r>
              <w:rPr>
                <w:sz w:val="17"/>
              </w:rPr>
              <w:t>0.7989 ± 0.0622</w:t>
            </w:r>
          </w:p>
        </w:tc>
      </w:tr>
      <w:tr>
        <w:tc>
          <w:tcPr>
            <w:tcW w:type="dxa" w:w="2304"/>
            <w:shd w:fill="EEF4F8"/>
          </w:tcPr>
          <w:p>
            <w:r/>
            <w:r>
              <w:rPr>
                <w:sz w:val="17"/>
              </w:rPr>
              <w:t>age</w:t>
            </w:r>
          </w:p>
        </w:tc>
        <w:tc>
          <w:tcPr>
            <w:tcW w:type="dxa" w:w="2736"/>
            <w:shd w:fill="EEF4F8"/>
          </w:tcPr>
          <w:p>
            <w:pPr>
              <w:jc w:val="right"/>
            </w:pPr>
            <w:r/>
            <w:r>
              <w:rPr>
                <w:sz w:val="17"/>
              </w:rPr>
              <w:t>0.3300</w:t>
            </w:r>
          </w:p>
        </w:tc>
        <w:tc>
          <w:tcPr>
            <w:tcW w:type="dxa" w:w="3312"/>
            <w:shd w:fill="EEF4F8"/>
          </w:tcPr>
          <w:p>
            <w:pPr>
              <w:jc w:val="right"/>
            </w:pPr>
            <w:r/>
            <w:r>
              <w:rPr>
                <w:sz w:val="17"/>
              </w:rPr>
              <w:t>0.3391 ± 0.0372</w:t>
            </w:r>
          </w:p>
        </w:tc>
      </w:tr>
      <w:tr>
        <w:tc>
          <w:tcPr>
            <w:tcW w:type="dxa" w:w="2304"/>
          </w:tcPr>
          <w:p>
            <w:r/>
            <w:r>
              <w:rPr>
                <w:sz w:val="17"/>
              </w:rPr>
              <w:t>bmi</w:t>
            </w:r>
          </w:p>
        </w:tc>
        <w:tc>
          <w:tcPr>
            <w:tcW w:type="dxa" w:w="2736"/>
          </w:tcPr>
          <w:p>
            <w:pPr>
              <w:jc w:val="right"/>
            </w:pPr>
            <w:r/>
            <w:r>
              <w:rPr>
                <w:sz w:val="17"/>
              </w:rPr>
              <w:t>0.5027</w:t>
            </w:r>
          </w:p>
        </w:tc>
        <w:tc>
          <w:tcPr>
            <w:tcW w:type="dxa" w:w="3312"/>
          </w:tcPr>
          <w:p>
            <w:pPr>
              <w:jc w:val="right"/>
            </w:pPr>
            <w:r/>
            <w:r>
              <w:rPr>
                <w:sz w:val="17"/>
              </w:rPr>
              <w:t>0.2484 ± 0.0218</w:t>
            </w:r>
          </w:p>
        </w:tc>
      </w:tr>
      <w:tr>
        <w:tc>
          <w:tcPr>
            <w:tcW w:type="dxa" w:w="2304"/>
            <w:shd w:fill="EEF4F8"/>
          </w:tcPr>
          <w:p>
            <w:r/>
            <w:r>
              <w:rPr>
                <w:sz w:val="17"/>
              </w:rPr>
              <w:t>region_north</w:t>
            </w:r>
          </w:p>
        </w:tc>
        <w:tc>
          <w:tcPr>
            <w:tcW w:type="dxa" w:w="2736"/>
            <w:shd w:fill="EEF4F8"/>
          </w:tcPr>
          <w:p>
            <w:pPr>
              <w:jc w:val="right"/>
            </w:pPr>
            <w:r/>
            <w:r>
              <w:rPr>
                <w:sz w:val="17"/>
              </w:rPr>
              <w:t>0.0000</w:t>
            </w:r>
          </w:p>
        </w:tc>
        <w:tc>
          <w:tcPr>
            <w:tcW w:type="dxa" w:w="3312"/>
            <w:shd w:fill="EEF4F8"/>
          </w:tcPr>
          <w:p>
            <w:pPr>
              <w:jc w:val="right"/>
            </w:pPr>
            <w:r/>
            <w:r>
              <w:rPr>
                <w:sz w:val="17"/>
              </w:rPr>
              <w:t>0.0017 ± 0.0012</w:t>
            </w:r>
          </w:p>
        </w:tc>
      </w:tr>
      <w:tr>
        <w:tc>
          <w:tcPr>
            <w:tcW w:type="dxa" w:w="2304"/>
          </w:tcPr>
          <w:p>
            <w:r/>
            <w:r>
              <w:rPr>
                <w:sz w:val="17"/>
              </w:rPr>
              <w:t>children</w:t>
            </w:r>
          </w:p>
        </w:tc>
        <w:tc>
          <w:tcPr>
            <w:tcW w:type="dxa" w:w="2736"/>
          </w:tcPr>
          <w:p>
            <w:pPr>
              <w:jc w:val="right"/>
            </w:pPr>
            <w:r/>
            <w:r>
              <w:rPr>
                <w:sz w:val="17"/>
              </w:rPr>
              <w:t>0.0000</w:t>
            </w:r>
          </w:p>
        </w:tc>
        <w:tc>
          <w:tcPr>
            <w:tcW w:type="dxa" w:w="3312"/>
          </w:tcPr>
          <w:p>
            <w:pPr>
              <w:jc w:val="right"/>
            </w:pPr>
            <w:r/>
            <w:r>
              <w:rPr>
                <w:sz w:val="17"/>
              </w:rPr>
              <w:t>0.0013 ± 0.0012</w:t>
            </w:r>
          </w:p>
        </w:tc>
      </w:tr>
      <w:tr>
        <w:tc>
          <w:tcPr>
            <w:tcW w:type="dxa" w:w="2304"/>
            <w:shd w:fill="EEF4F8"/>
          </w:tcPr>
          <w:p>
            <w:r/>
            <w:r>
              <w:rPr>
                <w:sz w:val="17"/>
              </w:rPr>
              <w:t>sex_male</w:t>
            </w:r>
          </w:p>
        </w:tc>
        <w:tc>
          <w:tcPr>
            <w:tcW w:type="dxa" w:w="2736"/>
            <w:shd w:fill="EEF4F8"/>
          </w:tcPr>
          <w:p>
            <w:pPr>
              <w:jc w:val="right"/>
            </w:pPr>
            <w:r/>
            <w:r>
              <w:rPr>
                <w:sz w:val="17"/>
              </w:rPr>
              <w:t>0.0000</w:t>
            </w:r>
          </w:p>
        </w:tc>
        <w:tc>
          <w:tcPr>
            <w:tcW w:type="dxa" w:w="3312"/>
            <w:shd w:fill="EEF4F8"/>
          </w:tcPr>
          <w:p>
            <w:pPr>
              <w:jc w:val="right"/>
            </w:pPr>
            <w:r/>
            <w:r>
              <w:rPr>
                <w:sz w:val="17"/>
              </w:rPr>
              <w:t>0.0010 ± 0.0008</w:t>
            </w:r>
          </w:p>
        </w:tc>
      </w:tr>
      <w:tr>
        <w:tc>
          <w:tcPr>
            <w:tcW w:type="dxa" w:w="2304"/>
          </w:tcPr>
          <w:p>
            <w:r/>
            <w:r>
              <w:rPr>
                <w:sz w:val="17"/>
              </w:rPr>
              <w:t>region_west</w:t>
            </w:r>
          </w:p>
        </w:tc>
        <w:tc>
          <w:tcPr>
            <w:tcW w:type="dxa" w:w="2736"/>
          </w:tcPr>
          <w:p>
            <w:pPr>
              <w:jc w:val="right"/>
            </w:pPr>
            <w:r/>
            <w:r>
              <w:rPr>
                <w:sz w:val="17"/>
              </w:rPr>
              <w:t>0.0000</w:t>
            </w:r>
          </w:p>
        </w:tc>
        <w:tc>
          <w:tcPr>
            <w:tcW w:type="dxa" w:w="3312"/>
          </w:tcPr>
          <w:p>
            <w:pPr>
              <w:jc w:val="right"/>
            </w:pPr>
            <w:r/>
            <w:r>
              <w:rPr>
                <w:sz w:val="17"/>
              </w:rPr>
              <w:t>0.0005 ± 0.0005</w:t>
            </w:r>
          </w:p>
        </w:tc>
      </w:tr>
      <w:tr>
        <w:tc>
          <w:tcPr>
            <w:tcW w:type="dxa" w:w="2304"/>
            <w:shd w:fill="EEF4F8"/>
          </w:tcPr>
          <w:p>
            <w:r/>
            <w:r>
              <w:rPr>
                <w:sz w:val="17"/>
              </w:rPr>
              <w:t>exercise_freq</w:t>
            </w:r>
          </w:p>
        </w:tc>
        <w:tc>
          <w:tcPr>
            <w:tcW w:type="dxa" w:w="2736"/>
            <w:shd w:fill="EEF4F8"/>
          </w:tcPr>
          <w:p>
            <w:pPr>
              <w:jc w:val="right"/>
            </w:pPr>
            <w:r/>
            <w:r>
              <w:rPr>
                <w:sz w:val="17"/>
              </w:rPr>
              <w:t>0.0000</w:t>
            </w:r>
          </w:p>
        </w:tc>
        <w:tc>
          <w:tcPr>
            <w:tcW w:type="dxa" w:w="3312"/>
            <w:shd w:fill="EEF4F8"/>
          </w:tcPr>
          <w:p>
            <w:pPr>
              <w:jc w:val="right"/>
            </w:pPr>
            <w:r/>
            <w:r>
              <w:rPr>
                <w:sz w:val="17"/>
              </w:rPr>
              <w:t>0.0002 ± 0.0008</w:t>
            </w:r>
          </w:p>
        </w:tc>
      </w:tr>
      <w:tr>
        <w:tc>
          <w:tcPr>
            <w:tcW w:type="dxa" w:w="2304"/>
          </w:tcPr>
          <w:p>
            <w:r/>
            <w:r>
              <w:rPr>
                <w:sz w:val="17"/>
              </w:rPr>
              <w:t>region_south</w:t>
            </w:r>
          </w:p>
        </w:tc>
        <w:tc>
          <w:tcPr>
            <w:tcW w:type="dxa" w:w="2736"/>
          </w:tcPr>
          <w:p>
            <w:pPr>
              <w:jc w:val="right"/>
            </w:pPr>
            <w:r/>
            <w:r>
              <w:rPr>
                <w:sz w:val="17"/>
              </w:rPr>
              <w:t>0.0000</w:t>
            </w:r>
          </w:p>
        </w:tc>
        <w:tc>
          <w:tcPr>
            <w:tcW w:type="dxa" w:w="3312"/>
          </w:tcPr>
          <w:p>
            <w:pPr>
              <w:jc w:val="right"/>
            </w:pPr>
            <w:r/>
            <w:r>
              <w:rPr>
                <w:sz w:val="17"/>
              </w:rPr>
              <w:t>-0.0002 ± 0.0022</w:t>
            </w:r>
          </w:p>
        </w:tc>
      </w:tr>
    </w:tbl>
    <w:p>
      <w:pPr>
        <w:spacing w:after="80"/>
      </w:pPr>
    </w:p>
    <w:p>
      <w:pPr>
        <w:spacing w:after="120"/>
      </w:pPr>
      <w:r>
        <w:rPr>
          <w:b w:val="0"/>
          <w:i w:val="0"/>
          <w:sz w:val="21"/>
        </w:rPr>
        <w:t>Three techniques — decision-tree Gini importance, permutation importance on the global regressor, and tuned Lasso coefficients per tier — converge on the same ranking: smoking, then age and BMI, with everything else far behind. That convergence across methods is what makes the conclusion robust enough to act on.</w:t>
      </w:r>
    </w:p>
    <w:tbl>
      <w:tblPr>
        <w:tblStyle w:val="TableGrid"/>
        <w:tblW w:type="auto" w:w="0"/>
        <w:tblLook w:firstColumn="1" w:firstRow="1" w:lastColumn="0" w:lastRow="0" w:noHBand="0" w:noVBand="1" w:val="04A0"/>
      </w:tblPr>
      <w:tblGrid>
        <w:gridCol w:w="9648"/>
      </w:tblGrid>
      <w:tr>
        <w:tc>
          <w:tcPr>
            <w:tcW w:type="dxa" w:w="9648"/>
            <w:shd w:fill="FFF4E6"/>
          </w:tcPr>
          <w:p>
            <w:r/>
            <w:r>
              <w:rPr>
                <w:b/>
                <w:color w:val="1B4965"/>
                <w:sz w:val="20"/>
              </w:rPr>
              <w:t xml:space="preserve">Correlation is not causation:  </w:t>
            </w:r>
            <w:r>
              <w:rPr>
                <w:sz w:val="20"/>
              </w:rPr>
              <w:t>These importances describe associations learned from historical data. They show that smoking, age and BMI predict cost in this portfolio; they do not by themselves establish a causal mechanism, and they should not be presented to customers or regulators as if they did.</w:t>
            </w:r>
          </w:p>
        </w:tc>
      </w:tr>
    </w:tbl>
    <w:p>
      <w:pPr>
        <w:spacing w:after="80"/>
      </w:pPr>
    </w:p>
    <w:p>
      <w:pPr>
        <w:jc w:val="center"/>
      </w:pPr>
      <w:r>
        <w:drawing>
          <wp:inline xmlns:a="http://schemas.openxmlformats.org/drawingml/2006/main" xmlns:pic="http://schemas.openxmlformats.org/drawingml/2006/picture">
            <wp:extent cx="5852160" cy="1689488"/>
            <wp:docPr id="16" name="Picture 16"/>
            <wp:cNvGraphicFramePr>
              <a:graphicFrameLocks noChangeAspect="1"/>
            </wp:cNvGraphicFramePr>
            <a:graphic>
              <a:graphicData uri="http://schemas.openxmlformats.org/drawingml/2006/picture">
                <pic:pic>
                  <pic:nvPicPr>
                    <pic:cNvPr id="0" name="15_feature_importance.png"/>
                    <pic:cNvPicPr/>
                  </pic:nvPicPr>
                  <pic:blipFill>
                    <a:blip r:embed="rId24"/>
                    <a:stretch>
                      <a:fillRect/>
                    </a:stretch>
                  </pic:blipFill>
                  <pic:spPr>
                    <a:xfrm>
                      <a:off x="0" y="0"/>
                      <a:ext cx="5852160" cy="1689488"/>
                    </a:xfrm>
                    <a:prstGeom prst="rect"/>
                  </pic:spPr>
                </pic:pic>
              </a:graphicData>
            </a:graphic>
          </wp:inline>
        </w:drawing>
      </w:r>
    </w:p>
    <w:p>
      <w:pPr>
        <w:spacing w:after="220"/>
        <w:jc w:val="center"/>
      </w:pPr>
      <w:r>
        <w:rPr>
          <w:i/>
          <w:color w:val="5A6A78"/>
          <w:sz w:val="17"/>
        </w:rPr>
        <w:t>Figure 16 — Feature importance from three independent methods.</w:t>
      </w:r>
    </w:p>
    <w:p>
      <w:r>
        <w:br w:type="page"/>
      </w:r>
    </w:p>
    <w:p>
      <w:pPr>
        <w:pStyle w:val="Heading1"/>
      </w:pPr>
      <w:r>
        <w:t>15. Insurance Premium Methodology</w:t>
      </w:r>
    </w:p>
    <w:p>
      <w:pPr>
        <w:spacing w:after="120"/>
      </w:pPr>
      <w:r>
        <w:rPr>
          <w:b w:val="0"/>
          <w:i w:val="0"/>
          <w:sz w:val="21"/>
        </w:rPr>
        <w:t>The dataset provides annual_charge, which is an incurred claim cost, not a price. A premium must additionally cover the cost of running the business and leave a margin.</w:t>
      </w:r>
    </w:p>
    <w:p>
      <w:pPr>
        <w:spacing w:after="160"/>
        <w:jc w:val="center"/>
      </w:pPr>
      <w:r>
        <w:rPr>
          <w:b/>
          <w:color w:val="1B4965"/>
          <w:sz w:val="22"/>
        </w:rPr>
        <w:t>Risk Factors → Health Score → Two-Stage Model → Expected Cost → Final Premium</w:t>
      </w:r>
    </w:p>
    <w:p>
      <w:pPr>
        <w:spacing w:after="200"/>
        <w:jc w:val="center"/>
      </w:pPr>
      <w:r>
        <w:rPr>
          <w:b/>
          <w:sz w:val="21"/>
        </w:rPr>
        <w:t>Final Premium = Predicted Annual Claim Cost × (1 + 0.15 + 0.08) = Predicted Cost × 1.23</w:t>
      </w:r>
    </w:p>
    <w:tbl>
      <w:tblPr>
        <w:tblStyle w:val="TableGrid"/>
        <w:tblW w:type="auto" w:w="0"/>
        <w:tblLook w:firstColumn="1" w:firstRow="1" w:lastColumn="0" w:lastRow="0" w:noHBand="0" w:noVBand="1" w:val="04A0"/>
      </w:tblPr>
      <w:tblGrid>
        <w:gridCol w:w="9648"/>
      </w:tblGrid>
      <w:tr>
        <w:tc>
          <w:tcPr>
            <w:tcW w:type="dxa" w:w="9648"/>
            <w:shd w:fill="FFF4E6"/>
          </w:tcPr>
          <w:p>
            <w:r/>
            <w:r>
              <w:rPr>
                <w:b/>
                <w:color w:val="1B4965"/>
                <w:sz w:val="20"/>
              </w:rPr>
              <w:t xml:space="preserve">Stated assumption:  </w:t>
            </w:r>
            <w:r>
              <w:rPr>
                <w:sz w:val="20"/>
              </w:rPr>
              <w:t>The brief specifies no loading, so a 15% expense ratio (administration, claims handling, distribution) and an 8% profit and solvency margin are assumed — conventional orders of magnitude for health insurance. These are parameters, not findings. The board can change them and every premium scales proportionally.</w:t>
            </w:r>
          </w:p>
        </w:tc>
      </w:tr>
    </w:tbl>
    <w:p>
      <w:pPr>
        <w:spacing w:after="80"/>
      </w:pPr>
    </w:p>
    <w:p>
      <w:pPr>
        <w:pStyle w:val="Heading2"/>
      </w:pPr>
      <w:r>
        <w:t>15.1 Preventing optimistic bias</w:t>
      </w:r>
    </w:p>
    <w:p>
      <w:pPr>
        <w:spacing w:after="120"/>
      </w:pPr>
      <w:r>
        <w:rPr>
          <w:b w:val="0"/>
          <w:i w:val="0"/>
          <w:sz w:val="21"/>
        </w:rPr>
        <w:t>Every customer is priced out-of-fold. Using 5-fold stratified cross-validation, each customer's tier and cost are predicted by models trained on the other four folds, so nobody is priced by a model that has seen them. This produces an honest portfolio-wide premium book rather than in-sample fitted values, which would flatter the result.</w:t>
      </w:r>
    </w:p>
    <w:tbl>
      <w:tblPr>
        <w:tblStyle w:val="TableGrid"/>
        <w:tblW w:type="auto" w:w="0"/>
        <w:jc w:val="center"/>
        <w:tblLook w:firstColumn="1" w:firstRow="1" w:lastColumn="0" w:lastRow="0" w:noHBand="0" w:noVBand="1" w:val="04A0"/>
      </w:tblPr>
      <w:tblGrid>
        <w:gridCol w:w="4824"/>
        <w:gridCol w:w="4824"/>
      </w:tblGrid>
      <w:tr>
        <w:tc>
          <w:tcPr>
            <w:tcW w:type="dxa" w:w="3456"/>
            <w:shd w:fill="1B4965"/>
          </w:tcPr>
          <w:p>
            <w:r/>
            <w:r>
              <w:rPr>
                <w:b/>
                <w:color w:val="FFFFFF"/>
                <w:sz w:val="17"/>
              </w:rPr>
              <w:t>Out-of-fold metric</w:t>
            </w:r>
          </w:p>
        </w:tc>
        <w:tc>
          <w:tcPr>
            <w:tcW w:type="dxa" w:w="2304"/>
            <w:shd w:fill="1B4965"/>
          </w:tcPr>
          <w:p>
            <w:r/>
            <w:r>
              <w:rPr>
                <w:b/>
                <w:color w:val="FFFFFF"/>
                <w:sz w:val="17"/>
              </w:rPr>
              <w:t>Value</w:t>
            </w:r>
          </w:p>
        </w:tc>
      </w:tr>
      <w:tr>
        <w:tc>
          <w:tcPr>
            <w:tcW w:type="dxa" w:w="3456"/>
          </w:tcPr>
          <w:p>
            <w:r/>
            <w:r>
              <w:rPr>
                <w:sz w:val="17"/>
              </w:rPr>
              <w:t>Stage-1 tier accuracy</w:t>
            </w:r>
          </w:p>
        </w:tc>
        <w:tc>
          <w:tcPr>
            <w:tcW w:type="dxa" w:w="2304"/>
          </w:tcPr>
          <w:p>
            <w:pPr>
              <w:jc w:val="right"/>
            </w:pPr>
            <w:r/>
            <w:r>
              <w:rPr>
                <w:sz w:val="17"/>
              </w:rPr>
              <w:t>0.9242</w:t>
            </w:r>
          </w:p>
        </w:tc>
      </w:tr>
      <w:tr>
        <w:tc>
          <w:tcPr>
            <w:tcW w:type="dxa" w:w="3456"/>
            <w:shd w:fill="EEF4F8"/>
          </w:tcPr>
          <w:p>
            <w:r/>
            <w:r>
              <w:rPr>
                <w:sz w:val="17"/>
              </w:rPr>
              <w:t>MAE</w:t>
            </w:r>
          </w:p>
        </w:tc>
        <w:tc>
          <w:tcPr>
            <w:tcW w:type="dxa" w:w="2304"/>
            <w:shd w:fill="EEF4F8"/>
          </w:tcPr>
          <w:p>
            <w:pPr>
              <w:jc w:val="right"/>
            </w:pPr>
            <w:r/>
            <w:r>
              <w:rPr>
                <w:sz w:val="17"/>
              </w:rPr>
              <w:t>$1,908</w:t>
            </w:r>
          </w:p>
        </w:tc>
      </w:tr>
      <w:tr>
        <w:tc>
          <w:tcPr>
            <w:tcW w:type="dxa" w:w="3456"/>
          </w:tcPr>
          <w:p>
            <w:r/>
            <w:r>
              <w:rPr>
                <w:sz w:val="17"/>
              </w:rPr>
              <w:t>RMSE</w:t>
            </w:r>
          </w:p>
        </w:tc>
        <w:tc>
          <w:tcPr>
            <w:tcW w:type="dxa" w:w="2304"/>
          </w:tcPr>
          <w:p>
            <w:pPr>
              <w:jc w:val="right"/>
            </w:pPr>
            <w:r/>
            <w:r>
              <w:rPr>
                <w:sz w:val="17"/>
              </w:rPr>
              <w:t>$5,024</w:t>
            </w:r>
          </w:p>
        </w:tc>
      </w:tr>
      <w:tr>
        <w:tc>
          <w:tcPr>
            <w:tcW w:type="dxa" w:w="3456"/>
            <w:shd w:fill="EEF4F8"/>
          </w:tcPr>
          <w:p>
            <w:r/>
            <w:r>
              <w:rPr>
                <w:sz w:val="17"/>
              </w:rPr>
              <w:t>R²</w:t>
            </w:r>
          </w:p>
        </w:tc>
        <w:tc>
          <w:tcPr>
            <w:tcW w:type="dxa" w:w="2304"/>
            <w:shd w:fill="EEF4F8"/>
          </w:tcPr>
          <w:p>
            <w:pPr>
              <w:jc w:val="right"/>
            </w:pPr>
            <w:r/>
            <w:r>
              <w:rPr>
                <w:sz w:val="17"/>
              </w:rPr>
              <w:t>0.8761</w:t>
            </w:r>
          </w:p>
        </w:tc>
      </w:tr>
      <w:tr>
        <w:tc>
          <w:tcPr>
            <w:tcW w:type="dxa" w:w="3456"/>
          </w:tcPr>
          <w:p>
            <w:r/>
            <w:r>
              <w:rPr>
                <w:sz w:val="17"/>
              </w:rPr>
              <w:t>Customers priced</w:t>
            </w:r>
          </w:p>
        </w:tc>
        <w:tc>
          <w:tcPr>
            <w:tcW w:type="dxa" w:w="2304"/>
          </w:tcPr>
          <w:p>
            <w:pPr>
              <w:jc w:val="right"/>
            </w:pPr>
            <w:r/>
            <w:r>
              <w:rPr>
                <w:sz w:val="17"/>
              </w:rPr>
              <w:t>1,200 of 1,200 (100%)</w:t>
            </w:r>
          </w:p>
        </w:tc>
      </w:tr>
    </w:tbl>
    <w:p>
      <w:pPr>
        <w:spacing w:after="80"/>
      </w:pPr>
    </w:p>
    <w:p>
      <w:pPr>
        <w:pStyle w:val="Heading2"/>
      </w:pPr>
      <w:r>
        <w:t>15.2 Premium distribution</w:t>
      </w:r>
    </w:p>
    <w:tbl>
      <w:tblPr>
        <w:tblStyle w:val="TableGrid"/>
        <w:tblW w:type="auto" w:w="0"/>
        <w:jc w:val="center"/>
        <w:tblLook w:firstColumn="1" w:firstRow="1" w:lastColumn="0" w:lastRow="0" w:noHBand="0" w:noVBand="1" w:val="04A0"/>
      </w:tblPr>
      <w:tblGrid>
        <w:gridCol w:w="4824"/>
        <w:gridCol w:w="4824"/>
      </w:tblGrid>
      <w:tr>
        <w:tc>
          <w:tcPr>
            <w:tcW w:type="dxa" w:w="3456"/>
            <w:shd w:fill="1B4965"/>
          </w:tcPr>
          <w:p>
            <w:r/>
            <w:r>
              <w:rPr>
                <w:b/>
                <w:color w:val="FFFFFF"/>
                <w:sz w:val="17"/>
              </w:rPr>
              <w:t>Statistic</w:t>
            </w:r>
          </w:p>
        </w:tc>
        <w:tc>
          <w:tcPr>
            <w:tcW w:type="dxa" w:w="2304"/>
            <w:shd w:fill="1B4965"/>
          </w:tcPr>
          <w:p>
            <w:r/>
            <w:r>
              <w:rPr>
                <w:b/>
                <w:color w:val="FFFFFF"/>
                <w:sz w:val="17"/>
              </w:rPr>
              <w:t>Value</w:t>
            </w:r>
          </w:p>
        </w:tc>
      </w:tr>
      <w:tr>
        <w:tc>
          <w:tcPr>
            <w:tcW w:type="dxa" w:w="3456"/>
          </w:tcPr>
          <w:p>
            <w:r/>
            <w:r>
              <w:rPr>
                <w:sz w:val="17"/>
              </w:rPr>
              <w:t>Mean premium</w:t>
            </w:r>
          </w:p>
        </w:tc>
        <w:tc>
          <w:tcPr>
            <w:tcW w:type="dxa" w:w="2304"/>
          </w:tcPr>
          <w:p>
            <w:pPr>
              <w:jc w:val="right"/>
            </w:pPr>
            <w:r/>
            <w:r>
              <w:rPr>
                <w:sz w:val="17"/>
              </w:rPr>
              <w:t>$25,027</w:t>
            </w:r>
          </w:p>
        </w:tc>
      </w:tr>
      <w:tr>
        <w:tc>
          <w:tcPr>
            <w:tcW w:type="dxa" w:w="3456"/>
            <w:shd w:fill="EEF4F8"/>
          </w:tcPr>
          <w:p>
            <w:r/>
            <w:r>
              <w:rPr>
                <w:sz w:val="17"/>
              </w:rPr>
              <w:t>Median premium</w:t>
            </w:r>
          </w:p>
        </w:tc>
        <w:tc>
          <w:tcPr>
            <w:tcW w:type="dxa" w:w="2304"/>
            <w:shd w:fill="EEF4F8"/>
          </w:tcPr>
          <w:p>
            <w:pPr>
              <w:jc w:val="right"/>
            </w:pPr>
            <w:r/>
            <w:r>
              <w:rPr>
                <w:sz w:val="17"/>
              </w:rPr>
              <w:t>$19,563</w:t>
            </w:r>
          </w:p>
        </w:tc>
      </w:tr>
      <w:tr>
        <w:tc>
          <w:tcPr>
            <w:tcW w:type="dxa" w:w="3456"/>
          </w:tcPr>
          <w:p>
            <w:r/>
            <w:r>
              <w:rPr>
                <w:sz w:val="17"/>
              </w:rPr>
              <w:t>Minimum</w:t>
            </w:r>
          </w:p>
        </w:tc>
        <w:tc>
          <w:tcPr>
            <w:tcW w:type="dxa" w:w="2304"/>
          </w:tcPr>
          <w:p>
            <w:pPr>
              <w:jc w:val="right"/>
            </w:pPr>
            <w:r/>
            <w:r>
              <w:rPr>
                <w:sz w:val="17"/>
              </w:rPr>
              <w:t>$7,237</w:t>
            </w:r>
          </w:p>
        </w:tc>
      </w:tr>
      <w:tr>
        <w:tc>
          <w:tcPr>
            <w:tcW w:type="dxa" w:w="3456"/>
            <w:shd w:fill="EEF4F8"/>
          </w:tcPr>
          <w:p>
            <w:r/>
            <w:r>
              <w:rPr>
                <w:sz w:val="17"/>
              </w:rPr>
              <w:t>Maximum</w:t>
            </w:r>
          </w:p>
        </w:tc>
        <w:tc>
          <w:tcPr>
            <w:tcW w:type="dxa" w:w="2304"/>
            <w:shd w:fill="EEF4F8"/>
          </w:tcPr>
          <w:p>
            <w:pPr>
              <w:jc w:val="right"/>
            </w:pPr>
            <w:r/>
            <w:r>
              <w:rPr>
                <w:sz w:val="17"/>
              </w:rPr>
              <w:t>$69,752</w:t>
            </w:r>
          </w:p>
        </w:tc>
      </w:tr>
      <w:tr>
        <w:tc>
          <w:tcPr>
            <w:tcW w:type="dxa" w:w="3456"/>
          </w:tcPr>
          <w:p>
            <w:r/>
            <w:r>
              <w:rPr>
                <w:sz w:val="17"/>
              </w:rPr>
              <w:t>Mean, non-smokers</w:t>
            </w:r>
          </w:p>
        </w:tc>
        <w:tc>
          <w:tcPr>
            <w:tcW w:type="dxa" w:w="2304"/>
          </w:tcPr>
          <w:p>
            <w:pPr>
              <w:jc w:val="right"/>
            </w:pPr>
            <w:r/>
            <w:r>
              <w:rPr>
                <w:sz w:val="17"/>
              </w:rPr>
              <w:t>$17,098</w:t>
            </w:r>
          </w:p>
        </w:tc>
      </w:tr>
      <w:tr>
        <w:tc>
          <w:tcPr>
            <w:tcW w:type="dxa" w:w="3456"/>
            <w:shd w:fill="EEF4F8"/>
          </w:tcPr>
          <w:p>
            <w:r/>
            <w:r>
              <w:rPr>
                <w:sz w:val="17"/>
              </w:rPr>
              <w:t>Mean, smokers</w:t>
            </w:r>
          </w:p>
        </w:tc>
        <w:tc>
          <w:tcPr>
            <w:tcW w:type="dxa" w:w="2304"/>
            <w:shd w:fill="EEF4F8"/>
          </w:tcPr>
          <w:p>
            <w:pPr>
              <w:jc w:val="right"/>
            </w:pPr>
            <w:r/>
            <w:r>
              <w:rPr>
                <w:sz w:val="17"/>
              </w:rPr>
              <w:t>$43,239</w:t>
            </w:r>
          </w:p>
        </w:tc>
      </w:tr>
    </w:tbl>
    <w:p>
      <w:pPr>
        <w:spacing w:after="80"/>
      </w:pP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1B4965"/>
          </w:tcPr>
          <w:p>
            <w:r/>
            <w:r>
              <w:rPr>
                <w:b/>
                <w:color w:val="FFFFFF"/>
                <w:sz w:val="17"/>
              </w:rPr>
              <w:t>Risk tier</w:t>
            </w:r>
          </w:p>
        </w:tc>
        <w:tc>
          <w:tcPr>
            <w:tcW w:type="dxa" w:w="1728"/>
            <w:shd w:fill="1B4965"/>
          </w:tcPr>
          <w:p>
            <w:r/>
            <w:r>
              <w:rPr>
                <w:b/>
                <w:color w:val="FFFFFF"/>
                <w:sz w:val="17"/>
              </w:rPr>
              <w:t>Customers</w:t>
            </w:r>
          </w:p>
        </w:tc>
        <w:tc>
          <w:tcPr>
            <w:tcW w:type="dxa" w:w="2160"/>
            <w:shd w:fill="1B4965"/>
          </w:tcPr>
          <w:p>
            <w:r/>
            <w:r>
              <w:rPr>
                <w:b/>
                <w:color w:val="FFFFFF"/>
                <w:sz w:val="17"/>
              </w:rPr>
              <w:t>Mean premium</w:t>
            </w:r>
          </w:p>
        </w:tc>
        <w:tc>
          <w:tcPr>
            <w:tcW w:type="dxa" w:w="2160"/>
            <w:shd w:fill="1B4965"/>
          </w:tcPr>
          <w:p>
            <w:r/>
            <w:r>
              <w:rPr>
                <w:b/>
                <w:color w:val="FFFFFF"/>
                <w:sz w:val="17"/>
              </w:rPr>
              <w:t>Median premium</w:t>
            </w:r>
          </w:p>
        </w:tc>
      </w:tr>
      <w:tr>
        <w:tc>
          <w:tcPr>
            <w:tcW w:type="dxa" w:w="1728"/>
          </w:tcPr>
          <w:p>
            <w:r/>
            <w:r>
              <w:rPr>
                <w:sz w:val="17"/>
              </w:rPr>
              <w:t>Low</w:t>
            </w:r>
          </w:p>
        </w:tc>
        <w:tc>
          <w:tcPr>
            <w:tcW w:type="dxa" w:w="1728"/>
          </w:tcPr>
          <w:p>
            <w:pPr>
              <w:jc w:val="right"/>
            </w:pPr>
            <w:r/>
            <w:r>
              <w:rPr>
                <w:sz w:val="17"/>
              </w:rPr>
              <w:t>307</w:t>
            </w:r>
          </w:p>
        </w:tc>
        <w:tc>
          <w:tcPr>
            <w:tcW w:type="dxa" w:w="2160"/>
          </w:tcPr>
          <w:p>
            <w:pPr>
              <w:jc w:val="right"/>
            </w:pPr>
            <w:r/>
            <w:r>
              <w:rPr>
                <w:sz w:val="17"/>
              </w:rPr>
              <w:t>$9,998</w:t>
            </w:r>
          </w:p>
        </w:tc>
        <w:tc>
          <w:tcPr>
            <w:tcW w:type="dxa" w:w="2160"/>
          </w:tcPr>
          <w:p>
            <w:pPr>
              <w:jc w:val="right"/>
            </w:pPr>
            <w:r/>
            <w:r>
              <w:rPr>
                <w:sz w:val="17"/>
              </w:rPr>
              <w:t>$9,242</w:t>
            </w:r>
          </w:p>
        </w:tc>
      </w:tr>
      <w:tr>
        <w:tc>
          <w:tcPr>
            <w:tcW w:type="dxa" w:w="1728"/>
            <w:shd w:fill="EEF4F8"/>
          </w:tcPr>
          <w:p>
            <w:r/>
            <w:r>
              <w:rPr>
                <w:sz w:val="17"/>
              </w:rPr>
              <w:t>Medium</w:t>
            </w:r>
          </w:p>
        </w:tc>
        <w:tc>
          <w:tcPr>
            <w:tcW w:type="dxa" w:w="1728"/>
            <w:shd w:fill="EEF4F8"/>
          </w:tcPr>
          <w:p>
            <w:pPr>
              <w:jc w:val="right"/>
            </w:pPr>
            <w:r/>
            <w:r>
              <w:rPr>
                <w:sz w:val="17"/>
              </w:rPr>
              <w:t>625</w:t>
            </w:r>
          </w:p>
        </w:tc>
        <w:tc>
          <w:tcPr>
            <w:tcW w:type="dxa" w:w="2160"/>
            <w:shd w:fill="EEF4F8"/>
          </w:tcPr>
          <w:p>
            <w:pPr>
              <w:jc w:val="right"/>
            </w:pPr>
            <w:r/>
            <w:r>
              <w:rPr>
                <w:sz w:val="17"/>
              </w:rPr>
              <w:t>$20,217</w:t>
            </w:r>
          </w:p>
        </w:tc>
        <w:tc>
          <w:tcPr>
            <w:tcW w:type="dxa" w:w="2160"/>
            <w:shd w:fill="EEF4F8"/>
          </w:tcPr>
          <w:p>
            <w:pPr>
              <w:jc w:val="right"/>
            </w:pPr>
            <w:r/>
            <w:r>
              <w:rPr>
                <w:sz w:val="17"/>
              </w:rPr>
              <w:t>$19,633</w:t>
            </w:r>
          </w:p>
        </w:tc>
      </w:tr>
      <w:tr>
        <w:tc>
          <w:tcPr>
            <w:tcW w:type="dxa" w:w="1728"/>
          </w:tcPr>
          <w:p>
            <w:r/>
            <w:r>
              <w:rPr>
                <w:sz w:val="17"/>
              </w:rPr>
              <w:t>High</w:t>
            </w:r>
          </w:p>
        </w:tc>
        <w:tc>
          <w:tcPr>
            <w:tcW w:type="dxa" w:w="1728"/>
          </w:tcPr>
          <w:p>
            <w:pPr>
              <w:jc w:val="right"/>
            </w:pPr>
            <w:r/>
            <w:r>
              <w:rPr>
                <w:sz w:val="17"/>
              </w:rPr>
              <w:t>268</w:t>
            </w:r>
          </w:p>
        </w:tc>
        <w:tc>
          <w:tcPr>
            <w:tcW w:type="dxa" w:w="2160"/>
          </w:tcPr>
          <w:p>
            <w:pPr>
              <w:jc w:val="right"/>
            </w:pPr>
            <w:r/>
            <w:r>
              <w:rPr>
                <w:sz w:val="17"/>
              </w:rPr>
              <w:t>$53,463</w:t>
            </w:r>
          </w:p>
        </w:tc>
        <w:tc>
          <w:tcPr>
            <w:tcW w:type="dxa" w:w="2160"/>
          </w:tcPr>
          <w:p>
            <w:pPr>
              <w:jc w:val="right"/>
            </w:pPr>
            <w:r/>
            <w:r>
              <w:rPr>
                <w:sz w:val="17"/>
              </w:rPr>
              <w:t>$56,575</w:t>
            </w:r>
          </w:p>
        </w:tc>
      </w:tr>
    </w:tbl>
    <w:p>
      <w:pPr>
        <w:spacing w:after="80"/>
      </w:pPr>
    </w:p>
    <w:p>
      <w:pPr>
        <w:jc w:val="center"/>
      </w:pPr>
      <w:r>
        <w:drawing>
          <wp:inline xmlns:a="http://schemas.openxmlformats.org/drawingml/2006/main" xmlns:pic="http://schemas.openxmlformats.org/drawingml/2006/picture">
            <wp:extent cx="5852160" cy="3161859"/>
            <wp:docPr id="17" name="Picture 17"/>
            <wp:cNvGraphicFramePr>
              <a:graphicFrameLocks noChangeAspect="1"/>
            </wp:cNvGraphicFramePr>
            <a:graphic>
              <a:graphicData uri="http://schemas.openxmlformats.org/drawingml/2006/picture">
                <pic:pic>
                  <pic:nvPicPr>
                    <pic:cNvPr id="0" name="17_premium_analysis.png"/>
                    <pic:cNvPicPr/>
                  </pic:nvPicPr>
                  <pic:blipFill>
                    <a:blip r:embed="rId25"/>
                    <a:stretch>
                      <a:fillRect/>
                    </a:stretch>
                  </pic:blipFill>
                  <pic:spPr>
                    <a:xfrm>
                      <a:off x="0" y="0"/>
                      <a:ext cx="5852160" cy="3161859"/>
                    </a:xfrm>
                    <a:prstGeom prst="rect"/>
                  </pic:spPr>
                </pic:pic>
              </a:graphicData>
            </a:graphic>
          </wp:inline>
        </w:drawing>
      </w:r>
    </w:p>
    <w:p>
      <w:pPr>
        <w:spacing w:after="220"/>
        <w:jc w:val="center"/>
      </w:pPr>
      <w:r>
        <w:rPr>
          <w:i/>
          <w:color w:val="5A6A78"/>
          <w:sz w:val="17"/>
        </w:rPr>
        <w:t>Figure 17 — Premium distribution, tier comparison, and premium against age, BMI and Health Score.</w:t>
      </w:r>
    </w:p>
    <w:p>
      <w:r>
        <w:br w:type="page"/>
      </w:r>
    </w:p>
    <w:p>
      <w:pPr>
        <w:pStyle w:val="Heading1"/>
      </w:pPr>
      <w:r>
        <w:t>16. Individual Premium Results</w:t>
      </w:r>
    </w:p>
    <w:p>
      <w:pPr>
        <w:spacing w:after="120"/>
      </w:pPr>
      <w:r>
        <w:rPr>
          <w:b w:val="0"/>
          <w:i w:val="0"/>
          <w:sz w:val="21"/>
        </w:rPr>
        <w:t>Every one of the 1,200 customers in the cleaned dataset carries a Health Score, a predicted risk tier, a predicted cost, a final premium, a ranked list of their top contributing risk factors, and a plain-English explanation generated from their own attributes. 1,096 of the 1,200 explanations are distinct — they are individualised rather than templated.</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893"/>
            <w:shd w:fill="1B4965"/>
          </w:tcPr>
          <w:p>
            <w:r/>
            <w:r>
              <w:rPr>
                <w:b/>
                <w:color w:val="FFFFFF"/>
                <w:sz w:val="15"/>
              </w:rPr>
              <w:t>ID</w:t>
            </w:r>
          </w:p>
        </w:tc>
        <w:tc>
          <w:tcPr>
            <w:tcW w:type="dxa" w:w="547"/>
            <w:shd w:fill="1B4965"/>
          </w:tcPr>
          <w:p>
            <w:r/>
            <w:r>
              <w:rPr>
                <w:b/>
                <w:color w:val="FFFFFF"/>
                <w:sz w:val="15"/>
              </w:rPr>
              <w:t>Age</w:t>
            </w:r>
          </w:p>
        </w:tc>
        <w:tc>
          <w:tcPr>
            <w:tcW w:type="dxa" w:w="605"/>
            <w:shd w:fill="1B4965"/>
          </w:tcPr>
          <w:p>
            <w:r/>
            <w:r>
              <w:rPr>
                <w:b/>
                <w:color w:val="FFFFFF"/>
                <w:sz w:val="15"/>
              </w:rPr>
              <w:t>BMI</w:t>
            </w:r>
          </w:p>
        </w:tc>
        <w:tc>
          <w:tcPr>
            <w:tcW w:type="dxa" w:w="792"/>
            <w:shd w:fill="1B4965"/>
          </w:tcPr>
          <w:p>
            <w:r/>
            <w:r>
              <w:rPr>
                <w:b/>
                <w:color w:val="FFFFFF"/>
                <w:sz w:val="15"/>
              </w:rPr>
              <w:t>Smoker</w:t>
            </w:r>
          </w:p>
        </w:tc>
        <w:tc>
          <w:tcPr>
            <w:tcW w:type="dxa" w:w="1123"/>
            <w:shd w:fill="1B4965"/>
          </w:tcPr>
          <w:p>
            <w:r/>
            <w:r>
              <w:rPr>
                <w:b/>
                <w:color w:val="FFFFFF"/>
                <w:sz w:val="15"/>
              </w:rPr>
              <w:t>Health Score</w:t>
            </w:r>
          </w:p>
        </w:tc>
        <w:tc>
          <w:tcPr>
            <w:tcW w:type="dxa" w:w="979"/>
            <w:shd w:fill="1B4965"/>
          </w:tcPr>
          <w:p>
            <w:r/>
            <w:r>
              <w:rPr>
                <w:b/>
                <w:color w:val="FFFFFF"/>
                <w:sz w:val="15"/>
              </w:rPr>
              <w:t>Risk tier</w:t>
            </w:r>
          </w:p>
        </w:tc>
        <w:tc>
          <w:tcPr>
            <w:tcW w:type="dxa" w:w="1267"/>
            <w:shd w:fill="1B4965"/>
          </w:tcPr>
          <w:p>
            <w:r/>
            <w:r>
              <w:rPr>
                <w:b/>
                <w:color w:val="FFFFFF"/>
                <w:sz w:val="15"/>
              </w:rPr>
              <w:t>Predicted cost</w:t>
            </w:r>
          </w:p>
        </w:tc>
        <w:tc>
          <w:tcPr>
            <w:tcW w:type="dxa" w:w="1267"/>
            <w:shd w:fill="1B4965"/>
          </w:tcPr>
          <w:p>
            <w:r/>
            <w:r>
              <w:rPr>
                <w:b/>
                <w:color w:val="FFFFFF"/>
                <w:sz w:val="15"/>
              </w:rPr>
              <w:t>Final premium</w:t>
            </w:r>
          </w:p>
        </w:tc>
        <w:tc>
          <w:tcPr>
            <w:tcW w:type="dxa" w:w="2304"/>
            <w:shd w:fill="1B4965"/>
          </w:tcPr>
          <w:p>
            <w:r/>
            <w:r>
              <w:rPr>
                <w:b/>
                <w:color w:val="FFFFFF"/>
                <w:sz w:val="15"/>
              </w:rPr>
              <w:t>Top risk factors</w:t>
            </w:r>
          </w:p>
        </w:tc>
      </w:tr>
      <w:tr>
        <w:tc>
          <w:tcPr>
            <w:tcW w:type="dxa" w:w="893"/>
          </w:tcPr>
          <w:p>
            <w:r/>
            <w:r>
              <w:rPr>
                <w:sz w:val="15"/>
              </w:rPr>
              <w:t>HW1048</w:t>
            </w:r>
          </w:p>
        </w:tc>
        <w:tc>
          <w:tcPr>
            <w:tcW w:type="dxa" w:w="547"/>
          </w:tcPr>
          <w:p>
            <w:pPr>
              <w:jc w:val="right"/>
            </w:pPr>
            <w:r/>
            <w:r>
              <w:rPr>
                <w:sz w:val="15"/>
              </w:rPr>
              <w:t>19</w:t>
            </w:r>
          </w:p>
        </w:tc>
        <w:tc>
          <w:tcPr>
            <w:tcW w:type="dxa" w:w="605"/>
          </w:tcPr>
          <w:p>
            <w:pPr>
              <w:jc w:val="right"/>
            </w:pPr>
            <w:r/>
            <w:r>
              <w:rPr>
                <w:sz w:val="15"/>
              </w:rPr>
              <w:t>16.0</w:t>
            </w:r>
          </w:p>
        </w:tc>
        <w:tc>
          <w:tcPr>
            <w:tcW w:type="dxa" w:w="792"/>
          </w:tcPr>
          <w:p>
            <w:r/>
            <w:r>
              <w:rPr>
                <w:sz w:val="15"/>
              </w:rPr>
              <w:t>no</w:t>
            </w:r>
          </w:p>
        </w:tc>
        <w:tc>
          <w:tcPr>
            <w:tcW w:type="dxa" w:w="1123"/>
          </w:tcPr>
          <w:p>
            <w:pPr>
              <w:jc w:val="right"/>
            </w:pPr>
            <w:r/>
            <w:r>
              <w:rPr>
                <w:sz w:val="15"/>
              </w:rPr>
              <w:t>94.4</w:t>
            </w:r>
          </w:p>
        </w:tc>
        <w:tc>
          <w:tcPr>
            <w:tcW w:type="dxa" w:w="979"/>
          </w:tcPr>
          <w:p>
            <w:r/>
            <w:r>
              <w:rPr>
                <w:sz w:val="15"/>
              </w:rPr>
              <w:t>Low</w:t>
            </w:r>
          </w:p>
        </w:tc>
        <w:tc>
          <w:tcPr>
            <w:tcW w:type="dxa" w:w="1267"/>
          </w:tcPr>
          <w:p>
            <w:pPr>
              <w:jc w:val="right"/>
            </w:pPr>
            <w:r/>
            <w:r>
              <w:rPr>
                <w:sz w:val="15"/>
              </w:rPr>
              <w:t>$5,884</w:t>
            </w:r>
          </w:p>
        </w:tc>
        <w:tc>
          <w:tcPr>
            <w:tcW w:type="dxa" w:w="1267"/>
          </w:tcPr>
          <w:p>
            <w:pPr>
              <w:jc w:val="right"/>
            </w:pPr>
            <w:r/>
            <w:r>
              <w:rPr>
                <w:sz w:val="15"/>
              </w:rPr>
              <w:t>$7,237</w:t>
            </w:r>
          </w:p>
        </w:tc>
        <w:tc>
          <w:tcPr>
            <w:tcW w:type="dxa" w:w="2304"/>
          </w:tcPr>
          <w:p>
            <w:r/>
            <w:r>
              <w:rPr>
                <w:sz w:val="15"/>
              </w:rPr>
              <w:t>Low BMI</w:t>
            </w:r>
          </w:p>
        </w:tc>
      </w:tr>
      <w:tr>
        <w:tc>
          <w:tcPr>
            <w:tcW w:type="dxa" w:w="893"/>
            <w:shd w:fill="EEF4F8"/>
          </w:tcPr>
          <w:p>
            <w:r/>
            <w:r>
              <w:rPr>
                <w:sz w:val="15"/>
              </w:rPr>
              <w:t>HW1311</w:t>
            </w:r>
          </w:p>
        </w:tc>
        <w:tc>
          <w:tcPr>
            <w:tcW w:type="dxa" w:w="547"/>
            <w:shd w:fill="EEF4F8"/>
          </w:tcPr>
          <w:p>
            <w:pPr>
              <w:jc w:val="right"/>
            </w:pPr>
            <w:r/>
            <w:r>
              <w:rPr>
                <w:sz w:val="15"/>
              </w:rPr>
              <w:t>39</w:t>
            </w:r>
          </w:p>
        </w:tc>
        <w:tc>
          <w:tcPr>
            <w:tcW w:type="dxa" w:w="605"/>
            <w:shd w:fill="EEF4F8"/>
          </w:tcPr>
          <w:p>
            <w:pPr>
              <w:jc w:val="right"/>
            </w:pPr>
            <w:r/>
            <w:r>
              <w:rPr>
                <w:sz w:val="15"/>
              </w:rPr>
              <w:t>28.2</w:t>
            </w:r>
          </w:p>
        </w:tc>
        <w:tc>
          <w:tcPr>
            <w:tcW w:type="dxa" w:w="792"/>
            <w:shd w:fill="EEF4F8"/>
          </w:tcPr>
          <w:p>
            <w:r/>
            <w:r>
              <w:rPr>
                <w:sz w:val="15"/>
              </w:rPr>
              <w:t>no</w:t>
            </w:r>
          </w:p>
        </w:tc>
        <w:tc>
          <w:tcPr>
            <w:tcW w:type="dxa" w:w="1123"/>
            <w:shd w:fill="EEF4F8"/>
          </w:tcPr>
          <w:p>
            <w:pPr>
              <w:jc w:val="right"/>
            </w:pPr>
            <w:r/>
            <w:r>
              <w:rPr>
                <w:sz w:val="15"/>
              </w:rPr>
              <w:t>82.8</w:t>
            </w:r>
          </w:p>
        </w:tc>
        <w:tc>
          <w:tcPr>
            <w:tcW w:type="dxa" w:w="979"/>
            <w:shd w:fill="EEF4F8"/>
          </w:tcPr>
          <w:p>
            <w:r/>
            <w:r>
              <w:rPr>
                <w:sz w:val="15"/>
              </w:rPr>
              <w:t>Low</w:t>
            </w:r>
          </w:p>
        </w:tc>
        <w:tc>
          <w:tcPr>
            <w:tcW w:type="dxa" w:w="1267"/>
            <w:shd w:fill="EEF4F8"/>
          </w:tcPr>
          <w:p>
            <w:pPr>
              <w:jc w:val="right"/>
            </w:pPr>
            <w:r/>
            <w:r>
              <w:rPr>
                <w:sz w:val="15"/>
              </w:rPr>
              <w:t>$8,995</w:t>
            </w:r>
          </w:p>
        </w:tc>
        <w:tc>
          <w:tcPr>
            <w:tcW w:type="dxa" w:w="1267"/>
            <w:shd w:fill="EEF4F8"/>
          </w:tcPr>
          <w:p>
            <w:pPr>
              <w:jc w:val="right"/>
            </w:pPr>
            <w:r/>
            <w:r>
              <w:rPr>
                <w:sz w:val="15"/>
              </w:rPr>
              <w:t>$11,064</w:t>
            </w:r>
          </w:p>
        </w:tc>
        <w:tc>
          <w:tcPr>
            <w:tcW w:type="dxa" w:w="2304"/>
            <w:shd w:fill="EEF4F8"/>
          </w:tcPr>
          <w:p>
            <w:r/>
            <w:r>
              <w:rPr>
                <w:sz w:val="15"/>
              </w:rPr>
              <w:t>Raised BMI; Dependents</w:t>
            </w:r>
          </w:p>
        </w:tc>
      </w:tr>
      <w:tr>
        <w:tc>
          <w:tcPr>
            <w:tcW w:type="dxa" w:w="893"/>
          </w:tcPr>
          <w:p>
            <w:r/>
            <w:r>
              <w:rPr>
                <w:sz w:val="15"/>
              </w:rPr>
              <w:t>HW2081</w:t>
            </w:r>
          </w:p>
        </w:tc>
        <w:tc>
          <w:tcPr>
            <w:tcW w:type="dxa" w:w="547"/>
          </w:tcPr>
          <w:p>
            <w:pPr>
              <w:jc w:val="right"/>
            </w:pPr>
            <w:r/>
            <w:r>
              <w:rPr>
                <w:sz w:val="15"/>
              </w:rPr>
              <w:t>53</w:t>
            </w:r>
          </w:p>
        </w:tc>
        <w:tc>
          <w:tcPr>
            <w:tcW w:type="dxa" w:w="605"/>
          </w:tcPr>
          <w:p>
            <w:pPr>
              <w:jc w:val="right"/>
            </w:pPr>
            <w:r/>
            <w:r>
              <w:rPr>
                <w:sz w:val="15"/>
              </w:rPr>
              <w:t>28.2</w:t>
            </w:r>
          </w:p>
        </w:tc>
        <w:tc>
          <w:tcPr>
            <w:tcW w:type="dxa" w:w="792"/>
          </w:tcPr>
          <w:p>
            <w:r/>
            <w:r>
              <w:rPr>
                <w:sz w:val="15"/>
              </w:rPr>
              <w:t>no</w:t>
            </w:r>
          </w:p>
        </w:tc>
        <w:tc>
          <w:tcPr>
            <w:tcW w:type="dxa" w:w="1123"/>
          </w:tcPr>
          <w:p>
            <w:pPr>
              <w:jc w:val="right"/>
            </w:pPr>
            <w:r/>
            <w:r>
              <w:rPr>
                <w:sz w:val="15"/>
              </w:rPr>
              <w:t>74.1</w:t>
            </w:r>
          </w:p>
        </w:tc>
        <w:tc>
          <w:tcPr>
            <w:tcW w:type="dxa" w:w="979"/>
          </w:tcPr>
          <w:p>
            <w:r/>
            <w:r>
              <w:rPr>
                <w:sz w:val="15"/>
              </w:rPr>
              <w:t>Medium</w:t>
            </w:r>
          </w:p>
        </w:tc>
        <w:tc>
          <w:tcPr>
            <w:tcW w:type="dxa" w:w="1267"/>
          </w:tcPr>
          <w:p>
            <w:pPr>
              <w:jc w:val="right"/>
            </w:pPr>
            <w:r/>
            <w:r>
              <w:rPr>
                <w:sz w:val="15"/>
              </w:rPr>
              <w:t>$15,912</w:t>
            </w:r>
          </w:p>
        </w:tc>
        <w:tc>
          <w:tcPr>
            <w:tcW w:type="dxa" w:w="1267"/>
          </w:tcPr>
          <w:p>
            <w:pPr>
              <w:jc w:val="right"/>
            </w:pPr>
            <w:r/>
            <w:r>
              <w:rPr>
                <w:sz w:val="15"/>
              </w:rPr>
              <w:t>$19,571</w:t>
            </w:r>
          </w:p>
        </w:tc>
        <w:tc>
          <w:tcPr>
            <w:tcW w:type="dxa" w:w="2304"/>
          </w:tcPr>
          <w:p>
            <w:r/>
            <w:r>
              <w:rPr>
                <w:sz w:val="15"/>
              </w:rPr>
              <w:t>Raised BMI; Age</w:t>
            </w:r>
          </w:p>
        </w:tc>
      </w:tr>
      <w:tr>
        <w:tc>
          <w:tcPr>
            <w:tcW w:type="dxa" w:w="893"/>
            <w:shd w:fill="EEF4F8"/>
          </w:tcPr>
          <w:p>
            <w:r/>
            <w:r>
              <w:rPr>
                <w:sz w:val="15"/>
              </w:rPr>
              <w:t>HW1784</w:t>
            </w:r>
          </w:p>
        </w:tc>
        <w:tc>
          <w:tcPr>
            <w:tcW w:type="dxa" w:w="547"/>
            <w:shd w:fill="EEF4F8"/>
          </w:tcPr>
          <w:p>
            <w:pPr>
              <w:jc w:val="right"/>
            </w:pPr>
            <w:r/>
            <w:r>
              <w:rPr>
                <w:sz w:val="15"/>
              </w:rPr>
              <w:t>31</w:t>
            </w:r>
          </w:p>
        </w:tc>
        <w:tc>
          <w:tcPr>
            <w:tcW w:type="dxa" w:w="605"/>
            <w:shd w:fill="EEF4F8"/>
          </w:tcPr>
          <w:p>
            <w:pPr>
              <w:jc w:val="right"/>
            </w:pPr>
            <w:r/>
            <w:r>
              <w:rPr>
                <w:sz w:val="15"/>
              </w:rPr>
              <w:t>27.7</w:t>
            </w:r>
          </w:p>
        </w:tc>
        <w:tc>
          <w:tcPr>
            <w:tcW w:type="dxa" w:w="792"/>
            <w:shd w:fill="EEF4F8"/>
          </w:tcPr>
          <w:p>
            <w:r/>
            <w:r>
              <w:rPr>
                <w:sz w:val="15"/>
              </w:rPr>
              <w:t>yes</w:t>
            </w:r>
          </w:p>
        </w:tc>
        <w:tc>
          <w:tcPr>
            <w:tcW w:type="dxa" w:w="1123"/>
            <w:shd w:fill="EEF4F8"/>
          </w:tcPr>
          <w:p>
            <w:pPr>
              <w:jc w:val="right"/>
            </w:pPr>
            <w:r/>
            <w:r>
              <w:rPr>
                <w:sz w:val="15"/>
              </w:rPr>
              <w:t>42.5</w:t>
            </w:r>
          </w:p>
        </w:tc>
        <w:tc>
          <w:tcPr>
            <w:tcW w:type="dxa" w:w="979"/>
            <w:shd w:fill="EEF4F8"/>
          </w:tcPr>
          <w:p>
            <w:r/>
            <w:r>
              <w:rPr>
                <w:sz w:val="15"/>
              </w:rPr>
              <w:t>Medium</w:t>
            </w:r>
          </w:p>
        </w:tc>
        <w:tc>
          <w:tcPr>
            <w:tcW w:type="dxa" w:w="1267"/>
            <w:shd w:fill="EEF4F8"/>
          </w:tcPr>
          <w:p>
            <w:pPr>
              <w:jc w:val="right"/>
            </w:pPr>
            <w:r/>
            <w:r>
              <w:rPr>
                <w:sz w:val="15"/>
              </w:rPr>
              <w:t>$18,708</w:t>
            </w:r>
          </w:p>
        </w:tc>
        <w:tc>
          <w:tcPr>
            <w:tcW w:type="dxa" w:w="1267"/>
            <w:shd w:fill="EEF4F8"/>
          </w:tcPr>
          <w:p>
            <w:pPr>
              <w:jc w:val="right"/>
            </w:pPr>
            <w:r/>
            <w:r>
              <w:rPr>
                <w:sz w:val="15"/>
              </w:rPr>
              <w:t>$23,010</w:t>
            </w:r>
          </w:p>
        </w:tc>
        <w:tc>
          <w:tcPr>
            <w:tcW w:type="dxa" w:w="2304"/>
            <w:shd w:fill="EEF4F8"/>
          </w:tcPr>
          <w:p>
            <w:r/>
            <w:r>
              <w:rPr>
                <w:sz w:val="15"/>
              </w:rPr>
              <w:t>Smoker; Raised BMI; Dependents</w:t>
            </w:r>
          </w:p>
        </w:tc>
      </w:tr>
      <w:tr>
        <w:tc>
          <w:tcPr>
            <w:tcW w:type="dxa" w:w="893"/>
          </w:tcPr>
          <w:p>
            <w:r/>
            <w:r>
              <w:rPr>
                <w:sz w:val="15"/>
              </w:rPr>
              <w:t>HW1182</w:t>
            </w:r>
          </w:p>
        </w:tc>
        <w:tc>
          <w:tcPr>
            <w:tcW w:type="dxa" w:w="547"/>
          </w:tcPr>
          <w:p>
            <w:pPr>
              <w:jc w:val="right"/>
            </w:pPr>
            <w:r/>
            <w:r>
              <w:rPr>
                <w:sz w:val="15"/>
              </w:rPr>
              <w:t>58</w:t>
            </w:r>
          </w:p>
        </w:tc>
        <w:tc>
          <w:tcPr>
            <w:tcW w:type="dxa" w:w="605"/>
          </w:tcPr>
          <w:p>
            <w:pPr>
              <w:jc w:val="right"/>
            </w:pPr>
            <w:r/>
            <w:r>
              <w:rPr>
                <w:sz w:val="15"/>
              </w:rPr>
              <w:t>40.9</w:t>
            </w:r>
          </w:p>
        </w:tc>
        <w:tc>
          <w:tcPr>
            <w:tcW w:type="dxa" w:w="792"/>
          </w:tcPr>
          <w:p>
            <w:r/>
            <w:r>
              <w:rPr>
                <w:sz w:val="15"/>
              </w:rPr>
              <w:t>yes</w:t>
            </w:r>
          </w:p>
        </w:tc>
        <w:tc>
          <w:tcPr>
            <w:tcW w:type="dxa" w:w="1123"/>
          </w:tcPr>
          <w:p>
            <w:pPr>
              <w:jc w:val="right"/>
            </w:pPr>
            <w:r/>
            <w:r>
              <w:rPr>
                <w:sz w:val="15"/>
              </w:rPr>
              <w:t>10.8</w:t>
            </w:r>
          </w:p>
        </w:tc>
        <w:tc>
          <w:tcPr>
            <w:tcW w:type="dxa" w:w="979"/>
          </w:tcPr>
          <w:p>
            <w:r/>
            <w:r>
              <w:rPr>
                <w:sz w:val="15"/>
              </w:rPr>
              <w:t>High</w:t>
            </w:r>
          </w:p>
        </w:tc>
        <w:tc>
          <w:tcPr>
            <w:tcW w:type="dxa" w:w="1267"/>
          </w:tcPr>
          <w:p>
            <w:pPr>
              <w:jc w:val="right"/>
            </w:pPr>
            <w:r/>
            <w:r>
              <w:rPr>
                <w:sz w:val="15"/>
              </w:rPr>
              <w:t>$56,709</w:t>
            </w:r>
          </w:p>
        </w:tc>
        <w:tc>
          <w:tcPr>
            <w:tcW w:type="dxa" w:w="1267"/>
          </w:tcPr>
          <w:p>
            <w:pPr>
              <w:jc w:val="right"/>
            </w:pPr>
            <w:r/>
            <w:r>
              <w:rPr>
                <w:sz w:val="15"/>
              </w:rPr>
              <w:t>$69,752</w:t>
            </w:r>
          </w:p>
        </w:tc>
        <w:tc>
          <w:tcPr>
            <w:tcW w:type="dxa" w:w="2304"/>
          </w:tcPr>
          <w:p>
            <w:r/>
            <w:r>
              <w:rPr>
                <w:sz w:val="15"/>
              </w:rPr>
              <w:t>Smoker; High BMI; Age</w:t>
            </w:r>
          </w:p>
        </w:tc>
      </w:tr>
    </w:tbl>
    <w:p>
      <w:pPr>
        <w:spacing w:after="80"/>
      </w:pPr>
    </w:p>
    <w:p>
      <w:pPr>
        <w:pStyle w:val="Heading2"/>
      </w:pPr>
      <w:r>
        <w:t>Worked examples of the explanation layer</w:t>
      </w:r>
    </w:p>
    <w:p>
      <w:pPr>
        <w:spacing w:after="40"/>
      </w:pPr>
      <w:r>
        <w:rPr>
          <w:b/>
          <w:color w:val="1B4965"/>
          <w:sz w:val="19"/>
        </w:rPr>
        <w:t xml:space="preserve">Lowest premium — HW1048: </w:t>
      </w:r>
      <w:r>
        <w:rPr>
          <w:b w:val="0"/>
          <w:sz w:val="19"/>
        </w:rPr>
        <w:t>19y female, BMI 16.0, smoker=no, 2 dependents, exercise 6/wk · Health Score 94.4 · tier Low · premium $7,237</w:t>
      </w:r>
    </w:p>
    <w:p>
      <w:pPr>
        <w:spacing w:after="180"/>
      </w:pPr>
      <w:r>
        <w:rPr>
          <w:b w:val="0"/>
          <w:i/>
          <w:color w:val="5A6A78"/>
          <w:sz w:val="19"/>
        </w:rPr>
        <w:t>“The premium is low overall. The main factor pushing it up is that this customer has a BMI of 16.0 (underweight range), but with a strong Health Score (94/100) they still sit in the Low risk tier.”</w:t>
      </w:r>
    </w:p>
    <w:p>
      <w:pPr>
        <w:spacing w:after="40"/>
      </w:pPr>
      <w:r>
        <w:rPr>
          <w:b/>
          <w:color w:val="1B4965"/>
          <w:sz w:val="19"/>
        </w:rPr>
        <w:t xml:space="preserve">Median premium — HW1341: </w:t>
      </w:r>
      <w:r>
        <w:rPr>
          <w:b w:val="0"/>
          <w:sz w:val="19"/>
        </w:rPr>
        <w:t>54y female, BMI 31.0, smoker=no, 1 dependents, exercise 4/wk · Health Score 70.4 · tier Medium · premium $19,554</w:t>
      </w:r>
    </w:p>
    <w:p>
      <w:pPr>
        <w:spacing w:after="180"/>
      </w:pPr>
      <w:r>
        <w:rPr>
          <w:b w:val="0"/>
          <w:i/>
          <w:color w:val="5A6A78"/>
          <w:sz w:val="19"/>
        </w:rPr>
        <w:t>“The premium is moderate mainly because this customer has a BMI of 31.0 (obese range), is 54 years old. Combined with a strong Health Score (70/100), this places them in the Medium risk tier.”</w:t>
      </w:r>
    </w:p>
    <w:p>
      <w:pPr>
        <w:spacing w:after="40"/>
      </w:pPr>
      <w:r>
        <w:rPr>
          <w:b/>
          <w:color w:val="1B4965"/>
          <w:sz w:val="19"/>
        </w:rPr>
        <w:t xml:space="preserve">Highest premium — HW1182: </w:t>
      </w:r>
      <w:r>
        <w:rPr>
          <w:b w:val="0"/>
          <w:sz w:val="19"/>
        </w:rPr>
        <w:t>58y female, BMI 40.9, smoker=yes, 3 dependents, exercise 2/wk · Health Score 10.8 · tier High · premium $69,752</w:t>
      </w:r>
    </w:p>
    <w:p>
      <w:pPr>
        <w:spacing w:after="180"/>
      </w:pPr>
      <w:r>
        <w:rPr>
          <w:b w:val="0"/>
          <w:i/>
          <w:color w:val="5A6A78"/>
          <w:sz w:val="19"/>
        </w:rPr>
        <w:t>“The premium is moderate mainly because this customer is a smoker, has a BMI of 40.9 (obese range), is 58 years old. Combined with a low Health Score (11/100), this places them in the Medium risk tier.”</w:t>
      </w:r>
    </w:p>
    <w:p>
      <w:pPr>
        <w:pStyle w:val="Heading2"/>
      </w:pPr>
      <w:r>
        <w:t>16.1 Data validation and quality control</w:t>
      </w:r>
    </w:p>
    <w:tbl>
      <w:tblPr>
        <w:tblStyle w:val="TableGrid"/>
        <w:tblW w:type="auto" w:w="0"/>
        <w:jc w:val="center"/>
        <w:tblLook w:firstColumn="1" w:firstRow="1" w:lastColumn="0" w:lastRow="0" w:noHBand="0" w:noVBand="1" w:val="04A0"/>
      </w:tblPr>
      <w:tblGrid>
        <w:gridCol w:w="4824"/>
        <w:gridCol w:w="4824"/>
      </w:tblGrid>
      <w:tr>
        <w:tc>
          <w:tcPr>
            <w:tcW w:type="dxa" w:w="4608"/>
            <w:shd w:fill="1B4965"/>
          </w:tcPr>
          <w:p>
            <w:r/>
            <w:r>
              <w:rPr>
                <w:b/>
                <w:color w:val="FFFFFF"/>
                <w:sz w:val="17"/>
              </w:rPr>
              <w:t>Validation check</w:t>
            </w:r>
          </w:p>
        </w:tc>
        <w:tc>
          <w:tcPr>
            <w:tcW w:type="dxa" w:w="2016"/>
            <w:shd w:fill="1B4965"/>
          </w:tcPr>
          <w:p>
            <w:r/>
            <w:r>
              <w:rPr>
                <w:b/>
                <w:color w:val="FFFFFF"/>
                <w:sz w:val="17"/>
              </w:rPr>
              <w:t>Result</w:t>
            </w:r>
          </w:p>
        </w:tc>
      </w:tr>
      <w:tr>
        <w:tc>
          <w:tcPr>
            <w:tcW w:type="dxa" w:w="4608"/>
          </w:tcPr>
          <w:p>
            <w:r/>
            <w:r>
              <w:rPr>
                <w:sz w:val="17"/>
              </w:rPr>
              <w:t>Duplicate rows remaining</w:t>
            </w:r>
          </w:p>
        </w:tc>
        <w:tc>
          <w:tcPr>
            <w:tcW w:type="dxa" w:w="2016"/>
          </w:tcPr>
          <w:p>
            <w:pPr>
              <w:jc w:val="right"/>
            </w:pPr>
            <w:r/>
            <w:r>
              <w:rPr>
                <w:sz w:val="17"/>
              </w:rPr>
              <w:t>0</w:t>
            </w:r>
          </w:p>
        </w:tc>
      </w:tr>
      <w:tr>
        <w:tc>
          <w:tcPr>
            <w:tcW w:type="dxa" w:w="4608"/>
            <w:shd w:fill="EEF4F8"/>
          </w:tcPr>
          <w:p>
            <w:r/>
            <w:r>
              <w:rPr>
                <w:sz w:val="17"/>
              </w:rPr>
              <w:t>Missing values remaining</w:t>
            </w:r>
          </w:p>
        </w:tc>
        <w:tc>
          <w:tcPr>
            <w:tcW w:type="dxa" w:w="2016"/>
            <w:shd w:fill="EEF4F8"/>
          </w:tcPr>
          <w:p>
            <w:pPr>
              <w:jc w:val="right"/>
            </w:pPr>
            <w:r/>
            <w:r>
              <w:rPr>
                <w:sz w:val="17"/>
              </w:rPr>
              <w:t>0</w:t>
            </w:r>
          </w:p>
        </w:tc>
      </w:tr>
      <w:tr>
        <w:tc>
          <w:tcPr>
            <w:tcW w:type="dxa" w:w="4608"/>
          </w:tcPr>
          <w:p>
            <w:r/>
            <w:r>
              <w:rPr>
                <w:sz w:val="17"/>
              </w:rPr>
              <w:t>Customers without a Health Score</w:t>
            </w:r>
          </w:p>
        </w:tc>
        <w:tc>
          <w:tcPr>
            <w:tcW w:type="dxa" w:w="2016"/>
          </w:tcPr>
          <w:p>
            <w:pPr>
              <w:jc w:val="right"/>
            </w:pPr>
            <w:r/>
            <w:r>
              <w:rPr>
                <w:sz w:val="17"/>
              </w:rPr>
              <w:t>0</w:t>
            </w:r>
          </w:p>
        </w:tc>
      </w:tr>
      <w:tr>
        <w:tc>
          <w:tcPr>
            <w:tcW w:type="dxa" w:w="4608"/>
            <w:shd w:fill="EEF4F8"/>
          </w:tcPr>
          <w:p>
            <w:r/>
            <w:r>
              <w:rPr>
                <w:sz w:val="17"/>
              </w:rPr>
              <w:t>Customers without a premium</w:t>
            </w:r>
          </w:p>
        </w:tc>
        <w:tc>
          <w:tcPr>
            <w:tcW w:type="dxa" w:w="2016"/>
            <w:shd w:fill="EEF4F8"/>
          </w:tcPr>
          <w:p>
            <w:pPr>
              <w:jc w:val="right"/>
            </w:pPr>
            <w:r/>
            <w:r>
              <w:rPr>
                <w:sz w:val="17"/>
              </w:rPr>
              <w:t>0</w:t>
            </w:r>
          </w:p>
        </w:tc>
      </w:tr>
      <w:tr>
        <w:tc>
          <w:tcPr>
            <w:tcW w:type="dxa" w:w="4608"/>
          </w:tcPr>
          <w:p>
            <w:r/>
            <w:r>
              <w:rPr>
                <w:sz w:val="17"/>
              </w:rPr>
              <w:t>Non-finite premiums (NaN / inf)</w:t>
            </w:r>
          </w:p>
        </w:tc>
        <w:tc>
          <w:tcPr>
            <w:tcW w:type="dxa" w:w="2016"/>
          </w:tcPr>
          <w:p>
            <w:pPr>
              <w:jc w:val="right"/>
            </w:pPr>
            <w:r/>
            <w:r>
              <w:rPr>
                <w:sz w:val="17"/>
              </w:rPr>
              <w:t>0</w:t>
            </w:r>
          </w:p>
        </w:tc>
      </w:tr>
      <w:tr>
        <w:tc>
          <w:tcPr>
            <w:tcW w:type="dxa" w:w="4608"/>
            <w:shd w:fill="EEF4F8"/>
          </w:tcPr>
          <w:p>
            <w:r/>
            <w:r>
              <w:rPr>
                <w:sz w:val="17"/>
              </w:rPr>
              <w:t>Non-positive premiums</w:t>
            </w:r>
          </w:p>
        </w:tc>
        <w:tc>
          <w:tcPr>
            <w:tcW w:type="dxa" w:w="2016"/>
            <w:shd w:fill="EEF4F8"/>
          </w:tcPr>
          <w:p>
            <w:pPr>
              <w:jc w:val="right"/>
            </w:pPr>
            <w:r/>
            <w:r>
              <w:rPr>
                <w:sz w:val="17"/>
              </w:rPr>
              <w:t>0</w:t>
            </w:r>
          </w:p>
        </w:tc>
      </w:tr>
      <w:tr>
        <w:tc>
          <w:tcPr>
            <w:tcW w:type="dxa" w:w="4608"/>
          </w:tcPr>
          <w:p>
            <w:r/>
            <w:r>
              <w:rPr>
                <w:sz w:val="17"/>
              </w:rPr>
              <w:t>Customers without an explanation</w:t>
            </w:r>
          </w:p>
        </w:tc>
        <w:tc>
          <w:tcPr>
            <w:tcW w:type="dxa" w:w="2016"/>
          </w:tcPr>
          <w:p>
            <w:pPr>
              <w:jc w:val="right"/>
            </w:pPr>
            <w:r/>
            <w:r>
              <w:rPr>
                <w:sz w:val="17"/>
              </w:rPr>
              <w:t>0</w:t>
            </w:r>
          </w:p>
        </w:tc>
      </w:tr>
      <w:tr>
        <w:tc>
          <w:tcPr>
            <w:tcW w:type="dxa" w:w="4608"/>
            <w:shd w:fill="EEF4F8"/>
          </w:tcPr>
          <w:p>
            <w:r/>
            <w:r>
              <w:rPr>
                <w:sz w:val="17"/>
              </w:rPr>
              <w:t>Distinct explanations</w:t>
            </w:r>
          </w:p>
        </w:tc>
        <w:tc>
          <w:tcPr>
            <w:tcW w:type="dxa" w:w="2016"/>
            <w:shd w:fill="EEF4F8"/>
          </w:tcPr>
          <w:p>
            <w:pPr>
              <w:jc w:val="right"/>
            </w:pPr>
            <w:r/>
            <w:r>
              <w:rPr>
                <w:sz w:val="17"/>
              </w:rPr>
              <w:t>1,096</w:t>
            </w:r>
          </w:p>
        </w:tc>
      </w:tr>
      <w:tr>
        <w:tc>
          <w:tcPr>
            <w:tcW w:type="dxa" w:w="4608"/>
          </w:tcPr>
          <w:p>
            <w:r/>
            <w:r>
              <w:rPr>
                <w:sz w:val="17"/>
              </w:rPr>
              <w:t>Final dataset dimensions</w:t>
            </w:r>
          </w:p>
        </w:tc>
        <w:tc>
          <w:tcPr>
            <w:tcW w:type="dxa" w:w="2016"/>
          </w:tcPr>
          <w:p>
            <w:pPr>
              <w:jc w:val="right"/>
            </w:pPr>
            <w:r/>
            <w:r>
              <w:rPr>
                <w:sz w:val="17"/>
              </w:rPr>
              <w:t>1,200 rows × 32 columns</w:t>
            </w:r>
          </w:p>
        </w:tc>
      </w:tr>
      <w:tr>
        <w:tc>
          <w:tcPr>
            <w:tcW w:type="dxa" w:w="4608"/>
            <w:shd w:fill="EEF4F8"/>
          </w:tcPr>
          <w:p>
            <w:r/>
            <w:r>
              <w:rPr>
                <w:sz w:val="17"/>
              </w:rPr>
              <w:t>Premiums flagged as unusual (&gt;3 SD residual)</w:t>
            </w:r>
          </w:p>
        </w:tc>
        <w:tc>
          <w:tcPr>
            <w:tcW w:type="dxa" w:w="2016"/>
            <w:shd w:fill="EEF4F8"/>
          </w:tcPr>
          <w:p>
            <w:pPr>
              <w:jc w:val="right"/>
            </w:pPr>
            <w:r/>
            <w:r>
              <w:rPr>
                <w:sz w:val="17"/>
              </w:rPr>
              <w:t>43</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fill="FFF4E6"/>
          </w:tcPr>
          <w:p>
            <w:r/>
            <w:r>
              <w:rPr>
                <w:b/>
                <w:color w:val="1B4965"/>
                <w:sz w:val="20"/>
              </w:rPr>
              <w:t xml:space="preserve">On the flagged premiums:  </w:t>
            </w:r>
            <w:r>
              <w:rPr>
                <w:sz w:val="20"/>
              </w:rPr>
              <w:t>43 customers carry a prediction residual beyond three standard deviations. These are overwhelmingly Stage-1 tier misclassifications rather than arithmetic faults — the customer was priced by the wrong tier's model. They are reported rather than suppressed, because they are exactly the population that the confidence-based routing safeguard in §19 is designed to intercept.</w:t>
            </w:r>
          </w:p>
        </w:tc>
      </w:tr>
    </w:tbl>
    <w:p>
      <w:pPr>
        <w:spacing w:after="80"/>
      </w:pPr>
    </w:p>
    <w:p>
      <w:r>
        <w:br w:type="page"/>
      </w:r>
    </w:p>
    <w:p>
      <w:pPr>
        <w:pStyle w:val="Heading1"/>
      </w:pPr>
      <w:r>
        <w:t>17. Business Insights and the Board Memo</w:t>
      </w:r>
    </w:p>
    <w:p>
      <w:pPr>
        <w:pStyle w:val="Heading2"/>
      </w:pPr>
      <w:r>
        <w:t>17.1 Translating the model into insurance practice</w:t>
      </w:r>
    </w:p>
    <w:p>
      <w:pPr>
        <w:pStyle w:val="ListBullet"/>
        <w:spacing w:after="60"/>
      </w:pPr>
      <w:r>
        <w:rPr>
          <w:sz w:val="21"/>
        </w:rPr>
        <w:t>Smoking is the single most valuable underwriting question on the form. It is worth $26,142 of annual premium — more than any other field — and a false declaration moves the price more than any other input. Verification of smoker status is therefore the highest-value control in the process.</w:t>
      </w:r>
    </w:p>
    <w:p>
      <w:pPr>
        <w:pStyle w:val="ListBullet"/>
        <w:spacing w:after="60"/>
      </w:pPr>
      <w:r>
        <w:rPr>
          <w:sz w:val="21"/>
        </w:rPr>
        <w:t>BMI and age are the secondary levers, and their roles differ by segment: age separates customers within the low-risk population, while BMI does most of the work in distinguishing cost inside the high-risk population.</w:t>
      </w:r>
    </w:p>
    <w:p>
      <w:pPr>
        <w:pStyle w:val="ListBullet"/>
        <w:spacing w:after="60"/>
      </w:pPr>
      <w:r>
        <w:rPr>
          <w:sz w:val="21"/>
        </w:rPr>
        <w:t>Geography should not be a rating factor. Region's effect is under $155 against BMI's $3,778, and it fails significance testing (ANOVA p = 0.647).</w:t>
      </w:r>
    </w:p>
    <w:p>
      <w:pPr>
        <w:pStyle w:val="ListBullet"/>
        <w:spacing w:after="60"/>
      </w:pPr>
      <w:r>
        <w:rPr>
          <w:sz w:val="21"/>
        </w:rPr>
        <w:t>The Health Score supports risk segmentation and, just as importantly, gives the business a customer-facing way to explain a premium in terms a person can act on.</w:t>
      </w:r>
    </w:p>
    <w:p>
      <w:pPr>
        <w:pStyle w:val="ListBullet"/>
        <w:spacing w:after="60"/>
      </w:pPr>
      <w:r>
        <w:rPr>
          <w:sz w:val="21"/>
        </w:rPr>
        <w:t>Underwriting effort should be proportionate: low-risk applicants are cheap and highly predictable (MAE $378) and can be auto-quoted, while high-risk applicants carry five times the absolute uncertainty (MAE $1,919) and warrant fuller data capture and review.</w:t>
      </w:r>
    </w:p>
    <w:tbl>
      <w:tblPr>
        <w:tblStyle w:val="TableGrid"/>
        <w:tblW w:type="auto" w:w="0"/>
        <w:tblLook w:firstColumn="1" w:firstRow="1" w:lastColumn="0" w:lastRow="0" w:noHBand="0" w:noVBand="1" w:val="04A0"/>
      </w:tblPr>
      <w:tblGrid>
        <w:gridCol w:w="9648"/>
      </w:tblGrid>
      <w:tr>
        <w:tc>
          <w:tcPr>
            <w:tcW w:type="dxa" w:w="9648"/>
            <w:shd w:fill="EAF4FA"/>
          </w:tcPr>
          <w:p>
            <w:r/>
            <w:r>
              <w:rPr>
                <w:b/>
                <w:color w:val="1B4965"/>
                <w:sz w:val="20"/>
              </w:rPr>
              <w:t xml:space="preserve">Observed association → Model prediction → Business interpretation:  </w:t>
            </w:r>
            <w:r>
              <w:rPr>
                <w:sz w:val="20"/>
              </w:rPr>
              <w:t>The model observes that smokers in this portfolio cost 2.38× more; it predicts that a new smoker will likely cost more; the business interprets this as grounds for differential pricing. Each arrow is a separate inferential step, and none of them establishes that smoking caused any individual customer's claims. External medical evidence supports a causal link, but this dataset alone does not demonstrate one.</w:t>
            </w:r>
          </w:p>
        </w:tc>
      </w:tr>
    </w:tbl>
    <w:p>
      <w:pPr>
        <w:spacing w:after="80"/>
      </w:pPr>
    </w:p>
    <w:p>
      <w:pPr>
        <w:pStyle w:val="Heading2"/>
      </w:pPr>
      <w:r>
        <w:t>17.2 Memorandum to the Board</w:t>
      </w:r>
    </w:p>
    <w:tbl>
      <w:tblPr>
        <w:tblStyle w:val="TableGrid"/>
        <w:tblW w:type="auto" w:w="0"/>
        <w:tblLook w:firstColumn="1" w:firstRow="1" w:lastColumn="0" w:lastRow="0" w:noHBand="0" w:noVBand="1" w:val="04A0"/>
      </w:tblPr>
      <w:tblGrid>
        <w:gridCol w:w="9648"/>
      </w:tblGrid>
      <w:tr>
        <w:tc>
          <w:tcPr>
            <w:tcW w:type="dxa" w:w="9648"/>
            <w:shd w:fill="F7FAFC"/>
          </w:tcPr>
          <w:p>
            <w:r/>
            <w:r>
              <w:rPr>
                <w:b/>
                <w:color w:val="1B4965"/>
                <w:sz w:val="22"/>
              </w:rPr>
              <w:t>MEMORANDUM</w:t>
            </w:r>
          </w:p>
          <w:p>
            <w:pPr>
              <w:spacing w:after="20"/>
            </w:pPr>
            <w:r>
              <w:rPr>
                <w:b w:val="0"/>
                <w:sz w:val="19"/>
              </w:rPr>
              <w:t>To: The Board, HealthWise Insurance</w:t>
            </w:r>
          </w:p>
          <w:p>
            <w:pPr>
              <w:spacing w:after="20"/>
            </w:pPr>
            <w:r>
              <w:rPr>
                <w:b w:val="0"/>
                <w:sz w:val="19"/>
              </w:rPr>
              <w:t>From: Sparsh Saraya, Data Science</w:t>
            </w:r>
          </w:p>
          <w:p>
            <w:pPr>
              <w:spacing w:after="20"/>
            </w:pPr>
            <w:r>
              <w:rPr>
                <w:b w:val="0"/>
                <w:sz w:val="19"/>
              </w:rPr>
              <w:t>Date: 29 September 2026</w:t>
            </w:r>
          </w:p>
          <w:p>
            <w:pPr>
              <w:spacing w:after="160"/>
            </w:pPr>
            <w:r>
              <w:rPr>
                <w:b/>
                <w:sz w:val="19"/>
              </w:rPr>
              <w:t>Subject: Smart Premium Engine — evaluation and deployment recommendation</w:t>
            </w:r>
          </w:p>
          <w:p>
            <w:pPr>
              <w:spacing w:after="120"/>
            </w:pPr>
            <w:r>
              <w:rPr>
                <w:b w:val="0"/>
                <w:sz w:val="19"/>
              </w:rPr>
              <w:t>The two-stage engine works, and by a wide margin. Tested on 240 customers the models had never seen, our current flat-pricing approach misprices by an average of $6,167 per policy — roughly 28% of the average annual charge. The two-stage engine, which first sorts a customer into a risk tier and then prices them with a model built for that tier, misprices by $1,535. That is a 75% reduction in pricing error, with explanatory power rising from 0.715 to 0.919. These figures include the engine's own tier-assignment mistakes, so they reflect what the business would actually experience, not a best case.</w:t>
            </w:r>
          </w:p>
          <w:p>
            <w:pPr>
              <w:spacing w:after="120"/>
            </w:pPr>
            <w:r>
              <w:rPr>
                <w:b w:val="0"/>
                <w:sz w:val="19"/>
              </w:rPr>
              <w:t>Three attributes drive cost: smoking, age and BMI. Smoking is by far the largest — smokers cost $34,511 a year against $14,474 for non-smokers, a 2.38× difference that is statistically overwhelming (p &lt; 0.001). Age and BMI follow, and their relative importance shifts by tier. Equally important is what does not drive cost. We dropped zodiac sign, favourite colour, lucky number, preferred contact and marketing opt-in, all confirmed insignificant and independently discarded by automated feature selection. Zodiac sign was the notable trap: it showed a 17.5% spread in average charge, but across twelve categories of roughly 100 customers each that spread is indistinguishable from noise (p = 0.82). Geography also does not matter, so we do not recommend it as a rating factor.</w:t>
            </w:r>
          </w:p>
          <w:p>
            <w:pPr>
              <w:spacing w:after="120"/>
            </w:pPr>
            <w:r>
              <w:rPr>
                <w:b/>
                <w:sz w:val="19"/>
              </w:rPr>
              <w:t>Recommendation: deploy, in a controlled rollout, with one safeguard.</w:t>
            </w:r>
          </w:p>
          <w:p>
            <w:pPr>
              <w:spacing w:after="120"/>
            </w:pPr>
            <w:r>
              <w:rPr>
                <w:b w:val="0"/>
                <w:sz w:val="19"/>
              </w:rPr>
              <w:t>The risk that governs deployment is tier misclassification. The engine assigns the correct tier 94.6% of the time, but the customers it gets wrong are expensive: they carry an average pricing error of $14,377 against $799 for correctly classified ones — an 18× difference. The danger is concentrated, not averaged. We therefore recommend that customers near a tier boundary, or any applicant the classifier is not confident about, be routed to manual underwriting rather than auto-quoted, and that the engine run in parallel with current pricing for one quarter before full cutover.</w:t>
            </w:r>
          </w:p>
          <w:p>
            <w:pPr>
              <w:spacing w:after="40"/>
            </w:pPr>
            <w:r>
              <w:rPr>
                <w:b w:val="0"/>
                <w:sz w:val="19"/>
              </w:rPr>
              <w:t>Two further limitations the Board should weigh: the model is trained on 1,200 historical records, so it will need retraining as the portfolio shifts; and it identifies associations, not causes — it shows that smokers in our book cost more, which is sufficient for pricing, but is not a clinical finding.</w:t>
            </w:r>
          </w:p>
        </w:tc>
      </w:tr>
    </w:tbl>
    <w:p/>
    <w:p>
      <w:r>
        <w:br w:type="page"/>
      </w:r>
    </w:p>
    <w:p>
      <w:pPr>
        <w:pStyle w:val="Heading1"/>
      </w:pPr>
      <w:r>
        <w:t>18. Fairness, Bias and Model Limitations</w:t>
      </w:r>
    </w:p>
    <w:p>
      <w:pPr>
        <w:pStyle w:val="Heading2"/>
      </w:pPr>
      <w:r>
        <w:t>18.1 Does the engine serve every group equally well?</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181"/>
            <w:shd w:fill="1B4965"/>
          </w:tcPr>
          <w:p>
            <w:r/>
            <w:r>
              <w:rPr>
                <w:b/>
                <w:color w:val="FFFFFF"/>
                <w:sz w:val="15"/>
              </w:rPr>
              <w:t>Attribute</w:t>
            </w:r>
          </w:p>
        </w:tc>
        <w:tc>
          <w:tcPr>
            <w:tcW w:type="dxa" w:w="1008"/>
            <w:shd w:fill="1B4965"/>
          </w:tcPr>
          <w:p>
            <w:r/>
            <w:r>
              <w:rPr>
                <w:b/>
                <w:color w:val="FFFFFF"/>
                <w:sz w:val="15"/>
              </w:rPr>
              <w:t>Group</w:t>
            </w:r>
          </w:p>
        </w:tc>
        <w:tc>
          <w:tcPr>
            <w:tcW w:type="dxa" w:w="648"/>
            <w:shd w:fill="1B4965"/>
          </w:tcPr>
          <w:p>
            <w:r/>
            <w:r>
              <w:rPr>
                <w:b/>
                <w:color w:val="FFFFFF"/>
                <w:sz w:val="15"/>
              </w:rPr>
              <w:t>n</w:t>
            </w:r>
          </w:p>
        </w:tc>
        <w:tc>
          <w:tcPr>
            <w:tcW w:type="dxa" w:w="1267"/>
            <w:shd w:fill="1B4965"/>
          </w:tcPr>
          <w:p>
            <w:r/>
            <w:r>
              <w:rPr>
                <w:b/>
                <w:color w:val="FFFFFF"/>
                <w:sz w:val="15"/>
              </w:rPr>
              <w:t>Mean actual</w:t>
            </w:r>
          </w:p>
        </w:tc>
        <w:tc>
          <w:tcPr>
            <w:tcW w:type="dxa" w:w="1325"/>
            <w:shd w:fill="1B4965"/>
          </w:tcPr>
          <w:p>
            <w:r/>
            <w:r>
              <w:rPr>
                <w:b/>
                <w:color w:val="FFFFFF"/>
                <w:sz w:val="15"/>
              </w:rPr>
              <w:t>Mean premium</w:t>
            </w:r>
          </w:p>
        </w:tc>
        <w:tc>
          <w:tcPr>
            <w:tcW w:type="dxa" w:w="1123"/>
            <w:shd w:fill="1B4965"/>
          </w:tcPr>
          <w:p>
            <w:r/>
            <w:r>
              <w:rPr>
                <w:b/>
                <w:color w:val="FFFFFF"/>
                <w:sz w:val="15"/>
              </w:rPr>
              <w:t>MAE</w:t>
            </w:r>
          </w:p>
        </w:tc>
        <w:tc>
          <w:tcPr>
            <w:tcW w:type="dxa" w:w="1368"/>
            <w:shd w:fill="1B4965"/>
          </w:tcPr>
          <w:p>
            <w:r/>
            <w:r>
              <w:rPr>
                <w:b/>
                <w:color w:val="FFFFFF"/>
                <w:sz w:val="15"/>
              </w:rPr>
              <w:t>MAE % of mean</w:t>
            </w:r>
          </w:p>
        </w:tc>
        <w:tc>
          <w:tcPr>
            <w:tcW w:type="dxa" w:w="1152"/>
            <w:shd w:fill="1B4965"/>
          </w:tcPr>
          <w:p>
            <w:r/>
            <w:r>
              <w:rPr>
                <w:b/>
                <w:color w:val="FFFFFF"/>
                <w:sz w:val="15"/>
              </w:rPr>
              <w:t>Mean bias</w:t>
            </w:r>
          </w:p>
        </w:tc>
      </w:tr>
      <w:tr>
        <w:tc>
          <w:tcPr>
            <w:tcW w:type="dxa" w:w="1181"/>
          </w:tcPr>
          <w:p>
            <w:r/>
            <w:r>
              <w:rPr>
                <w:sz w:val="15"/>
              </w:rPr>
              <w:t>sex</w:t>
            </w:r>
          </w:p>
        </w:tc>
        <w:tc>
          <w:tcPr>
            <w:tcW w:type="dxa" w:w="1008"/>
          </w:tcPr>
          <w:p>
            <w:r/>
            <w:r>
              <w:rPr>
                <w:sz w:val="15"/>
              </w:rPr>
              <w:t>female</w:t>
            </w:r>
          </w:p>
        </w:tc>
        <w:tc>
          <w:tcPr>
            <w:tcW w:type="dxa" w:w="648"/>
          </w:tcPr>
          <w:p>
            <w:pPr>
              <w:jc w:val="right"/>
            </w:pPr>
            <w:r/>
            <w:r>
              <w:rPr>
                <w:sz w:val="15"/>
              </w:rPr>
              <w:t>597</w:t>
            </w:r>
          </w:p>
        </w:tc>
        <w:tc>
          <w:tcPr>
            <w:tcW w:type="dxa" w:w="1267"/>
          </w:tcPr>
          <w:p>
            <w:pPr>
              <w:jc w:val="right"/>
            </w:pPr>
            <w:r/>
            <w:r>
              <w:rPr>
                <w:sz w:val="15"/>
              </w:rPr>
              <w:t>$21,646</w:t>
            </w:r>
          </w:p>
        </w:tc>
        <w:tc>
          <w:tcPr>
            <w:tcW w:type="dxa" w:w="1325"/>
          </w:tcPr>
          <w:p>
            <w:pPr>
              <w:jc w:val="right"/>
            </w:pPr>
            <w:r/>
            <w:r>
              <w:rPr>
                <w:sz w:val="15"/>
              </w:rPr>
              <w:t>$26,195</w:t>
            </w:r>
          </w:p>
        </w:tc>
        <w:tc>
          <w:tcPr>
            <w:tcW w:type="dxa" w:w="1123"/>
          </w:tcPr>
          <w:p>
            <w:pPr>
              <w:jc w:val="right"/>
            </w:pPr>
            <w:r/>
            <w:r>
              <w:rPr>
                <w:sz w:val="15"/>
              </w:rPr>
              <w:t>$2,000</w:t>
            </w:r>
          </w:p>
        </w:tc>
        <w:tc>
          <w:tcPr>
            <w:tcW w:type="dxa" w:w="1368"/>
          </w:tcPr>
          <w:p>
            <w:pPr>
              <w:jc w:val="right"/>
            </w:pPr>
            <w:r/>
            <w:r>
              <w:rPr>
                <w:sz w:val="15"/>
              </w:rPr>
              <w:t>9.2%</w:t>
            </w:r>
          </w:p>
        </w:tc>
        <w:tc>
          <w:tcPr>
            <w:tcW w:type="dxa" w:w="1152"/>
          </w:tcPr>
          <w:p>
            <w:pPr>
              <w:jc w:val="right"/>
            </w:pPr>
            <w:r/>
            <w:r>
              <w:rPr>
                <w:sz w:val="15"/>
              </w:rPr>
              <w:t>-349</w:t>
            </w:r>
          </w:p>
        </w:tc>
      </w:tr>
      <w:tr>
        <w:tc>
          <w:tcPr>
            <w:tcW w:type="dxa" w:w="1181"/>
            <w:shd w:fill="EEF4F8"/>
          </w:tcPr>
          <w:p>
            <w:r/>
            <w:r>
              <w:rPr>
                <w:sz w:val="15"/>
              </w:rPr>
              <w:t>sex</w:t>
            </w:r>
          </w:p>
        </w:tc>
        <w:tc>
          <w:tcPr>
            <w:tcW w:type="dxa" w:w="1008"/>
            <w:shd w:fill="EEF4F8"/>
          </w:tcPr>
          <w:p>
            <w:r/>
            <w:r>
              <w:rPr>
                <w:sz w:val="15"/>
              </w:rPr>
              <w:t>male</w:t>
            </w:r>
          </w:p>
        </w:tc>
        <w:tc>
          <w:tcPr>
            <w:tcW w:type="dxa" w:w="648"/>
            <w:shd w:fill="EEF4F8"/>
          </w:tcPr>
          <w:p>
            <w:pPr>
              <w:jc w:val="right"/>
            </w:pPr>
            <w:r/>
            <w:r>
              <w:rPr>
                <w:sz w:val="15"/>
              </w:rPr>
              <w:t>603</w:t>
            </w:r>
          </w:p>
        </w:tc>
        <w:tc>
          <w:tcPr>
            <w:tcW w:type="dxa" w:w="1267"/>
            <w:shd w:fill="EEF4F8"/>
          </w:tcPr>
          <w:p>
            <w:pPr>
              <w:jc w:val="right"/>
            </w:pPr>
            <w:r/>
            <w:r>
              <w:rPr>
                <w:sz w:val="15"/>
              </w:rPr>
              <w:t>$19,468</w:t>
            </w:r>
          </w:p>
        </w:tc>
        <w:tc>
          <w:tcPr>
            <w:tcW w:type="dxa" w:w="1325"/>
            <w:shd w:fill="EEF4F8"/>
          </w:tcPr>
          <w:p>
            <w:pPr>
              <w:jc w:val="right"/>
            </w:pPr>
            <w:r/>
            <w:r>
              <w:rPr>
                <w:sz w:val="15"/>
              </w:rPr>
              <w:t>$23,872</w:t>
            </w:r>
          </w:p>
        </w:tc>
        <w:tc>
          <w:tcPr>
            <w:tcW w:type="dxa" w:w="1123"/>
            <w:shd w:fill="EEF4F8"/>
          </w:tcPr>
          <w:p>
            <w:pPr>
              <w:jc w:val="right"/>
            </w:pPr>
            <w:r/>
            <w:r>
              <w:rPr>
                <w:sz w:val="15"/>
              </w:rPr>
              <w:t>$1,818</w:t>
            </w:r>
          </w:p>
        </w:tc>
        <w:tc>
          <w:tcPr>
            <w:tcW w:type="dxa" w:w="1368"/>
            <w:shd w:fill="EEF4F8"/>
          </w:tcPr>
          <w:p>
            <w:pPr>
              <w:jc w:val="right"/>
            </w:pPr>
            <w:r/>
            <w:r>
              <w:rPr>
                <w:sz w:val="15"/>
              </w:rPr>
              <w:t>9.3%</w:t>
            </w:r>
          </w:p>
        </w:tc>
        <w:tc>
          <w:tcPr>
            <w:tcW w:type="dxa" w:w="1152"/>
            <w:shd w:fill="EEF4F8"/>
          </w:tcPr>
          <w:p>
            <w:pPr>
              <w:jc w:val="right"/>
            </w:pPr>
            <w:r/>
            <w:r>
              <w:rPr>
                <w:sz w:val="15"/>
              </w:rPr>
              <w:t>-60</w:t>
            </w:r>
          </w:p>
        </w:tc>
      </w:tr>
      <w:tr>
        <w:tc>
          <w:tcPr>
            <w:tcW w:type="dxa" w:w="1181"/>
          </w:tcPr>
          <w:p>
            <w:r/>
            <w:r>
              <w:rPr>
                <w:sz w:val="15"/>
              </w:rPr>
              <w:t>region</w:t>
            </w:r>
          </w:p>
        </w:tc>
        <w:tc>
          <w:tcPr>
            <w:tcW w:type="dxa" w:w="1008"/>
          </w:tcPr>
          <w:p>
            <w:r/>
            <w:r>
              <w:rPr>
                <w:sz w:val="15"/>
              </w:rPr>
              <w:t>east</w:t>
            </w:r>
          </w:p>
        </w:tc>
        <w:tc>
          <w:tcPr>
            <w:tcW w:type="dxa" w:w="648"/>
          </w:tcPr>
          <w:p>
            <w:pPr>
              <w:jc w:val="right"/>
            </w:pPr>
            <w:r/>
            <w:r>
              <w:rPr>
                <w:sz w:val="15"/>
              </w:rPr>
              <w:t>302</w:t>
            </w:r>
          </w:p>
        </w:tc>
        <w:tc>
          <w:tcPr>
            <w:tcW w:type="dxa" w:w="1267"/>
          </w:tcPr>
          <w:p>
            <w:pPr>
              <w:jc w:val="right"/>
            </w:pPr>
            <w:r/>
            <w:r>
              <w:rPr>
                <w:sz w:val="15"/>
              </w:rPr>
              <w:t>$20,058</w:t>
            </w:r>
          </w:p>
        </w:tc>
        <w:tc>
          <w:tcPr>
            <w:tcW w:type="dxa" w:w="1325"/>
          </w:tcPr>
          <w:p>
            <w:pPr>
              <w:jc w:val="right"/>
            </w:pPr>
            <w:r/>
            <w:r>
              <w:rPr>
                <w:sz w:val="15"/>
              </w:rPr>
              <w:t>$24,785</w:t>
            </w:r>
          </w:p>
        </w:tc>
        <w:tc>
          <w:tcPr>
            <w:tcW w:type="dxa" w:w="1123"/>
          </w:tcPr>
          <w:p>
            <w:pPr>
              <w:jc w:val="right"/>
            </w:pPr>
            <w:r/>
            <w:r>
              <w:rPr>
                <w:sz w:val="15"/>
              </w:rPr>
              <w:t>$1,495</w:t>
            </w:r>
          </w:p>
        </w:tc>
        <w:tc>
          <w:tcPr>
            <w:tcW w:type="dxa" w:w="1368"/>
          </w:tcPr>
          <w:p>
            <w:pPr>
              <w:jc w:val="right"/>
            </w:pPr>
            <w:r/>
            <w:r>
              <w:rPr>
                <w:sz w:val="15"/>
              </w:rPr>
              <w:t>7.5%</w:t>
            </w:r>
          </w:p>
        </w:tc>
        <w:tc>
          <w:tcPr>
            <w:tcW w:type="dxa" w:w="1152"/>
          </w:tcPr>
          <w:p>
            <w:pPr>
              <w:jc w:val="right"/>
            </w:pPr>
            <w:r/>
            <w:r>
              <w:rPr>
                <w:sz w:val="15"/>
              </w:rPr>
              <w:t>+93</w:t>
            </w:r>
          </w:p>
        </w:tc>
      </w:tr>
      <w:tr>
        <w:tc>
          <w:tcPr>
            <w:tcW w:type="dxa" w:w="1181"/>
            <w:shd w:fill="EEF4F8"/>
          </w:tcPr>
          <w:p>
            <w:r/>
            <w:r>
              <w:rPr>
                <w:sz w:val="15"/>
              </w:rPr>
              <w:t>region</w:t>
            </w:r>
          </w:p>
        </w:tc>
        <w:tc>
          <w:tcPr>
            <w:tcW w:type="dxa" w:w="1008"/>
            <w:shd w:fill="EEF4F8"/>
          </w:tcPr>
          <w:p>
            <w:r/>
            <w:r>
              <w:rPr>
                <w:sz w:val="15"/>
              </w:rPr>
              <w:t>north</w:t>
            </w:r>
          </w:p>
        </w:tc>
        <w:tc>
          <w:tcPr>
            <w:tcW w:type="dxa" w:w="648"/>
            <w:shd w:fill="EEF4F8"/>
          </w:tcPr>
          <w:p>
            <w:pPr>
              <w:jc w:val="right"/>
            </w:pPr>
            <w:r/>
            <w:r>
              <w:rPr>
                <w:sz w:val="15"/>
              </w:rPr>
              <w:t>305</w:t>
            </w:r>
          </w:p>
        </w:tc>
        <w:tc>
          <w:tcPr>
            <w:tcW w:type="dxa" w:w="1267"/>
            <w:shd w:fill="EEF4F8"/>
          </w:tcPr>
          <w:p>
            <w:pPr>
              <w:jc w:val="right"/>
            </w:pPr>
            <w:r/>
            <w:r>
              <w:rPr>
                <w:sz w:val="15"/>
              </w:rPr>
              <w:t>$20,342</w:t>
            </w:r>
          </w:p>
        </w:tc>
        <w:tc>
          <w:tcPr>
            <w:tcW w:type="dxa" w:w="1325"/>
            <w:shd w:fill="EEF4F8"/>
          </w:tcPr>
          <w:p>
            <w:pPr>
              <w:jc w:val="right"/>
            </w:pPr>
            <w:r/>
            <w:r>
              <w:rPr>
                <w:sz w:val="15"/>
              </w:rPr>
              <w:t>$24,422</w:t>
            </w:r>
          </w:p>
        </w:tc>
        <w:tc>
          <w:tcPr>
            <w:tcW w:type="dxa" w:w="1123"/>
            <w:shd w:fill="EEF4F8"/>
          </w:tcPr>
          <w:p>
            <w:pPr>
              <w:jc w:val="right"/>
            </w:pPr>
            <w:r/>
            <w:r>
              <w:rPr>
                <w:sz w:val="15"/>
              </w:rPr>
              <w:t>$1,942</w:t>
            </w:r>
          </w:p>
        </w:tc>
        <w:tc>
          <w:tcPr>
            <w:tcW w:type="dxa" w:w="1368"/>
            <w:shd w:fill="EEF4F8"/>
          </w:tcPr>
          <w:p>
            <w:pPr>
              <w:jc w:val="right"/>
            </w:pPr>
            <w:r/>
            <w:r>
              <w:rPr>
                <w:sz w:val="15"/>
              </w:rPr>
              <w:t>9.6%</w:t>
            </w:r>
          </w:p>
        </w:tc>
        <w:tc>
          <w:tcPr>
            <w:tcW w:type="dxa" w:w="1152"/>
            <w:shd w:fill="EEF4F8"/>
          </w:tcPr>
          <w:p>
            <w:pPr>
              <w:jc w:val="right"/>
            </w:pPr>
            <w:r/>
            <w:r>
              <w:rPr>
                <w:sz w:val="15"/>
              </w:rPr>
              <w:t>-487</w:t>
            </w:r>
          </w:p>
        </w:tc>
      </w:tr>
      <w:tr>
        <w:tc>
          <w:tcPr>
            <w:tcW w:type="dxa" w:w="1181"/>
          </w:tcPr>
          <w:p>
            <w:r/>
            <w:r>
              <w:rPr>
                <w:sz w:val="15"/>
              </w:rPr>
              <w:t>region</w:t>
            </w:r>
          </w:p>
        </w:tc>
        <w:tc>
          <w:tcPr>
            <w:tcW w:type="dxa" w:w="1008"/>
          </w:tcPr>
          <w:p>
            <w:r/>
            <w:r>
              <w:rPr>
                <w:sz w:val="15"/>
              </w:rPr>
              <w:t>south</w:t>
            </w:r>
          </w:p>
        </w:tc>
        <w:tc>
          <w:tcPr>
            <w:tcW w:type="dxa" w:w="648"/>
          </w:tcPr>
          <w:p>
            <w:pPr>
              <w:jc w:val="right"/>
            </w:pPr>
            <w:r/>
            <w:r>
              <w:rPr>
                <w:sz w:val="15"/>
              </w:rPr>
              <w:t>299</w:t>
            </w:r>
          </w:p>
        </w:tc>
        <w:tc>
          <w:tcPr>
            <w:tcW w:type="dxa" w:w="1267"/>
          </w:tcPr>
          <w:p>
            <w:pPr>
              <w:jc w:val="right"/>
            </w:pPr>
            <w:r/>
            <w:r>
              <w:rPr>
                <w:sz w:val="15"/>
              </w:rPr>
              <w:t>$20,373</w:t>
            </w:r>
          </w:p>
        </w:tc>
        <w:tc>
          <w:tcPr>
            <w:tcW w:type="dxa" w:w="1325"/>
          </w:tcPr>
          <w:p>
            <w:pPr>
              <w:jc w:val="right"/>
            </w:pPr>
            <w:r/>
            <w:r>
              <w:rPr>
                <w:sz w:val="15"/>
              </w:rPr>
              <w:t>$24,545</w:t>
            </w:r>
          </w:p>
        </w:tc>
        <w:tc>
          <w:tcPr>
            <w:tcW w:type="dxa" w:w="1123"/>
          </w:tcPr>
          <w:p>
            <w:pPr>
              <w:jc w:val="right"/>
            </w:pPr>
            <w:r/>
            <w:r>
              <w:rPr>
                <w:sz w:val="15"/>
              </w:rPr>
              <w:t>$2,035</w:t>
            </w:r>
          </w:p>
        </w:tc>
        <w:tc>
          <w:tcPr>
            <w:tcW w:type="dxa" w:w="1368"/>
          </w:tcPr>
          <w:p>
            <w:pPr>
              <w:jc w:val="right"/>
            </w:pPr>
            <w:r/>
            <w:r>
              <w:rPr>
                <w:sz w:val="15"/>
              </w:rPr>
              <w:t>10.0%</w:t>
            </w:r>
          </w:p>
        </w:tc>
        <w:tc>
          <w:tcPr>
            <w:tcW w:type="dxa" w:w="1152"/>
          </w:tcPr>
          <w:p>
            <w:pPr>
              <w:jc w:val="right"/>
            </w:pPr>
            <w:r/>
            <w:r>
              <w:rPr>
                <w:sz w:val="15"/>
              </w:rPr>
              <w:t>-418</w:t>
            </w:r>
          </w:p>
        </w:tc>
      </w:tr>
      <w:tr>
        <w:tc>
          <w:tcPr>
            <w:tcW w:type="dxa" w:w="1181"/>
            <w:shd w:fill="EEF4F8"/>
          </w:tcPr>
          <w:p>
            <w:r/>
            <w:r>
              <w:rPr>
                <w:sz w:val="15"/>
              </w:rPr>
              <w:t>region</w:t>
            </w:r>
          </w:p>
        </w:tc>
        <w:tc>
          <w:tcPr>
            <w:tcW w:type="dxa" w:w="1008"/>
            <w:shd w:fill="EEF4F8"/>
          </w:tcPr>
          <w:p>
            <w:r/>
            <w:r>
              <w:rPr>
                <w:sz w:val="15"/>
              </w:rPr>
              <w:t>west</w:t>
            </w:r>
          </w:p>
        </w:tc>
        <w:tc>
          <w:tcPr>
            <w:tcW w:type="dxa" w:w="648"/>
            <w:shd w:fill="EEF4F8"/>
          </w:tcPr>
          <w:p>
            <w:pPr>
              <w:jc w:val="right"/>
            </w:pPr>
            <w:r/>
            <w:r>
              <w:rPr>
                <w:sz w:val="15"/>
              </w:rPr>
              <w:t>294</w:t>
            </w:r>
          </w:p>
        </w:tc>
        <w:tc>
          <w:tcPr>
            <w:tcW w:type="dxa" w:w="1267"/>
            <w:shd w:fill="EEF4F8"/>
          </w:tcPr>
          <w:p>
            <w:pPr>
              <w:jc w:val="right"/>
            </w:pPr>
            <w:r/>
            <w:r>
              <w:rPr>
                <w:sz w:val="15"/>
              </w:rPr>
              <w:t>$21,458</w:t>
            </w:r>
          </w:p>
        </w:tc>
        <w:tc>
          <w:tcPr>
            <w:tcW w:type="dxa" w:w="1325"/>
            <w:shd w:fill="EEF4F8"/>
          </w:tcPr>
          <w:p>
            <w:pPr>
              <w:jc w:val="right"/>
            </w:pPr>
            <w:r/>
            <w:r>
              <w:rPr>
                <w:sz w:val="15"/>
              </w:rPr>
              <w:t>$26,396</w:t>
            </w:r>
          </w:p>
        </w:tc>
        <w:tc>
          <w:tcPr>
            <w:tcW w:type="dxa" w:w="1123"/>
            <w:shd w:fill="EEF4F8"/>
          </w:tcPr>
          <w:p>
            <w:pPr>
              <w:jc w:val="right"/>
            </w:pPr>
            <w:r/>
            <w:r>
              <w:rPr>
                <w:sz w:val="15"/>
              </w:rPr>
              <w:t>$2,168</w:t>
            </w:r>
          </w:p>
        </w:tc>
        <w:tc>
          <w:tcPr>
            <w:tcW w:type="dxa" w:w="1368"/>
            <w:shd w:fill="EEF4F8"/>
          </w:tcPr>
          <w:p>
            <w:pPr>
              <w:jc w:val="right"/>
            </w:pPr>
            <w:r/>
            <w:r>
              <w:rPr>
                <w:sz w:val="15"/>
              </w:rPr>
              <w:t>10.1%</w:t>
            </w:r>
          </w:p>
        </w:tc>
        <w:tc>
          <w:tcPr>
            <w:tcW w:type="dxa" w:w="1152"/>
            <w:shd w:fill="EEF4F8"/>
          </w:tcPr>
          <w:p>
            <w:pPr>
              <w:jc w:val="right"/>
            </w:pPr>
            <w:r/>
            <w:r>
              <w:rPr>
                <w:sz w:val="15"/>
              </w:rPr>
              <w:t>+2</w:t>
            </w:r>
          </w:p>
        </w:tc>
      </w:tr>
      <w:tr>
        <w:tc>
          <w:tcPr>
            <w:tcW w:type="dxa" w:w="1181"/>
          </w:tcPr>
          <w:p>
            <w:r/>
            <w:r>
              <w:rPr>
                <w:sz w:val="15"/>
              </w:rPr>
              <w:t>age_group</w:t>
            </w:r>
          </w:p>
        </w:tc>
        <w:tc>
          <w:tcPr>
            <w:tcW w:type="dxa" w:w="1008"/>
          </w:tcPr>
          <w:p>
            <w:r/>
            <w:r>
              <w:rPr>
                <w:sz w:val="15"/>
              </w:rPr>
              <w:t>18-29</w:t>
            </w:r>
          </w:p>
        </w:tc>
        <w:tc>
          <w:tcPr>
            <w:tcW w:type="dxa" w:w="648"/>
          </w:tcPr>
          <w:p>
            <w:pPr>
              <w:jc w:val="right"/>
            </w:pPr>
            <w:r/>
            <w:r>
              <w:rPr>
                <w:sz w:val="15"/>
              </w:rPr>
              <w:t>308</w:t>
            </w:r>
          </w:p>
        </w:tc>
        <w:tc>
          <w:tcPr>
            <w:tcW w:type="dxa" w:w="1267"/>
          </w:tcPr>
          <w:p>
            <w:pPr>
              <w:jc w:val="right"/>
            </w:pPr>
            <w:r/>
            <w:r>
              <w:rPr>
                <w:sz w:val="15"/>
              </w:rPr>
              <w:t>$14,123</w:t>
            </w:r>
          </w:p>
        </w:tc>
        <w:tc>
          <w:tcPr>
            <w:tcW w:type="dxa" w:w="1325"/>
          </w:tcPr>
          <w:p>
            <w:pPr>
              <w:jc w:val="right"/>
            </w:pPr>
            <w:r/>
            <w:r>
              <w:rPr>
                <w:sz w:val="15"/>
              </w:rPr>
              <w:t>$16,942</w:t>
            </w:r>
          </w:p>
        </w:tc>
        <w:tc>
          <w:tcPr>
            <w:tcW w:type="dxa" w:w="1123"/>
          </w:tcPr>
          <w:p>
            <w:pPr>
              <w:jc w:val="right"/>
            </w:pPr>
            <w:r/>
            <w:r>
              <w:rPr>
                <w:sz w:val="15"/>
              </w:rPr>
              <w:t>$1,458</w:t>
            </w:r>
          </w:p>
        </w:tc>
        <w:tc>
          <w:tcPr>
            <w:tcW w:type="dxa" w:w="1368"/>
          </w:tcPr>
          <w:p>
            <w:pPr>
              <w:jc w:val="right"/>
            </w:pPr>
            <w:r/>
            <w:r>
              <w:rPr>
                <w:sz w:val="15"/>
              </w:rPr>
              <w:t>10.3%</w:t>
            </w:r>
          </w:p>
        </w:tc>
        <w:tc>
          <w:tcPr>
            <w:tcW w:type="dxa" w:w="1152"/>
          </w:tcPr>
          <w:p>
            <w:pPr>
              <w:jc w:val="right"/>
            </w:pPr>
            <w:r/>
            <w:r>
              <w:rPr>
                <w:sz w:val="15"/>
              </w:rPr>
              <w:t>-349</w:t>
            </w:r>
          </w:p>
        </w:tc>
      </w:tr>
      <w:tr>
        <w:tc>
          <w:tcPr>
            <w:tcW w:type="dxa" w:w="1181"/>
            <w:shd w:fill="EEF4F8"/>
          </w:tcPr>
          <w:p>
            <w:r/>
            <w:r>
              <w:rPr>
                <w:sz w:val="15"/>
              </w:rPr>
              <w:t>age_group</w:t>
            </w:r>
          </w:p>
        </w:tc>
        <w:tc>
          <w:tcPr>
            <w:tcW w:type="dxa" w:w="1008"/>
            <w:shd w:fill="EEF4F8"/>
          </w:tcPr>
          <w:p>
            <w:r/>
            <w:r>
              <w:rPr>
                <w:sz w:val="15"/>
              </w:rPr>
              <w:t>30-39</w:t>
            </w:r>
          </w:p>
        </w:tc>
        <w:tc>
          <w:tcPr>
            <w:tcW w:type="dxa" w:w="648"/>
            <w:shd w:fill="EEF4F8"/>
          </w:tcPr>
          <w:p>
            <w:pPr>
              <w:jc w:val="right"/>
            </w:pPr>
            <w:r/>
            <w:r>
              <w:rPr>
                <w:sz w:val="15"/>
              </w:rPr>
              <w:t>222</w:t>
            </w:r>
          </w:p>
        </w:tc>
        <w:tc>
          <w:tcPr>
            <w:tcW w:type="dxa" w:w="1267"/>
            <w:shd w:fill="EEF4F8"/>
          </w:tcPr>
          <w:p>
            <w:pPr>
              <w:jc w:val="right"/>
            </w:pPr>
            <w:r/>
            <w:r>
              <w:rPr>
                <w:sz w:val="15"/>
              </w:rPr>
              <w:t>$16,811</w:t>
            </w:r>
          </w:p>
        </w:tc>
        <w:tc>
          <w:tcPr>
            <w:tcW w:type="dxa" w:w="1325"/>
            <w:shd w:fill="EEF4F8"/>
          </w:tcPr>
          <w:p>
            <w:pPr>
              <w:jc w:val="right"/>
            </w:pPr>
            <w:r/>
            <w:r>
              <w:rPr>
                <w:sz w:val="15"/>
              </w:rPr>
              <w:t>$20,535</w:t>
            </w:r>
          </w:p>
        </w:tc>
        <w:tc>
          <w:tcPr>
            <w:tcW w:type="dxa" w:w="1123"/>
            <w:shd w:fill="EEF4F8"/>
          </w:tcPr>
          <w:p>
            <w:pPr>
              <w:jc w:val="right"/>
            </w:pPr>
            <w:r/>
            <w:r>
              <w:rPr>
                <w:sz w:val="15"/>
              </w:rPr>
              <w:t>$1,332</w:t>
            </w:r>
          </w:p>
        </w:tc>
        <w:tc>
          <w:tcPr>
            <w:tcW w:type="dxa" w:w="1368"/>
            <w:shd w:fill="EEF4F8"/>
          </w:tcPr>
          <w:p>
            <w:pPr>
              <w:jc w:val="right"/>
            </w:pPr>
            <w:r/>
            <w:r>
              <w:rPr>
                <w:sz w:val="15"/>
              </w:rPr>
              <w:t>7.9%</w:t>
            </w:r>
          </w:p>
        </w:tc>
        <w:tc>
          <w:tcPr>
            <w:tcW w:type="dxa" w:w="1152"/>
            <w:shd w:fill="EEF4F8"/>
          </w:tcPr>
          <w:p>
            <w:pPr>
              <w:jc w:val="right"/>
            </w:pPr>
            <w:r/>
            <w:r>
              <w:rPr>
                <w:sz w:val="15"/>
              </w:rPr>
              <w:t>-116</w:t>
            </w:r>
          </w:p>
        </w:tc>
      </w:tr>
      <w:tr>
        <w:tc>
          <w:tcPr>
            <w:tcW w:type="dxa" w:w="1181"/>
          </w:tcPr>
          <w:p>
            <w:r/>
            <w:r>
              <w:rPr>
                <w:sz w:val="15"/>
              </w:rPr>
              <w:t>age_group</w:t>
            </w:r>
          </w:p>
        </w:tc>
        <w:tc>
          <w:tcPr>
            <w:tcW w:type="dxa" w:w="1008"/>
          </w:tcPr>
          <w:p>
            <w:r/>
            <w:r>
              <w:rPr>
                <w:sz w:val="15"/>
              </w:rPr>
              <w:t>40-49</w:t>
            </w:r>
          </w:p>
        </w:tc>
        <w:tc>
          <w:tcPr>
            <w:tcW w:type="dxa" w:w="648"/>
          </w:tcPr>
          <w:p>
            <w:pPr>
              <w:jc w:val="right"/>
            </w:pPr>
            <w:r/>
            <w:r>
              <w:rPr>
                <w:sz w:val="15"/>
              </w:rPr>
              <w:t>276</w:t>
            </w:r>
          </w:p>
        </w:tc>
        <w:tc>
          <w:tcPr>
            <w:tcW w:type="dxa" w:w="1267"/>
          </w:tcPr>
          <w:p>
            <w:pPr>
              <w:jc w:val="right"/>
            </w:pPr>
            <w:r/>
            <w:r>
              <w:rPr>
                <w:sz w:val="15"/>
              </w:rPr>
              <w:t>$20,339</w:t>
            </w:r>
          </w:p>
        </w:tc>
        <w:tc>
          <w:tcPr>
            <w:tcW w:type="dxa" w:w="1325"/>
          </w:tcPr>
          <w:p>
            <w:pPr>
              <w:jc w:val="right"/>
            </w:pPr>
            <w:r/>
            <w:r>
              <w:rPr>
                <w:sz w:val="15"/>
              </w:rPr>
              <w:t>$25,034</w:t>
            </w:r>
          </w:p>
        </w:tc>
        <w:tc>
          <w:tcPr>
            <w:tcW w:type="dxa" w:w="1123"/>
          </w:tcPr>
          <w:p>
            <w:pPr>
              <w:jc w:val="right"/>
            </w:pPr>
            <w:r/>
            <w:r>
              <w:rPr>
                <w:sz w:val="15"/>
              </w:rPr>
              <w:t>$1,784</w:t>
            </w:r>
          </w:p>
        </w:tc>
        <w:tc>
          <w:tcPr>
            <w:tcW w:type="dxa" w:w="1368"/>
          </w:tcPr>
          <w:p>
            <w:pPr>
              <w:jc w:val="right"/>
            </w:pPr>
            <w:r/>
            <w:r>
              <w:rPr>
                <w:sz w:val="15"/>
              </w:rPr>
              <w:t>8.8%</w:t>
            </w:r>
          </w:p>
        </w:tc>
        <w:tc>
          <w:tcPr>
            <w:tcW w:type="dxa" w:w="1152"/>
          </w:tcPr>
          <w:p>
            <w:pPr>
              <w:jc w:val="right"/>
            </w:pPr>
            <w:r/>
            <w:r>
              <w:rPr>
                <w:sz w:val="15"/>
              </w:rPr>
              <w:t>+13</w:t>
            </w:r>
          </w:p>
        </w:tc>
      </w:tr>
      <w:tr>
        <w:tc>
          <w:tcPr>
            <w:tcW w:type="dxa" w:w="1181"/>
            <w:shd w:fill="EEF4F8"/>
          </w:tcPr>
          <w:p>
            <w:r/>
            <w:r>
              <w:rPr>
                <w:sz w:val="15"/>
              </w:rPr>
              <w:t>age_group</w:t>
            </w:r>
          </w:p>
        </w:tc>
        <w:tc>
          <w:tcPr>
            <w:tcW w:type="dxa" w:w="1008"/>
            <w:shd w:fill="EEF4F8"/>
          </w:tcPr>
          <w:p>
            <w:r/>
            <w:r>
              <w:rPr>
                <w:sz w:val="15"/>
              </w:rPr>
              <w:t>50-64</w:t>
            </w:r>
          </w:p>
        </w:tc>
        <w:tc>
          <w:tcPr>
            <w:tcW w:type="dxa" w:w="648"/>
            <w:shd w:fill="EEF4F8"/>
          </w:tcPr>
          <w:p>
            <w:pPr>
              <w:jc w:val="right"/>
            </w:pPr>
            <w:r/>
            <w:r>
              <w:rPr>
                <w:sz w:val="15"/>
              </w:rPr>
              <w:t>394</w:t>
            </w:r>
          </w:p>
        </w:tc>
        <w:tc>
          <w:tcPr>
            <w:tcW w:type="dxa" w:w="1267"/>
            <w:shd w:fill="EEF4F8"/>
          </w:tcPr>
          <w:p>
            <w:pPr>
              <w:jc w:val="right"/>
            </w:pPr>
            <w:r/>
            <w:r>
              <w:rPr>
                <w:sz w:val="15"/>
              </w:rPr>
              <w:t>$27,834</w:t>
            </w:r>
          </w:p>
        </w:tc>
        <w:tc>
          <w:tcPr>
            <w:tcW w:type="dxa" w:w="1325"/>
            <w:shd w:fill="EEF4F8"/>
          </w:tcPr>
          <w:p>
            <w:pPr>
              <w:jc w:val="right"/>
            </w:pPr>
            <w:r/>
            <w:r>
              <w:rPr>
                <w:sz w:val="15"/>
              </w:rPr>
              <w:t>$33,875</w:t>
            </w:r>
          </w:p>
        </w:tc>
        <w:tc>
          <w:tcPr>
            <w:tcW w:type="dxa" w:w="1123"/>
            <w:shd w:fill="EEF4F8"/>
          </w:tcPr>
          <w:p>
            <w:pPr>
              <w:jc w:val="right"/>
            </w:pPr>
            <w:r/>
            <w:r>
              <w:rPr>
                <w:sz w:val="15"/>
              </w:rPr>
              <w:t>$2,672</w:t>
            </w:r>
          </w:p>
        </w:tc>
        <w:tc>
          <w:tcPr>
            <w:tcW w:type="dxa" w:w="1368"/>
            <w:shd w:fill="EEF4F8"/>
          </w:tcPr>
          <w:p>
            <w:pPr>
              <w:jc w:val="right"/>
            </w:pPr>
            <w:r/>
            <w:r>
              <w:rPr>
                <w:sz w:val="15"/>
              </w:rPr>
              <w:t>9.6%</w:t>
            </w:r>
          </w:p>
        </w:tc>
        <w:tc>
          <w:tcPr>
            <w:tcW w:type="dxa" w:w="1152"/>
            <w:shd w:fill="EEF4F8"/>
          </w:tcPr>
          <w:p>
            <w:pPr>
              <w:jc w:val="right"/>
            </w:pPr>
            <w:r/>
            <w:r>
              <w:rPr>
                <w:sz w:val="15"/>
              </w:rPr>
              <w:t>-293</w:t>
            </w:r>
          </w:p>
        </w:tc>
      </w:tr>
    </w:tbl>
    <w:p>
      <w:pPr>
        <w:spacing w:after="80"/>
      </w:pPr>
    </w:p>
    <w:p>
      <w:pPr>
        <w:spacing w:after="120"/>
      </w:pPr>
      <w:r>
        <w:rPr>
          <w:b w:val="0"/>
          <w:i w:val="0"/>
          <w:sz w:val="21"/>
        </w:rPr>
        <w:t>The metric that matters most for fairness is relative error parity — whether the model is equally accurate for each group relative to that group's own cost level. It sits in a narrow band across sex, region and age group, and mean bias is small in both directions. No demographic group is systematically mispriced relative to its own cost.</w:t>
      </w:r>
    </w:p>
    <w:p>
      <w:pPr>
        <w:pStyle w:val="Heading2"/>
      </w:pPr>
      <w:r>
        <w:t>18.2 Four things that are easy to conflate</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fill="1B4965"/>
          </w:tcPr>
          <w:p>
            <w:r/>
            <w:r>
              <w:rPr>
                <w:b/>
                <w:color w:val="FFFFFF"/>
                <w:sz w:val="17"/>
              </w:rPr>
              <w:t>Concept</w:t>
            </w:r>
          </w:p>
        </w:tc>
        <w:tc>
          <w:tcPr>
            <w:tcW w:type="dxa" w:w="1440"/>
            <w:shd w:fill="1B4965"/>
          </w:tcPr>
          <w:p>
            <w:r/>
            <w:r>
              <w:rPr>
                <w:b/>
                <w:color w:val="FFFFFF"/>
                <w:sz w:val="17"/>
              </w:rPr>
              <w:t>Present here?</w:t>
            </w:r>
          </w:p>
        </w:tc>
        <w:tc>
          <w:tcPr>
            <w:tcW w:type="dxa" w:w="4608"/>
            <w:shd w:fill="1B4965"/>
          </w:tcPr>
          <w:p>
            <w:r/>
            <w:r>
              <w:rPr>
                <w:b/>
                <w:color w:val="FFFFFF"/>
                <w:sz w:val="17"/>
              </w:rPr>
              <w:t>Assessment</w:t>
            </w:r>
          </w:p>
        </w:tc>
      </w:tr>
      <w:tr>
        <w:tc>
          <w:tcPr>
            <w:tcW w:type="dxa" w:w="2304"/>
          </w:tcPr>
          <w:p>
            <w:r/>
            <w:r>
              <w:rPr>
                <w:sz w:val="17"/>
              </w:rPr>
              <w:t>Data imbalance</w:t>
            </w:r>
          </w:p>
        </w:tc>
        <w:tc>
          <w:tcPr>
            <w:tcW w:type="dxa" w:w="1440"/>
          </w:tcPr>
          <w:p>
            <w:r/>
            <w:r>
              <w:rPr>
                <w:sz w:val="17"/>
              </w:rPr>
              <w:t>Yes</w:t>
            </w:r>
          </w:p>
        </w:tc>
        <w:tc>
          <w:tcPr>
            <w:tcW w:type="dxa" w:w="4608"/>
          </w:tcPr>
          <w:p>
            <w:r/>
            <w:r>
              <w:rPr>
                <w:sz w:val="17"/>
              </w:rPr>
              <w:t>30% smokers; tiers 26/52/22. Real, handled by stratification.</w:t>
            </w:r>
          </w:p>
        </w:tc>
      </w:tr>
      <w:tr>
        <w:tc>
          <w:tcPr>
            <w:tcW w:type="dxa" w:w="2304"/>
            <w:shd w:fill="EEF4F8"/>
          </w:tcPr>
          <w:p>
            <w:r/>
            <w:r>
              <w:rPr>
                <w:sz w:val="17"/>
              </w:rPr>
              <w:t>Statistical association</w:t>
            </w:r>
          </w:p>
        </w:tc>
        <w:tc>
          <w:tcPr>
            <w:tcW w:type="dxa" w:w="1440"/>
            <w:shd w:fill="EEF4F8"/>
          </w:tcPr>
          <w:p>
            <w:r/>
            <w:r>
              <w:rPr>
                <w:sz w:val="17"/>
              </w:rPr>
              <w:t>Yes</w:t>
            </w:r>
          </w:p>
        </w:tc>
        <w:tc>
          <w:tcPr>
            <w:tcW w:type="dxa" w:w="4608"/>
            <w:shd w:fill="EEF4F8"/>
          </w:tcPr>
          <w:p>
            <w:r/>
            <w:r>
              <w:rPr>
                <w:sz w:val="17"/>
              </w:rPr>
              <w:t>Smokers cost 2.38× more. Real and strongly evidenced.</w:t>
            </w:r>
          </w:p>
        </w:tc>
      </w:tr>
      <w:tr>
        <w:tc>
          <w:tcPr>
            <w:tcW w:type="dxa" w:w="2304"/>
          </w:tcPr>
          <w:p>
            <w:r/>
            <w:r>
              <w:rPr>
                <w:sz w:val="17"/>
              </w:rPr>
              <w:t>Predictive performance difference</w:t>
            </w:r>
          </w:p>
        </w:tc>
        <w:tc>
          <w:tcPr>
            <w:tcW w:type="dxa" w:w="1440"/>
          </w:tcPr>
          <w:p>
            <w:r/>
            <w:r>
              <w:rPr>
                <w:sz w:val="17"/>
              </w:rPr>
              <w:t>Minimal</w:t>
            </w:r>
          </w:p>
        </w:tc>
        <w:tc>
          <w:tcPr>
            <w:tcW w:type="dxa" w:w="4608"/>
          </w:tcPr>
          <w:p>
            <w:r/>
            <w:r>
              <w:rPr>
                <w:sz w:val="17"/>
              </w:rPr>
              <w:t>Relative error parity holds across groups.</w:t>
            </w:r>
          </w:p>
        </w:tc>
      </w:tr>
      <w:tr>
        <w:tc>
          <w:tcPr>
            <w:tcW w:type="dxa" w:w="2304"/>
            <w:shd w:fill="EEF4F8"/>
          </w:tcPr>
          <w:p>
            <w:r/>
            <w:r>
              <w:rPr>
                <w:sz w:val="17"/>
              </w:rPr>
              <w:t>Potential fairness concern</w:t>
            </w:r>
          </w:p>
        </w:tc>
        <w:tc>
          <w:tcPr>
            <w:tcW w:type="dxa" w:w="1440"/>
            <w:shd w:fill="EEF4F8"/>
          </w:tcPr>
          <w:p>
            <w:r/>
            <w:r>
              <w:rPr>
                <w:sz w:val="17"/>
              </w:rPr>
              <w:t>Yes — sex</w:t>
            </w:r>
          </w:p>
        </w:tc>
        <w:tc>
          <w:tcPr>
            <w:tcW w:type="dxa" w:w="4608"/>
            <w:shd w:fill="EEF4F8"/>
          </w:tcPr>
          <w:p>
            <w:r/>
            <w:r>
              <w:rPr>
                <w:sz w:val="17"/>
              </w:rPr>
              <w:t>See below; a separate question from the three above.</w:t>
            </w:r>
          </w:p>
        </w:tc>
      </w:tr>
    </w:tbl>
    <w:p>
      <w:pPr>
        <w:spacing w:after="80"/>
      </w:pPr>
    </w:p>
    <w:p>
      <w:pPr>
        <w:pStyle w:val="Heading2"/>
      </w:pPr>
      <w:r>
        <w:t>18.3 The concern about sex</w:t>
      </w:r>
    </w:p>
    <w:tbl>
      <w:tblPr>
        <w:tblStyle w:val="TableGrid"/>
        <w:tblW w:type="auto" w:w="0"/>
        <w:tblLook w:firstColumn="1" w:firstRow="1" w:lastColumn="0" w:lastRow="0" w:noHBand="0" w:noVBand="1" w:val="04A0"/>
      </w:tblPr>
      <w:tblGrid>
        <w:gridCol w:w="9648"/>
      </w:tblGrid>
      <w:tr>
        <w:tc>
          <w:tcPr>
            <w:tcW w:type="dxa" w:w="9648"/>
            <w:shd w:fill="FFF4E6"/>
          </w:tcPr>
          <w:p>
            <w:r/>
            <w:r>
              <w:rPr>
                <w:b/>
                <w:color w:val="1B4965"/>
                <w:sz w:val="20"/>
              </w:rPr>
              <w:t xml:space="preserve">Recommendation — exclude sex from production pricing:  </w:t>
            </w:r>
            <w:r>
              <w:rPr>
                <w:sz w:val="20"/>
              </w:rPr>
              <w:t>sex is statistically significant (ANOVA p = 0.008) but its pricing effect is small — a standardised coefficient of roughly $389 in the High tier against BMI's $3,778. Unlike smoking or BMI it is an immutable characteristic the customer cannot change, and gender-based insurance pricing is prohibited outright in several jurisdictions (notably the EU since 2012). The accuracy cost of removing it is negligible; the legal and reputational exposure of keeping it is not. This is a case where the statistically optimal model and the deployable model should differ, and the decision belongs to the business and its regulator rather than to the modeller.</w:t>
            </w:r>
          </w:p>
        </w:tc>
      </w:tr>
    </w:tbl>
    <w:p>
      <w:pPr>
        <w:spacing w:after="80"/>
      </w:pPr>
    </w:p>
    <w:p>
      <w:pPr>
        <w:spacing w:after="120"/>
      </w:pPr>
      <w:r>
        <w:rPr>
          <w:b w:val="0"/>
          <w:i w:val="0"/>
          <w:sz w:val="21"/>
        </w:rPr>
        <w:t>Age raises a milder version of the same issue — also immutable, but conventionally accepted and actuarially standard in health insurance.</w:t>
      </w:r>
    </w:p>
    <w:p>
      <w:pPr>
        <w:pStyle w:val="Heading2"/>
      </w:pPr>
      <w:r>
        <w:t>18.4 Limitations</w:t>
      </w:r>
    </w:p>
    <w:tbl>
      <w:tblPr>
        <w:tblStyle w:val="TableGrid"/>
        <w:tblW w:type="auto" w:w="0"/>
        <w:jc w:val="center"/>
        <w:tblLook w:firstColumn="1" w:firstRow="1" w:lastColumn="0" w:lastRow="0" w:noHBand="0" w:noVBand="1" w:val="04A0"/>
      </w:tblPr>
      <w:tblGrid>
        <w:gridCol w:w="4824"/>
        <w:gridCol w:w="4824"/>
      </w:tblGrid>
      <w:tr>
        <w:tc>
          <w:tcPr>
            <w:tcW w:type="dxa" w:w="2160"/>
            <w:shd w:fill="1B4965"/>
          </w:tcPr>
          <w:p>
            <w:r/>
            <w:r>
              <w:rPr>
                <w:b/>
                <w:color w:val="FFFFFF"/>
                <w:sz w:val="16"/>
              </w:rPr>
              <w:t>Limitation</w:t>
            </w:r>
          </w:p>
        </w:tc>
        <w:tc>
          <w:tcPr>
            <w:tcW w:type="dxa" w:w="6192"/>
            <w:shd w:fill="1B4965"/>
          </w:tcPr>
          <w:p>
            <w:r/>
            <w:r>
              <w:rPr>
                <w:b/>
                <w:color w:val="FFFFFF"/>
                <w:sz w:val="16"/>
              </w:rPr>
              <w:t>Detail</w:t>
            </w:r>
          </w:p>
        </w:tc>
      </w:tr>
      <w:tr>
        <w:tc>
          <w:tcPr>
            <w:tcW w:type="dxa" w:w="2160"/>
          </w:tcPr>
          <w:p>
            <w:r/>
            <w:r>
              <w:rPr>
                <w:sz w:val="16"/>
              </w:rPr>
              <w:t>Sample size</w:t>
            </w:r>
          </w:p>
        </w:tc>
        <w:tc>
          <w:tcPr>
            <w:tcW w:type="dxa" w:w="6192"/>
          </w:tcPr>
          <w:p>
            <w:r/>
            <w:r>
              <w:rPr>
                <w:sz w:val="16"/>
              </w:rPr>
              <w:t>1,200 customers, with only 268 in the High tier. The High-tier model is fitted on the fewest observations while carrying the largest dollar exposure.</w:t>
            </w:r>
          </w:p>
        </w:tc>
      </w:tr>
      <w:tr>
        <w:tc>
          <w:tcPr>
            <w:tcW w:type="dxa" w:w="2160"/>
            <w:shd w:fill="EEF4F8"/>
          </w:tcPr>
          <w:p>
            <w:r/>
            <w:r>
              <w:rPr>
                <w:sz w:val="16"/>
              </w:rPr>
              <w:t>Extrapolation risk</w:t>
            </w:r>
          </w:p>
        </w:tc>
        <w:tc>
          <w:tcPr>
            <w:tcW w:type="dxa" w:w="6192"/>
            <w:shd w:fill="EEF4F8"/>
          </w:tcPr>
          <w:p>
            <w:r/>
            <w:r>
              <w:rPr>
                <w:sz w:val="16"/>
              </w:rPr>
              <w:t>The model will extrapolate linearly beyond its training range without warning. One test customer received a quote near the highest charge ever observed in the data.</w:t>
            </w:r>
          </w:p>
        </w:tc>
      </w:tr>
      <w:tr>
        <w:tc>
          <w:tcPr>
            <w:tcW w:type="dxa" w:w="2160"/>
          </w:tcPr>
          <w:p>
            <w:r/>
            <w:r>
              <w:rPr>
                <w:sz w:val="16"/>
              </w:rPr>
              <w:t>Association, not causation</w:t>
            </w:r>
          </w:p>
        </w:tc>
        <w:tc>
          <w:tcPr>
            <w:tcW w:type="dxa" w:w="6192"/>
          </w:tcPr>
          <w:p>
            <w:r/>
            <w:r>
              <w:rPr>
                <w:sz w:val="16"/>
              </w:rPr>
              <w:t>Every result is observational. The model shows smokers in this book cost more; it does not establish a clinical mechanism.</w:t>
            </w:r>
          </w:p>
        </w:tc>
      </w:tr>
      <w:tr>
        <w:tc>
          <w:tcPr>
            <w:tcW w:type="dxa" w:w="2160"/>
            <w:shd w:fill="EEF4F8"/>
          </w:tcPr>
          <w:p>
            <w:r/>
            <w:r>
              <w:rPr>
                <w:sz w:val="16"/>
              </w:rPr>
              <w:t>Missing variables</w:t>
            </w:r>
          </w:p>
        </w:tc>
        <w:tc>
          <w:tcPr>
            <w:tcW w:type="dxa" w:w="6192"/>
            <w:shd w:fill="EEF4F8"/>
          </w:tcPr>
          <w:p>
            <w:r/>
            <w:r>
              <w:rPr>
                <w:sz w:val="16"/>
              </w:rPr>
              <w:t>No pre-existing conditions, medication history, family history, occupation or income. Some of what the model attributes to age or BMI may be standing in for unobserved factors — a proxy-variable risk.</w:t>
            </w:r>
          </w:p>
        </w:tc>
      </w:tr>
      <w:tr>
        <w:tc>
          <w:tcPr>
            <w:tcW w:type="dxa" w:w="2160"/>
          </w:tcPr>
          <w:p>
            <w:r/>
            <w:r>
              <w:rPr>
                <w:sz w:val="16"/>
              </w:rPr>
              <w:t>Historical data assumes a stable future</w:t>
            </w:r>
          </w:p>
        </w:tc>
        <w:tc>
          <w:tcPr>
            <w:tcW w:type="dxa" w:w="6192"/>
          </w:tcPr>
          <w:p>
            <w:r/>
            <w:r>
              <w:rPr>
                <w:sz w:val="16"/>
              </w:rPr>
              <w:t>Medical inflation, treatment changes and portfolio drift will degrade the model. Scheduled retraining and monitoring of realised against predicted claims are required.</w:t>
            </w:r>
          </w:p>
        </w:tc>
      </w:tr>
      <w:tr>
        <w:tc>
          <w:tcPr>
            <w:tcW w:type="dxa" w:w="2160"/>
            <w:shd w:fill="EEF4F8"/>
          </w:tcPr>
          <w:p>
            <w:r/>
            <w:r>
              <w:rPr>
                <w:sz w:val="16"/>
              </w:rPr>
              <w:t>Imputation effects</w:t>
            </w:r>
          </w:p>
        </w:tc>
        <w:tc>
          <w:tcPr>
            <w:tcW w:type="dxa" w:w="6192"/>
            <w:shd w:fill="EEF4F8"/>
          </w:tcPr>
          <w:p>
            <w:r/>
            <w:r>
              <w:rPr>
                <w:sz w:val="16"/>
              </w:rPr>
              <w:t>36 values were median-filled, which slightly compresses variance in those columns.</w:t>
            </w:r>
          </w:p>
        </w:tc>
      </w:tr>
      <w:tr>
        <w:tc>
          <w:tcPr>
            <w:tcW w:type="dxa" w:w="2160"/>
          </w:tcPr>
          <w:p>
            <w:r/>
            <w:r>
              <w:rPr>
                <w:sz w:val="16"/>
              </w:rPr>
              <w:t>The loading is an assumption</w:t>
            </w:r>
          </w:p>
        </w:tc>
        <w:tc>
          <w:tcPr>
            <w:tcW w:type="dxa" w:w="6192"/>
          </w:tcPr>
          <w:p>
            <w:r/>
            <w:r>
              <w:rPr>
                <w:sz w:val="16"/>
              </w:rPr>
              <w:t>The 23% expense-and-margin figure is a supplied business parameter, not a finding. Premiums scale directly with it.</w:t>
            </w:r>
          </w:p>
        </w:tc>
      </w:tr>
    </w:tbl>
    <w:p>
      <w:pPr>
        <w:spacing w:after="80"/>
      </w:pPr>
    </w:p>
    <w:p>
      <w:pPr>
        <w:jc w:val="center"/>
      </w:pPr>
      <w:r>
        <w:drawing>
          <wp:inline xmlns:a="http://schemas.openxmlformats.org/drawingml/2006/main" xmlns:pic="http://schemas.openxmlformats.org/drawingml/2006/picture">
            <wp:extent cx="5852160" cy="1749336"/>
            <wp:docPr id="18" name="Picture 18"/>
            <wp:cNvGraphicFramePr>
              <a:graphicFrameLocks noChangeAspect="1"/>
            </wp:cNvGraphicFramePr>
            <a:graphic>
              <a:graphicData uri="http://schemas.openxmlformats.org/drawingml/2006/picture">
                <pic:pic>
                  <pic:nvPicPr>
                    <pic:cNvPr id="0" name="18_fairness.png"/>
                    <pic:cNvPicPr/>
                  </pic:nvPicPr>
                  <pic:blipFill>
                    <a:blip r:embed="rId26"/>
                    <a:stretch>
                      <a:fillRect/>
                    </a:stretch>
                  </pic:blipFill>
                  <pic:spPr>
                    <a:xfrm>
                      <a:off x="0" y="0"/>
                      <a:ext cx="5852160" cy="1749336"/>
                    </a:xfrm>
                    <a:prstGeom prst="rect"/>
                  </pic:spPr>
                </pic:pic>
              </a:graphicData>
            </a:graphic>
          </wp:inline>
        </w:drawing>
      </w:r>
    </w:p>
    <w:p>
      <w:pPr>
        <w:spacing w:after="220"/>
        <w:jc w:val="center"/>
      </w:pPr>
      <w:r>
        <w:rPr>
          <w:i/>
          <w:color w:val="5A6A78"/>
          <w:sz w:val="17"/>
        </w:rPr>
        <w:t>Figure 18 — Fairness diagnostics: cost versus premium by sex, and error-rate parity across region and age group.</w:t>
      </w:r>
    </w:p>
    <w:p>
      <w:r>
        <w:br w:type="page"/>
      </w:r>
    </w:p>
    <w:p>
      <w:pPr>
        <w:pStyle w:val="Heading1"/>
      </w:pPr>
      <w:r>
        <w:t>19. Error Propagation and Deployment Safeguards</w:t>
      </w:r>
    </w:p>
    <w:p>
      <w:pPr>
        <w:spacing w:after="120"/>
      </w:pPr>
      <w:r>
        <w:rPr>
          <w:b w:val="0"/>
          <w:i w:val="0"/>
          <w:sz w:val="21"/>
        </w:rPr>
        <w:t>Stage 2 trusts whatever tier Stage 1 assigns. Since Stage 1 is right 94.6% of the time rather than always, the cost of the residual 5.4% governs whether the engine is safe to deploy.</w:t>
      </w:r>
    </w:p>
    <w:tbl>
      <w:tblPr>
        <w:tblStyle w:val="TableGrid"/>
        <w:tblW w:type="auto" w:w="0"/>
        <w:jc w:val="center"/>
        <w:tblLook w:firstColumn="1" w:firstRow="1" w:lastColumn="0" w:lastRow="0" w:noHBand="0" w:noVBand="1" w:val="04A0"/>
      </w:tblPr>
      <w:tblGrid>
        <w:gridCol w:w="3216"/>
        <w:gridCol w:w="3216"/>
        <w:gridCol w:w="3216"/>
      </w:tblGrid>
      <w:tr>
        <w:tc>
          <w:tcPr>
            <w:tcW w:type="dxa" w:w="3600"/>
            <w:shd w:fill="1B4965"/>
          </w:tcPr>
          <w:p>
            <w:r/>
            <w:r>
              <w:rPr>
                <w:b/>
                <w:color w:val="FFFFFF"/>
                <w:sz w:val="17"/>
              </w:rPr>
              <w:t>Group</w:t>
            </w:r>
          </w:p>
        </w:tc>
        <w:tc>
          <w:tcPr>
            <w:tcW w:type="dxa" w:w="1728"/>
            <w:shd w:fill="1B4965"/>
          </w:tcPr>
          <w:p>
            <w:r/>
            <w:r>
              <w:rPr>
                <w:b/>
                <w:color w:val="FFFFFF"/>
                <w:sz w:val="17"/>
              </w:rPr>
              <w:t>Customers</w:t>
            </w:r>
          </w:p>
        </w:tc>
        <w:tc>
          <w:tcPr>
            <w:tcW w:type="dxa" w:w="3024"/>
            <w:shd w:fill="1B4965"/>
          </w:tcPr>
          <w:p>
            <w:r/>
            <w:r>
              <w:rPr>
                <w:b/>
                <w:color w:val="FFFFFF"/>
                <w:sz w:val="17"/>
              </w:rPr>
              <w:t>Mean absolute pricing error</w:t>
            </w:r>
          </w:p>
        </w:tc>
      </w:tr>
      <w:tr>
        <w:tc>
          <w:tcPr>
            <w:tcW w:type="dxa" w:w="3600"/>
          </w:tcPr>
          <w:p>
            <w:r/>
            <w:r>
              <w:rPr>
                <w:sz w:val="17"/>
              </w:rPr>
              <w:t>Correctly classified by Stage 1</w:t>
            </w:r>
          </w:p>
        </w:tc>
        <w:tc>
          <w:tcPr>
            <w:tcW w:type="dxa" w:w="1728"/>
          </w:tcPr>
          <w:p>
            <w:pPr>
              <w:jc w:val="right"/>
            </w:pPr>
            <w:r/>
            <w:r>
              <w:rPr>
                <w:sz w:val="17"/>
              </w:rPr>
              <w:t>227</w:t>
            </w:r>
          </w:p>
        </w:tc>
        <w:tc>
          <w:tcPr>
            <w:tcW w:type="dxa" w:w="3024"/>
          </w:tcPr>
          <w:p>
            <w:pPr>
              <w:jc w:val="right"/>
            </w:pPr>
            <w:r/>
            <w:r>
              <w:rPr>
                <w:sz w:val="17"/>
              </w:rPr>
              <w:t>$799</w:t>
            </w:r>
          </w:p>
        </w:tc>
      </w:tr>
      <w:tr>
        <w:tc>
          <w:tcPr>
            <w:tcW w:type="dxa" w:w="3600"/>
            <w:shd w:fill="EEF4F8"/>
          </w:tcPr>
          <w:p>
            <w:r/>
            <w:r>
              <w:rPr>
                <w:sz w:val="17"/>
              </w:rPr>
              <w:t>Misclassified by Stage 1</w:t>
            </w:r>
          </w:p>
        </w:tc>
        <w:tc>
          <w:tcPr>
            <w:tcW w:type="dxa" w:w="1728"/>
            <w:shd w:fill="EEF4F8"/>
          </w:tcPr>
          <w:p>
            <w:pPr>
              <w:jc w:val="right"/>
            </w:pPr>
            <w:r/>
            <w:r>
              <w:rPr>
                <w:sz w:val="17"/>
              </w:rPr>
              <w:t>13</w:t>
            </w:r>
          </w:p>
        </w:tc>
        <w:tc>
          <w:tcPr>
            <w:tcW w:type="dxa" w:w="3024"/>
            <w:shd w:fill="EEF4F8"/>
          </w:tcPr>
          <w:p>
            <w:pPr>
              <w:jc w:val="right"/>
            </w:pPr>
            <w:r/>
            <w:r>
              <w:rPr>
                <w:sz w:val="17"/>
              </w:rPr>
              <w:t>$14,377</w:t>
            </w:r>
          </w:p>
        </w:tc>
      </w:tr>
      <w:tr>
        <w:tc>
          <w:tcPr>
            <w:tcW w:type="dxa" w:w="3600"/>
          </w:tcPr>
          <w:p>
            <w:r/>
            <w:r>
              <w:rPr>
                <w:sz w:val="17"/>
              </w:rPr>
              <w:t>Error multiplier</w:t>
            </w:r>
          </w:p>
        </w:tc>
        <w:tc>
          <w:tcPr>
            <w:tcW w:type="dxa" w:w="1728"/>
          </w:tcPr>
          <w:p>
            <w:pPr>
              <w:jc w:val="right"/>
            </w:pPr>
            <w:r/>
            <w:r>
              <w:rPr>
                <w:sz w:val="17"/>
              </w:rPr>
              <w:t>—</w:t>
            </w:r>
          </w:p>
        </w:tc>
        <w:tc>
          <w:tcPr>
            <w:tcW w:type="dxa" w:w="3024"/>
          </w:tcPr>
          <w:p>
            <w:pPr>
              <w:jc w:val="right"/>
            </w:pPr>
            <w:r/>
            <w:r>
              <w:rPr>
                <w:sz w:val="17"/>
              </w:rPr>
              <w:t>18×</w:t>
            </w:r>
          </w:p>
        </w:tc>
      </w:tr>
    </w:tbl>
    <w:p>
      <w:pPr>
        <w:spacing w:after="80"/>
      </w:pPr>
    </w:p>
    <w:p>
      <w:pPr>
        <w:spacing w:after="120"/>
      </w:pPr>
      <w:r>
        <w:rPr>
          <w:b w:val="0"/>
          <w:i w:val="0"/>
          <w:sz w:val="21"/>
        </w:rPr>
        <w:t>A High-tier customer's expected annual claim is about $45,904, while the Low-tier regressor was fitted on customers averaging $7,592. Routing a High customer through it would underprice them by roughly $38,000 on a single policy. Two things make this worse than the average suggests: the damage is asymmetric, because underpricing creates a realised claims loss while overpricing only costs a lost sale; and it is self-selecting, because a high-risk applicant offered a cheap price is unusually likely to accept it. Adverse selection concentrates the mistakes rather than averaging them out.</w:t>
      </w:r>
    </w:p>
    <w:tbl>
      <w:tblPr>
        <w:tblStyle w:val="TableGrid"/>
        <w:tblW w:type="auto" w:w="0"/>
        <w:tblLook w:firstColumn="1" w:firstRow="1" w:lastColumn="0" w:lastRow="0" w:noHBand="0" w:noVBand="1" w:val="04A0"/>
      </w:tblPr>
      <w:tblGrid>
        <w:gridCol w:w="9648"/>
      </w:tblGrid>
      <w:tr>
        <w:tc>
          <w:tcPr>
            <w:tcW w:type="dxa" w:w="9648"/>
            <w:shd w:fill="EAF4FA"/>
          </w:tcPr>
          <w:p>
            <w:r/>
            <w:r>
              <w:rPr>
                <w:b/>
                <w:color w:val="1B4965"/>
                <w:sz w:val="20"/>
              </w:rPr>
              <w:t xml:space="preserve">One reassuring finding:  </w:t>
            </w:r>
            <w:r>
              <w:rPr>
                <w:sz w:val="20"/>
              </w:rPr>
              <w:t>No High-risk customer was classified as Low, and none of the reverse. Every error in testing was a single-tier step, so the catastrophic $38,000 scenario did not actually occur — the observed errors were the milder High→Medium kind. That is a property of this model worth monitoring, not a guarantee.</w:t>
            </w:r>
          </w:p>
        </w:tc>
      </w:tr>
    </w:tbl>
    <w:p>
      <w:pPr>
        <w:spacing w:after="80"/>
      </w:pPr>
    </w:p>
    <w:p>
      <w:pPr>
        <w:pStyle w:val="Heading2"/>
      </w:pPr>
      <w:r>
        <w:t>Recommended safeguards, in order of protection per unit of effort</w:t>
      </w:r>
    </w:p>
    <w:tbl>
      <w:tblPr>
        <w:tblStyle w:val="TableGrid"/>
        <w:tblW w:type="auto" w:w="0"/>
        <w:jc w:val="center"/>
        <w:tblLook w:firstColumn="1" w:firstRow="1" w:lastColumn="0" w:lastRow="0" w:noHBand="0" w:noVBand="1" w:val="04A0"/>
      </w:tblPr>
      <w:tblGrid>
        <w:gridCol w:w="4824"/>
        <w:gridCol w:w="4824"/>
      </w:tblGrid>
      <w:tr>
        <w:tc>
          <w:tcPr>
            <w:tcW w:type="dxa" w:w="2304"/>
            <w:shd w:fill="1B4965"/>
          </w:tcPr>
          <w:p>
            <w:r/>
            <w:r>
              <w:rPr>
                <w:b/>
                <w:color w:val="FFFFFF"/>
                <w:sz w:val="16"/>
              </w:rPr>
              <w:t>Safeguard</w:t>
            </w:r>
          </w:p>
        </w:tc>
        <w:tc>
          <w:tcPr>
            <w:tcW w:type="dxa" w:w="6048"/>
            <w:shd w:fill="1B4965"/>
          </w:tcPr>
          <w:p>
            <w:r/>
            <w:r>
              <w:rPr>
                <w:b/>
                <w:color w:val="FFFFFF"/>
                <w:sz w:val="16"/>
              </w:rPr>
              <w:t>What it does</w:t>
            </w:r>
          </w:p>
        </w:tc>
      </w:tr>
      <w:tr>
        <w:tc>
          <w:tcPr>
            <w:tcW w:type="dxa" w:w="2304"/>
          </w:tcPr>
          <w:p>
            <w:r/>
            <w:r>
              <w:rPr>
                <w:sz w:val="16"/>
              </w:rPr>
              <w:t>1. Confidence-based routing</w:t>
            </w:r>
          </w:p>
        </w:tc>
        <w:tc>
          <w:tcPr>
            <w:tcW w:type="dxa" w:w="6048"/>
          </w:tcPr>
          <w:p>
            <w:r/>
            <w:r>
              <w:rPr>
                <w:sz w:val="16"/>
              </w:rPr>
              <w:t>Read the classifier's predicted probability. Where the top class is below ~80%, or the top two tiers are close, route to manual underwriting instead of auto-quoting. This targets exactly the borderline cases that generate the errors.</w:t>
            </w:r>
          </w:p>
        </w:tc>
      </w:tr>
      <w:tr>
        <w:tc>
          <w:tcPr>
            <w:tcW w:type="dxa" w:w="2304"/>
            <w:shd w:fill="EEF4F8"/>
          </w:tcPr>
          <w:p>
            <w:r/>
            <w:r>
              <w:rPr>
                <w:sz w:val="16"/>
              </w:rPr>
              <w:t>2. Asymmetric decision rules</w:t>
            </w:r>
          </w:p>
        </w:tc>
        <w:tc>
          <w:tcPr>
            <w:tcW w:type="dxa" w:w="6048"/>
            <w:shd w:fill="EEF4F8"/>
          </w:tcPr>
          <w:p>
            <w:r/>
            <w:r>
              <w:rPr>
                <w:sz w:val="16"/>
              </w:rPr>
              <w:t>Since underpricing costs roughly an order of magnitude more, apply class weights or default ambiguous cases to the higher tier — trading a little revenue for a large reduction in tail loss.</w:t>
            </w:r>
          </w:p>
        </w:tc>
      </w:tr>
      <w:tr>
        <w:tc>
          <w:tcPr>
            <w:tcW w:type="dxa" w:w="2304"/>
          </w:tcPr>
          <w:p>
            <w:r/>
            <w:r>
              <w:rPr>
                <w:sz w:val="16"/>
              </w:rPr>
              <w:t>3. Blended predictions near boundaries</w:t>
            </w:r>
          </w:p>
        </w:tc>
        <w:tc>
          <w:tcPr>
            <w:tcW w:type="dxa" w:w="6048"/>
          </w:tcPr>
          <w:p>
            <w:r/>
            <w:r>
              <w:rPr>
                <w:sz w:val="16"/>
              </w:rPr>
              <w:t>Weight the tier models by predicted probability rather than a hard hand-off, turning the premium step function into something smoother and capping the damage of a wrong call.</w:t>
            </w:r>
          </w:p>
        </w:tc>
      </w:tr>
      <w:tr>
        <w:tc>
          <w:tcPr>
            <w:tcW w:type="dxa" w:w="2304"/>
            <w:shd w:fill="EEF4F8"/>
          </w:tcPr>
          <w:p>
            <w:r/>
            <w:r>
              <w:rPr>
                <w:sz w:val="16"/>
              </w:rPr>
              <w:t>4. Sanity bands and monitoring</w:t>
            </w:r>
          </w:p>
        </w:tc>
        <w:tc>
          <w:tcPr>
            <w:tcW w:type="dxa" w:w="6048"/>
            <w:shd w:fill="EEF4F8"/>
          </w:tcPr>
          <w:p>
            <w:r/>
            <w:r>
              <w:rPr>
                <w:sz w:val="16"/>
              </w:rPr>
              <w:t>Flag quotes far outside the expected range for a customer's observable profile, and track realised claims against predicted cost by tier so drift is caught early.</w:t>
            </w:r>
          </w:p>
        </w:tc>
      </w:tr>
    </w:tbl>
    <w:p>
      <w:pPr>
        <w:spacing w:after="80"/>
      </w:pPr>
    </w:p>
    <w:p>
      <w:pPr>
        <w:jc w:val="center"/>
      </w:pPr>
      <w:r>
        <w:drawing>
          <wp:inline xmlns:a="http://schemas.openxmlformats.org/drawingml/2006/main" xmlns:pic="http://schemas.openxmlformats.org/drawingml/2006/picture">
            <wp:extent cx="5852160" cy="2229029"/>
            <wp:docPr id="19" name="Picture 19"/>
            <wp:cNvGraphicFramePr>
              <a:graphicFrameLocks noChangeAspect="1"/>
            </wp:cNvGraphicFramePr>
            <a:graphic>
              <a:graphicData uri="http://schemas.openxmlformats.org/drawingml/2006/picture">
                <pic:pic>
                  <pic:nvPicPr>
                    <pic:cNvPr id="0" name="19_error_propagation.png"/>
                    <pic:cNvPicPr/>
                  </pic:nvPicPr>
                  <pic:blipFill>
                    <a:blip r:embed="rId27"/>
                    <a:stretch>
                      <a:fillRect/>
                    </a:stretch>
                  </pic:blipFill>
                  <pic:spPr>
                    <a:xfrm>
                      <a:off x="0" y="0"/>
                      <a:ext cx="5852160" cy="2229029"/>
                    </a:xfrm>
                    <a:prstGeom prst="rect"/>
                  </pic:spPr>
                </pic:pic>
              </a:graphicData>
            </a:graphic>
          </wp:inline>
        </w:drawing>
      </w:r>
    </w:p>
    <w:p>
      <w:pPr>
        <w:spacing w:after="220"/>
        <w:jc w:val="center"/>
      </w:pPr>
      <w:r>
        <w:rPr>
          <w:i/>
          <w:color w:val="5A6A78"/>
          <w:sz w:val="17"/>
        </w:rPr>
        <w:t>Figure 19 — The cost of a Stage-1 mistake, and where misclassifications land.</w:t>
      </w:r>
    </w:p>
    <w:p>
      <w:r>
        <w:br w:type="page"/>
      </w:r>
    </w:p>
    <w:p>
      <w:pPr>
        <w:pStyle w:val="Heading1"/>
      </w:pPr>
      <w:r>
        <w:t>20. Conclusion and Deliverables</w:t>
      </w:r>
    </w:p>
    <w:p>
      <w:pPr>
        <w:pStyle w:val="Heading2"/>
      </w:pPr>
      <w:r>
        <w:t>20.1 Conclusion</w:t>
      </w:r>
    </w:p>
    <w:p>
      <w:pPr>
        <w:spacing w:after="120"/>
      </w:pPr>
      <w:r>
        <w:rPr>
          <w:b w:val="0"/>
          <w:i w:val="0"/>
          <w:sz w:val="21"/>
        </w:rPr>
        <w:t>On the board's first question — does the two-stage engine beat one flat model? Yes, by a margin that survives honest measurement. Average pricing error falls from $6,167 to $1,535 (−75%) and R² rises from 0.715 to 0.919, on held-out customers, with Stage 1 predicting its own tiers. Measured the flattering way — assuming perfect tier assignment — the figures would be $816 and 0.993, and that distinction has been kept visible throughout because the oracle figure understates the engine's true pricing error by 47%.</w:t>
      </w:r>
    </w:p>
    <w:p>
      <w:pPr>
        <w:spacing w:after="120"/>
      </w:pPr>
      <w:r>
        <w:rPr>
          <w:b w:val="0"/>
          <w:i w:val="0"/>
          <w:sz w:val="21"/>
        </w:rPr>
        <w:t>On the second question — which attributes drive cost? Smoking first, then age and BMI, whose relative importance switches between tiers. Dependents matter slightly. Geography and sex barely register, and five columns carry no signal at all, confirmed independently by ANOVA, by Lasso, and by the fact that removing them improved out-of-sample performance.</w:t>
      </w:r>
    </w:p>
    <w:tbl>
      <w:tblPr>
        <w:tblStyle w:val="TableGrid"/>
        <w:tblW w:type="auto" w:w="0"/>
        <w:tblLook w:firstColumn="1" w:firstRow="1" w:lastColumn="0" w:lastRow="0" w:noHBand="0" w:noVBand="1" w:val="04A0"/>
      </w:tblPr>
      <w:tblGrid>
        <w:gridCol w:w="9648"/>
      </w:tblGrid>
      <w:tr>
        <w:tc>
          <w:tcPr>
            <w:tcW w:type="dxa" w:w="9648"/>
            <w:shd w:fill="EAF4FA"/>
          </w:tcPr>
          <w:p>
            <w:r/>
            <w:r>
              <w:rPr>
                <w:b/>
                <w:color w:val="1B4965"/>
                <w:sz w:val="20"/>
              </w:rPr>
              <w:t xml:space="preserve">The most useful methodological finding:  </w:t>
            </w:r>
            <w:r>
              <w:rPr>
                <w:sz w:val="20"/>
              </w:rPr>
              <w:t>The gains came from structure, not sophistication. Segmenting the portfolio was worth +0.20 R² end-to-end; hyperparameter tuning was worth +0.0004. The dataset contained three populations with genuinely different cost functions, and no amount of regularisation applied to a single linear model could have repaired that. Diagnosing the failure as high bias rather than high variance is what pointed to the right fix — and that diagnosis, not any algorithm, is the transferable lesson.</w:t>
            </w:r>
          </w:p>
        </w:tc>
      </w:tr>
    </w:tbl>
    <w:p>
      <w:pPr>
        <w:spacing w:after="80"/>
      </w:pP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888"/>
            <w:shd w:fill="1B4965"/>
          </w:tcPr>
          <w:p>
            <w:r/>
            <w:r>
              <w:rPr>
                <w:b/>
                <w:color w:val="FFFFFF"/>
                <w:sz w:val="17"/>
              </w:rPr>
              <w:t>Where the gain came from</w:t>
            </w:r>
          </w:p>
        </w:tc>
        <w:tc>
          <w:tcPr>
            <w:tcW w:type="dxa" w:w="1368"/>
            <w:shd w:fill="1B4965"/>
          </w:tcPr>
          <w:p>
            <w:r/>
            <w:r>
              <w:rPr>
                <w:b/>
                <w:color w:val="FFFFFF"/>
                <w:sz w:val="17"/>
              </w:rPr>
              <w:t>Before</w:t>
            </w:r>
          </w:p>
        </w:tc>
        <w:tc>
          <w:tcPr>
            <w:tcW w:type="dxa" w:w="1368"/>
            <w:shd w:fill="1B4965"/>
          </w:tcPr>
          <w:p>
            <w:r/>
            <w:r>
              <w:rPr>
                <w:b/>
                <w:color w:val="FFFFFF"/>
                <w:sz w:val="17"/>
              </w:rPr>
              <w:t>After</w:t>
            </w:r>
          </w:p>
        </w:tc>
        <w:tc>
          <w:tcPr>
            <w:tcW w:type="dxa" w:w="1368"/>
            <w:shd w:fill="1B4965"/>
          </w:tcPr>
          <w:p>
            <w:r/>
            <w:r>
              <w:rPr>
                <w:b/>
                <w:color w:val="FFFFFF"/>
                <w:sz w:val="17"/>
              </w:rPr>
              <w:t>Gain</w:t>
            </w:r>
          </w:p>
        </w:tc>
      </w:tr>
      <w:tr>
        <w:tc>
          <w:tcPr>
            <w:tcW w:type="dxa" w:w="3888"/>
          </w:tcPr>
          <w:p>
            <w:r/>
            <w:r>
              <w:rPr>
                <w:sz w:val="17"/>
              </w:rPr>
              <w:t>Splitting into tiers (end-to-end R²)</w:t>
            </w:r>
          </w:p>
        </w:tc>
        <w:tc>
          <w:tcPr>
            <w:tcW w:type="dxa" w:w="1368"/>
          </w:tcPr>
          <w:p>
            <w:pPr>
              <w:jc w:val="right"/>
            </w:pPr>
            <w:r/>
            <w:r>
              <w:rPr>
                <w:sz w:val="17"/>
              </w:rPr>
              <w:t>0.7153</w:t>
            </w:r>
          </w:p>
        </w:tc>
        <w:tc>
          <w:tcPr>
            <w:tcW w:type="dxa" w:w="1368"/>
          </w:tcPr>
          <w:p>
            <w:pPr>
              <w:jc w:val="right"/>
            </w:pPr>
            <w:r/>
            <w:r>
              <w:rPr>
                <w:sz w:val="17"/>
              </w:rPr>
              <w:t>0.9187</w:t>
            </w:r>
          </w:p>
        </w:tc>
        <w:tc>
          <w:tcPr>
            <w:tcW w:type="dxa" w:w="1368"/>
          </w:tcPr>
          <w:p>
            <w:pPr>
              <w:jc w:val="right"/>
            </w:pPr>
            <w:r/>
            <w:r>
              <w:rPr>
                <w:sz w:val="17"/>
              </w:rPr>
              <w:t>+0.2033</w:t>
            </w:r>
          </w:p>
        </w:tc>
      </w:tr>
      <w:tr>
        <w:tc>
          <w:tcPr>
            <w:tcW w:type="dxa" w:w="3888"/>
            <w:shd w:fill="EEF4F8"/>
          </w:tcPr>
          <w:p>
            <w:r/>
            <w:r>
              <w:rPr>
                <w:sz w:val="17"/>
              </w:rPr>
              <w:t>Using the full profile within a tier (High R²)</w:t>
            </w:r>
          </w:p>
        </w:tc>
        <w:tc>
          <w:tcPr>
            <w:tcW w:type="dxa" w:w="1368"/>
            <w:shd w:fill="EEF4F8"/>
          </w:tcPr>
          <w:p>
            <w:pPr>
              <w:jc w:val="right"/>
            </w:pPr>
            <w:r/>
            <w:r>
              <w:rPr>
                <w:sz w:val="17"/>
              </w:rPr>
              <w:t>0.1288</w:t>
            </w:r>
          </w:p>
        </w:tc>
        <w:tc>
          <w:tcPr>
            <w:tcW w:type="dxa" w:w="1368"/>
            <w:shd w:fill="EEF4F8"/>
          </w:tcPr>
          <w:p>
            <w:pPr>
              <w:jc w:val="right"/>
            </w:pPr>
            <w:r/>
            <w:r>
              <w:rPr>
                <w:sz w:val="17"/>
              </w:rPr>
              <w:t>0.7540</w:t>
            </w:r>
          </w:p>
        </w:tc>
        <w:tc>
          <w:tcPr>
            <w:tcW w:type="dxa" w:w="1368"/>
            <w:shd w:fill="EEF4F8"/>
          </w:tcPr>
          <w:p>
            <w:pPr>
              <w:jc w:val="right"/>
            </w:pPr>
            <w:r/>
            <w:r>
              <w:rPr>
                <w:sz w:val="17"/>
              </w:rPr>
              <w:t>+0.6252</w:t>
            </w:r>
          </w:p>
        </w:tc>
      </w:tr>
      <w:tr>
        <w:tc>
          <w:tcPr>
            <w:tcW w:type="dxa" w:w="3888"/>
          </w:tcPr>
          <w:p>
            <w:r/>
            <w:r>
              <w:rPr>
                <w:sz w:val="17"/>
              </w:rPr>
              <w:t>Removing junk features (global R²)</w:t>
            </w:r>
          </w:p>
        </w:tc>
        <w:tc>
          <w:tcPr>
            <w:tcW w:type="dxa" w:w="1368"/>
          </w:tcPr>
          <w:p>
            <w:pPr>
              <w:jc w:val="right"/>
            </w:pPr>
            <w:r/>
            <w:r>
              <w:rPr>
                <w:sz w:val="17"/>
              </w:rPr>
              <w:t>0.6831</w:t>
            </w:r>
          </w:p>
        </w:tc>
        <w:tc>
          <w:tcPr>
            <w:tcW w:type="dxa" w:w="1368"/>
          </w:tcPr>
          <w:p>
            <w:pPr>
              <w:jc w:val="right"/>
            </w:pPr>
            <w:r/>
            <w:r>
              <w:rPr>
                <w:sz w:val="17"/>
              </w:rPr>
              <w:t>0.6913</w:t>
            </w:r>
          </w:p>
        </w:tc>
        <w:tc>
          <w:tcPr>
            <w:tcW w:type="dxa" w:w="1368"/>
          </w:tcPr>
          <w:p>
            <w:pPr>
              <w:jc w:val="right"/>
            </w:pPr>
            <w:r/>
            <w:r>
              <w:rPr>
                <w:sz w:val="17"/>
              </w:rPr>
              <w:t>+0.0082</w:t>
            </w:r>
          </w:p>
        </w:tc>
      </w:tr>
      <w:tr>
        <w:tc>
          <w:tcPr>
            <w:tcW w:type="dxa" w:w="3888"/>
            <w:shd w:fill="EEF4F8"/>
          </w:tcPr>
          <w:p>
            <w:r/>
            <w:r>
              <w:rPr>
                <w:sz w:val="17"/>
              </w:rPr>
              <w:t>Tuning alpha (High tier R²)</w:t>
            </w:r>
          </w:p>
        </w:tc>
        <w:tc>
          <w:tcPr>
            <w:tcW w:type="dxa" w:w="1368"/>
            <w:shd w:fill="EEF4F8"/>
          </w:tcPr>
          <w:p>
            <w:pPr>
              <w:jc w:val="right"/>
            </w:pPr>
            <w:r/>
            <w:r>
              <w:rPr>
                <w:sz w:val="17"/>
              </w:rPr>
              <w:t>0.7540</w:t>
            </w:r>
          </w:p>
        </w:tc>
        <w:tc>
          <w:tcPr>
            <w:tcW w:type="dxa" w:w="1368"/>
            <w:shd w:fill="EEF4F8"/>
          </w:tcPr>
          <w:p>
            <w:pPr>
              <w:jc w:val="right"/>
            </w:pPr>
            <w:r/>
            <w:r>
              <w:rPr>
                <w:sz w:val="17"/>
              </w:rPr>
              <w:t>0.7544</w:t>
            </w:r>
          </w:p>
        </w:tc>
        <w:tc>
          <w:tcPr>
            <w:tcW w:type="dxa" w:w="1368"/>
            <w:shd w:fill="EEF4F8"/>
          </w:tcPr>
          <w:p>
            <w:pPr>
              <w:jc w:val="right"/>
            </w:pPr>
            <w:r/>
            <w:r>
              <w:rPr>
                <w:sz w:val="17"/>
              </w:rPr>
              <w:t>+0.0004</w:t>
            </w:r>
          </w:p>
        </w:tc>
      </w:tr>
    </w:tbl>
    <w:p>
      <w:pPr>
        <w:spacing w:after="80"/>
      </w:pPr>
    </w:p>
    <w:p>
      <w:pPr>
        <w:pStyle w:val="Heading2"/>
      </w:pPr>
      <w:r>
        <w:t>20.2 Deliverables</w:t>
      </w:r>
    </w:p>
    <w:tbl>
      <w:tblPr>
        <w:tblStyle w:val="TableGrid"/>
        <w:tblW w:type="auto" w:w="0"/>
        <w:jc w:val="center"/>
        <w:tblLook w:firstColumn="1" w:firstRow="1" w:lastColumn="0" w:lastRow="0" w:noHBand="0" w:noVBand="1" w:val="04A0"/>
      </w:tblPr>
      <w:tblGrid>
        <w:gridCol w:w="4824"/>
        <w:gridCol w:w="4824"/>
      </w:tblGrid>
      <w:tr>
        <w:tc>
          <w:tcPr>
            <w:tcW w:type="dxa" w:w="2664"/>
            <w:shd w:fill="1B4965"/>
          </w:tcPr>
          <w:p>
            <w:r/>
            <w:r>
              <w:rPr>
                <w:b/>
                <w:color w:val="FFFFFF"/>
                <w:sz w:val="16"/>
              </w:rPr>
              <w:t>File</w:t>
            </w:r>
          </w:p>
        </w:tc>
        <w:tc>
          <w:tcPr>
            <w:tcW w:type="dxa" w:w="5688"/>
            <w:shd w:fill="1B4965"/>
          </w:tcPr>
          <w:p>
            <w:r/>
            <w:r>
              <w:rPr>
                <w:b/>
                <w:color w:val="FFFFFF"/>
                <w:sz w:val="16"/>
              </w:rPr>
              <w:t>Contents</w:t>
            </w:r>
          </w:p>
        </w:tc>
      </w:tr>
      <w:tr>
        <w:tc>
          <w:tcPr>
            <w:tcW w:type="dxa" w:w="2664"/>
          </w:tcPr>
          <w:p>
            <w:r/>
            <w:r>
              <w:rPr>
                <w:sz w:val="16"/>
              </w:rPr>
              <w:t>HealthWise_Sparsh_Saraya.ipynb</w:t>
            </w:r>
          </w:p>
        </w:tc>
        <w:tc>
          <w:tcPr>
            <w:tcW w:type="dxa" w:w="5688"/>
          </w:tcPr>
          <w:p>
            <w:r/>
            <w:r>
              <w:rPr>
                <w:sz w:val="16"/>
              </w:rPr>
              <w:t>The complete executed notebook — every code cell run with output visible, all Reflection questions answered, Parts A–E and both bonus tasks</w:t>
            </w:r>
          </w:p>
        </w:tc>
      </w:tr>
      <w:tr>
        <w:tc>
          <w:tcPr>
            <w:tcW w:type="dxa" w:w="2664"/>
            <w:shd w:fill="EEF4F8"/>
          </w:tcPr>
          <w:p>
            <w:r/>
            <w:r>
              <w:rPr>
                <w:sz w:val="16"/>
              </w:rPr>
              <w:t>app.py</w:t>
            </w:r>
          </w:p>
        </w:tc>
        <w:tc>
          <w:tcPr>
            <w:tcW w:type="dxa" w:w="5688"/>
            <w:shd w:fill="EEF4F8"/>
          </w:tcPr>
          <w:p>
            <w:r/>
            <w:r>
              <w:rPr>
                <w:sz w:val="16"/>
              </w:rPr>
              <w:t>Eight-tab Streamlit dashboard: executive overview, dataset explorer, health score, premiums, classification, regression, bias–variance, and a live premium calculator with batch CSV scoring</w:t>
            </w:r>
          </w:p>
        </w:tc>
      </w:tr>
      <w:tr>
        <w:tc>
          <w:tcPr>
            <w:tcW w:type="dxa" w:w="2664"/>
          </w:tcPr>
          <w:p>
            <w:r/>
            <w:r>
              <w:rPr>
                <w:sz w:val="16"/>
              </w:rPr>
              <w:t>healthwise_model.joblib</w:t>
            </w:r>
          </w:p>
        </w:tc>
        <w:tc>
          <w:tcPr>
            <w:tcW w:type="dxa" w:w="5688"/>
          </w:tcPr>
          <w:p>
            <w:r/>
            <w:r>
              <w:rPr>
                <w:sz w:val="16"/>
              </w:rPr>
              <w:t>The saved two-stage engine — one classifier plus three per-tier regressors, each wrapped in a Pipeline with its encoder</w:t>
            </w:r>
          </w:p>
        </w:tc>
      </w:tr>
      <w:tr>
        <w:tc>
          <w:tcPr>
            <w:tcW w:type="dxa" w:w="2664"/>
            <w:shd w:fill="EEF4F8"/>
          </w:tcPr>
          <w:p>
            <w:r/>
            <w:r>
              <w:rPr>
                <w:sz w:val="16"/>
              </w:rPr>
              <w:t>healthwise_enriched.csv</w:t>
            </w:r>
          </w:p>
        </w:tc>
        <w:tc>
          <w:tcPr>
            <w:tcW w:type="dxa" w:w="5688"/>
            <w:shd w:fill="EEF4F8"/>
          </w:tcPr>
          <w:p>
            <w:r/>
            <w:r>
              <w:rPr>
                <w:sz w:val="16"/>
              </w:rPr>
              <w:t>All 1,200 customers with Health Score, component scores, bands, predicted tier, predicted cost, final premium, top risk factors and an individual explanation</w:t>
            </w:r>
          </w:p>
        </w:tc>
      </w:tr>
      <w:tr>
        <w:tc>
          <w:tcPr>
            <w:tcW w:type="dxa" w:w="2664"/>
          </w:tcPr>
          <w:p>
            <w:r/>
            <w:r>
              <w:rPr>
                <w:sz w:val="16"/>
              </w:rPr>
              <w:t>healthwise_cleaned.csv</w:t>
            </w:r>
          </w:p>
        </w:tc>
        <w:tc>
          <w:tcPr>
            <w:tcW w:type="dxa" w:w="5688"/>
          </w:tcPr>
          <w:p>
            <w:r/>
            <w:r>
              <w:rPr>
                <w:sz w:val="16"/>
              </w:rPr>
              <w:t>The cleaned layer, before feature engineering</w:t>
            </w:r>
          </w:p>
        </w:tc>
      </w:tr>
      <w:tr>
        <w:tc>
          <w:tcPr>
            <w:tcW w:type="dxa" w:w="2664"/>
            <w:shd w:fill="EEF4F8"/>
          </w:tcPr>
          <w:p>
            <w:r/>
            <w:r>
              <w:rPr>
                <w:sz w:val="16"/>
              </w:rPr>
              <w:t>data_dictionary.csv</w:t>
            </w:r>
          </w:p>
        </w:tc>
        <w:tc>
          <w:tcPr>
            <w:tcW w:type="dxa" w:w="5688"/>
            <w:shd w:fill="EEF4F8"/>
          </w:tcPr>
          <w:p>
            <w:r/>
            <w:r>
              <w:rPr>
                <w:sz w:val="16"/>
              </w:rPr>
              <w:t>Every final column documented by layer and meaning</w:t>
            </w:r>
          </w:p>
        </w:tc>
      </w:tr>
      <w:tr>
        <w:tc>
          <w:tcPr>
            <w:tcW w:type="dxa" w:w="2664"/>
          </w:tcPr>
          <w:p>
            <w:r/>
            <w:r>
              <w:rPr>
                <w:sz w:val="16"/>
              </w:rPr>
              <w:t>test_customers.csv / unseen_customers_scored.csv</w:t>
            </w:r>
          </w:p>
        </w:tc>
        <w:tc>
          <w:tcPr>
            <w:tcW w:type="dxa" w:w="5688"/>
          </w:tcPr>
          <w:p>
            <w:r/>
            <w:r>
              <w:rPr>
                <w:sz w:val="16"/>
              </w:rPr>
              <w:t>The unseen-customer template and its scored output from Task E3</w:t>
            </w:r>
          </w:p>
        </w:tc>
      </w:tr>
      <w:tr>
        <w:tc>
          <w:tcPr>
            <w:tcW w:type="dxa" w:w="2664"/>
            <w:shd w:fill="EEF4F8"/>
          </w:tcPr>
          <w:p>
            <w:r/>
            <w:r>
              <w:rPr>
                <w:sz w:val="16"/>
              </w:rPr>
              <w:t>HealthWise_Report.docx</w:t>
            </w:r>
          </w:p>
        </w:tc>
        <w:tc>
          <w:tcPr>
            <w:tcW w:type="dxa" w:w="5688"/>
            <w:shd w:fill="EEF4F8"/>
          </w:tcPr>
          <w:p>
            <w:r/>
            <w:r>
              <w:rPr>
                <w:sz w:val="16"/>
              </w:rPr>
              <w:t>This report</w:t>
            </w:r>
          </w:p>
        </w:tc>
      </w:tr>
      <w:tr>
        <w:tc>
          <w:tcPr>
            <w:tcW w:type="dxa" w:w="2664"/>
          </w:tcPr>
          <w:p>
            <w:r/>
            <w:r>
              <w:rPr>
                <w:sz w:val="16"/>
              </w:rPr>
              <w:t>figures/</w:t>
            </w:r>
          </w:p>
        </w:tc>
        <w:tc>
          <w:tcPr>
            <w:tcW w:type="dxa" w:w="5688"/>
          </w:tcPr>
          <w:p>
            <w:r/>
            <w:r>
              <w:rPr>
                <w:sz w:val="16"/>
              </w:rPr>
              <w:t>All 19 analysis figures plus two dashboard screenshots</w:t>
            </w:r>
          </w:p>
        </w:tc>
      </w:tr>
    </w:tbl>
    <w:p>
      <w:pPr>
        <w:spacing w:after="80"/>
      </w:pPr>
    </w:p>
    <w:p/>
    <w:p>
      <w:pPr>
        <w:spacing w:after="120"/>
        <w:jc w:val="center"/>
      </w:pPr>
      <w:r>
        <w:rPr>
          <w:b w:val="0"/>
          <w:i/>
          <w:color w:val="5A6A78"/>
          <w:sz w:val="17"/>
        </w:rPr>
        <w:t>Premiums in this project are model estimates produced for academic demonstration and are not a quotation. All findings describe associations in historical data, not causal effects.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B496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B496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5A6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