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FD" w:rsidRDefault="00405B3C" w:rsidP="00A83F0F">
      <w:pPr>
        <w:pStyle w:val="Heading2"/>
        <w:jc w:val="center"/>
      </w:pPr>
      <w:r>
        <w:t>Supporting information</w:t>
      </w:r>
      <w:r w:rsidR="00A83F0F">
        <w:t xml:space="preserve"> for:</w:t>
      </w:r>
    </w:p>
    <w:p w:rsidR="00A83F0F" w:rsidRDefault="00A83F0F" w:rsidP="00A83F0F">
      <w:pPr>
        <w:pStyle w:val="Heading1"/>
        <w:tabs>
          <w:tab w:val="left" w:pos="1260"/>
        </w:tabs>
      </w:pPr>
      <w:r>
        <w:t xml:space="preserve">Strength of functional signature correlates with effect size in autism </w:t>
      </w:r>
    </w:p>
    <w:p w:rsidR="00A83F0F" w:rsidRPr="00DA28FD" w:rsidRDefault="00A83F0F" w:rsidP="00DA28FD">
      <w:r>
        <w:t xml:space="preserve"> This file contains supplementary figures S1-5. </w:t>
      </w:r>
    </w:p>
    <w:p w:rsidR="00704929" w:rsidRDefault="0067744E" w:rsidP="00704929">
      <w:pPr>
        <w:pStyle w:val="Heading3"/>
      </w:pPr>
      <w:r>
        <w:t>Supplementary Figures</w:t>
      </w:r>
      <w:bookmarkStart w:id="0" w:name="_Ref424300661"/>
    </w:p>
    <w:p w:rsidR="004232F3" w:rsidRPr="00094993" w:rsidRDefault="004232F3" w:rsidP="00403BE1">
      <w:pPr>
        <w:rPr>
          <w:sz w:val="20"/>
        </w:rPr>
      </w:pPr>
      <w:bookmarkStart w:id="1" w:name="_Ref431224092"/>
      <w:bookmarkStart w:id="2" w:name="_Ref421987210"/>
    </w:p>
    <w:p w:rsidR="00403BE1" w:rsidRPr="00C84B4B" w:rsidRDefault="0098556F" w:rsidP="00403BE1">
      <w:r>
        <w:rPr>
          <w:noProof/>
        </w:rPr>
        <w:drawing>
          <wp:inline distT="0" distB="0" distL="0" distR="0">
            <wp:extent cx="5934075" cy="4895850"/>
            <wp:effectExtent l="0" t="0" r="9525" b="0"/>
            <wp:docPr id="10" name="Picture 10" descr="H:\GeneNetworks\papers\ASD\GenomeMed\rev1\figs\supp-fig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:\GeneNetworks\papers\ASD\GenomeMed\rev1\figs\supp-figS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BE1" w:rsidRPr="00FD1372" w:rsidRDefault="009F2327" w:rsidP="00C30A0B">
      <w:pPr>
        <w:rPr>
          <w:sz w:val="20"/>
        </w:rPr>
      </w:pPr>
      <w:r>
        <w:rPr>
          <w:b/>
          <w:sz w:val="20"/>
        </w:rPr>
        <w:t>Fig</w:t>
      </w:r>
      <w:r w:rsidR="00403BE1" w:rsidRPr="00094993">
        <w:rPr>
          <w:b/>
          <w:sz w:val="20"/>
        </w:rPr>
        <w:t xml:space="preserve"> </w:t>
      </w:r>
      <w:r>
        <w:rPr>
          <w:b/>
          <w:sz w:val="20"/>
        </w:rPr>
        <w:t>S</w:t>
      </w:r>
      <w:r w:rsidR="00403BE1" w:rsidRPr="00094993">
        <w:rPr>
          <w:b/>
          <w:sz w:val="20"/>
        </w:rPr>
        <w:fldChar w:fldCharType="begin"/>
      </w:r>
      <w:r w:rsidR="00403BE1" w:rsidRPr="00094993">
        <w:rPr>
          <w:b/>
          <w:sz w:val="20"/>
        </w:rPr>
        <w:instrText xml:space="preserve"> SEQ Supplementary_Figure \* ARABIC </w:instrText>
      </w:r>
      <w:r w:rsidR="00403BE1" w:rsidRPr="00094993">
        <w:rPr>
          <w:b/>
          <w:sz w:val="20"/>
        </w:rPr>
        <w:fldChar w:fldCharType="separate"/>
      </w:r>
      <w:r w:rsidR="002114BA">
        <w:rPr>
          <w:b/>
          <w:noProof/>
          <w:sz w:val="20"/>
        </w:rPr>
        <w:t>1</w:t>
      </w:r>
      <w:r w:rsidR="00403BE1" w:rsidRPr="00094993">
        <w:rPr>
          <w:b/>
          <w:noProof/>
          <w:sz w:val="20"/>
        </w:rPr>
        <w:fldChar w:fldCharType="end"/>
      </w:r>
      <w:bookmarkEnd w:id="1"/>
      <w:r w:rsidR="00403BE1" w:rsidRPr="00094993">
        <w:rPr>
          <w:b/>
          <w:sz w:val="20"/>
        </w:rPr>
        <w:t xml:space="preserve"> Trend line robustness analysis.</w:t>
      </w:r>
      <w:r w:rsidR="00403BE1">
        <w:rPr>
          <w:b/>
          <w:sz w:val="20"/>
        </w:rPr>
        <w:t xml:space="preserve"> </w:t>
      </w:r>
      <w:r w:rsidR="004232F3">
        <w:rPr>
          <w:sz w:val="20"/>
        </w:rPr>
        <w:t xml:space="preserve">The functional </w:t>
      </w:r>
      <w:r w:rsidR="00EF6285">
        <w:rPr>
          <w:sz w:val="20"/>
        </w:rPr>
        <w:t>convergence correlations</w:t>
      </w:r>
      <w:r w:rsidR="004232F3">
        <w:rPr>
          <w:sz w:val="20"/>
        </w:rPr>
        <w:t xml:space="preserve"> are depende</w:t>
      </w:r>
      <w:r w:rsidR="00FD1372">
        <w:rPr>
          <w:sz w:val="20"/>
        </w:rPr>
        <w:t xml:space="preserve">nt on a few of our assumptions. </w:t>
      </w:r>
      <w:r w:rsidR="00C30A0B">
        <w:rPr>
          <w:sz w:val="20"/>
        </w:rPr>
        <w:t xml:space="preserve">(A) When we remove controls, (B) rare variant gene sets (C) and common gene sets we lose all significant slopes at an FDR of 0.01, </w:t>
      </w:r>
      <w:r w:rsidR="00FD1372">
        <w:rPr>
          <w:sz w:val="20"/>
        </w:rPr>
        <w:t>and</w:t>
      </w:r>
      <w:r w:rsidR="00C30A0B">
        <w:rPr>
          <w:sz w:val="20"/>
        </w:rPr>
        <w:t xml:space="preserve"> the distributions are </w:t>
      </w:r>
      <w:r w:rsidR="00643BB0">
        <w:rPr>
          <w:sz w:val="20"/>
        </w:rPr>
        <w:t xml:space="preserve">still significantly different than the </w:t>
      </w:r>
      <w:r w:rsidR="00FD1372">
        <w:rPr>
          <w:sz w:val="20"/>
        </w:rPr>
        <w:t>null</w:t>
      </w:r>
      <w:r w:rsidR="00643BB0">
        <w:rPr>
          <w:sz w:val="20"/>
        </w:rPr>
        <w:t xml:space="preserve"> (</w:t>
      </w:r>
      <w:r w:rsidR="0032789F">
        <w:rPr>
          <w:sz w:val="20"/>
        </w:rPr>
        <w:t>Student’s paired T</w:t>
      </w:r>
      <w:r w:rsidR="00EF0EB3">
        <w:rPr>
          <w:sz w:val="20"/>
        </w:rPr>
        <w:t>-</w:t>
      </w:r>
      <w:r w:rsidR="0032789F">
        <w:rPr>
          <w:sz w:val="20"/>
        </w:rPr>
        <w:t xml:space="preserve">test </w:t>
      </w:r>
      <w:r w:rsidR="00643BB0" w:rsidRPr="00643BB0">
        <w:rPr>
          <w:i/>
          <w:sz w:val="20"/>
        </w:rPr>
        <w:t>p</w:t>
      </w:r>
      <w:r w:rsidR="00643BB0">
        <w:rPr>
          <w:sz w:val="20"/>
        </w:rPr>
        <w:t>&lt;2.2e-16)</w:t>
      </w:r>
      <w:r w:rsidR="00C30A0B">
        <w:rPr>
          <w:sz w:val="20"/>
        </w:rPr>
        <w:t xml:space="preserve">. Looking at the functions with at least one functionally </w:t>
      </w:r>
      <w:r w:rsidR="00FD1372">
        <w:rPr>
          <w:sz w:val="20"/>
        </w:rPr>
        <w:t>significant</w:t>
      </w:r>
      <w:r w:rsidR="00C30A0B">
        <w:rPr>
          <w:sz w:val="20"/>
        </w:rPr>
        <w:t xml:space="preserve"> gene set, (D) w</w:t>
      </w:r>
      <w:r w:rsidR="004232F3">
        <w:rPr>
          <w:sz w:val="20"/>
        </w:rPr>
        <w:t xml:space="preserve">hen we remove controls, we still see a shift in distributions towards positive slopes </w:t>
      </w:r>
      <w:r w:rsidR="005F72C0">
        <w:rPr>
          <w:sz w:val="20"/>
        </w:rPr>
        <w:t>(</w:t>
      </w:r>
      <w:r w:rsidR="00EF0EB3">
        <w:rPr>
          <w:sz w:val="20"/>
        </w:rPr>
        <w:t>Student’s paired T-</w:t>
      </w:r>
      <w:r w:rsidR="0032789F" w:rsidRPr="0032789F">
        <w:rPr>
          <w:sz w:val="20"/>
        </w:rPr>
        <w:t xml:space="preserve">test </w:t>
      </w:r>
      <w:r w:rsidR="005F72C0">
        <w:rPr>
          <w:sz w:val="20"/>
        </w:rPr>
        <w:t>p~</w:t>
      </w:r>
      <w:r w:rsidR="0032789F">
        <w:rPr>
          <w:sz w:val="20"/>
        </w:rPr>
        <w:t>4.2</w:t>
      </w:r>
      <w:r w:rsidR="00FD1372">
        <w:rPr>
          <w:sz w:val="20"/>
        </w:rPr>
        <w:t>e-7</w:t>
      </w:r>
      <w:r w:rsidR="005F72C0">
        <w:rPr>
          <w:sz w:val="20"/>
        </w:rPr>
        <w:t>)</w:t>
      </w:r>
      <w:r w:rsidR="004232F3">
        <w:rPr>
          <w:sz w:val="20"/>
        </w:rPr>
        <w:t xml:space="preserve"> yet </w:t>
      </w:r>
      <w:r w:rsidR="00237DED">
        <w:rPr>
          <w:sz w:val="20"/>
        </w:rPr>
        <w:t>none are</w:t>
      </w:r>
      <w:r w:rsidR="00D941D3">
        <w:rPr>
          <w:sz w:val="20"/>
        </w:rPr>
        <w:t xml:space="preserve"> significant at a FDR of 0.</w:t>
      </w:r>
      <w:r w:rsidR="00237DED">
        <w:rPr>
          <w:sz w:val="20"/>
        </w:rPr>
        <w:t>0</w:t>
      </w:r>
      <w:r w:rsidR="00D941D3">
        <w:rPr>
          <w:sz w:val="20"/>
        </w:rPr>
        <w:t>1</w:t>
      </w:r>
      <w:r w:rsidR="004232F3">
        <w:rPr>
          <w:sz w:val="20"/>
        </w:rPr>
        <w:t xml:space="preserve">. (E) </w:t>
      </w:r>
      <w:r w:rsidR="00237DED">
        <w:rPr>
          <w:sz w:val="20"/>
        </w:rPr>
        <w:t>We lose</w:t>
      </w:r>
      <w:r w:rsidR="0032789F">
        <w:rPr>
          <w:sz w:val="20"/>
        </w:rPr>
        <w:t xml:space="preserve"> most of the</w:t>
      </w:r>
      <w:r w:rsidR="00237DED">
        <w:rPr>
          <w:sz w:val="20"/>
        </w:rPr>
        <w:t xml:space="preserve"> signal when we remove the </w:t>
      </w:r>
      <w:r w:rsidR="004232F3">
        <w:rPr>
          <w:sz w:val="20"/>
        </w:rPr>
        <w:t xml:space="preserve">rare variant gene sets </w:t>
      </w:r>
      <w:r w:rsidR="004232F3">
        <w:rPr>
          <w:sz w:val="20"/>
        </w:rPr>
        <w:lastRenderedPageBreak/>
        <w:t>(</w:t>
      </w:r>
      <w:r w:rsidR="0032789F">
        <w:rPr>
          <w:sz w:val="20"/>
        </w:rPr>
        <w:t>Student’s paired T</w:t>
      </w:r>
      <w:r w:rsidR="00EF0EB3">
        <w:rPr>
          <w:sz w:val="20"/>
        </w:rPr>
        <w:t>-</w:t>
      </w:r>
      <w:r w:rsidR="0032789F">
        <w:rPr>
          <w:sz w:val="20"/>
        </w:rPr>
        <w:t xml:space="preserve">test </w:t>
      </w:r>
      <w:r w:rsidR="004232F3">
        <w:rPr>
          <w:sz w:val="20"/>
        </w:rPr>
        <w:t>p~</w:t>
      </w:r>
      <w:r w:rsidR="00FD1372">
        <w:rPr>
          <w:sz w:val="20"/>
        </w:rPr>
        <w:t>0.</w:t>
      </w:r>
      <w:r w:rsidR="0032789F">
        <w:rPr>
          <w:sz w:val="20"/>
        </w:rPr>
        <w:t>02</w:t>
      </w:r>
      <w:r w:rsidR="004232F3">
        <w:rPr>
          <w:sz w:val="20"/>
        </w:rPr>
        <w:t>)</w:t>
      </w:r>
      <w:r w:rsidR="00237DED">
        <w:rPr>
          <w:sz w:val="20"/>
        </w:rPr>
        <w:t xml:space="preserve"> (F) and the </w:t>
      </w:r>
      <w:r w:rsidR="004232F3">
        <w:rPr>
          <w:sz w:val="20"/>
        </w:rPr>
        <w:t xml:space="preserve">common gene sets </w:t>
      </w:r>
      <w:r w:rsidR="00FD1372">
        <w:rPr>
          <w:sz w:val="20"/>
        </w:rPr>
        <w:t xml:space="preserve">even though there is a still a positive trend </w:t>
      </w:r>
      <w:r w:rsidR="004232F3">
        <w:rPr>
          <w:sz w:val="20"/>
        </w:rPr>
        <w:t>(</w:t>
      </w:r>
      <w:r w:rsidR="0032789F">
        <w:rPr>
          <w:sz w:val="20"/>
        </w:rPr>
        <w:t>Student’s paired T</w:t>
      </w:r>
      <w:r w:rsidR="00EF0EB3">
        <w:rPr>
          <w:sz w:val="20"/>
        </w:rPr>
        <w:t>-</w:t>
      </w:r>
      <w:r w:rsidR="0032789F">
        <w:rPr>
          <w:sz w:val="20"/>
        </w:rPr>
        <w:t xml:space="preserve">test </w:t>
      </w:r>
      <w:r w:rsidR="004232F3">
        <w:rPr>
          <w:sz w:val="20"/>
        </w:rPr>
        <w:t>p</w:t>
      </w:r>
      <w:r w:rsidR="00C30A0B">
        <w:rPr>
          <w:sz w:val="20"/>
        </w:rPr>
        <w:t>~</w:t>
      </w:r>
      <w:r w:rsidR="0032789F">
        <w:rPr>
          <w:sz w:val="20"/>
        </w:rPr>
        <w:t>8</w:t>
      </w:r>
      <w:r w:rsidR="00246CAF">
        <w:rPr>
          <w:sz w:val="20"/>
        </w:rPr>
        <w:t>.</w:t>
      </w:r>
      <w:r w:rsidR="0032789F">
        <w:rPr>
          <w:sz w:val="20"/>
        </w:rPr>
        <w:t>2</w:t>
      </w:r>
      <w:r w:rsidR="00246CAF">
        <w:rPr>
          <w:sz w:val="20"/>
        </w:rPr>
        <w:t>e</w:t>
      </w:r>
      <w:r w:rsidR="00FD1372">
        <w:rPr>
          <w:sz w:val="20"/>
        </w:rPr>
        <w:t>-</w:t>
      </w:r>
      <w:r w:rsidR="0032789F">
        <w:rPr>
          <w:sz w:val="20"/>
        </w:rPr>
        <w:t>7</w:t>
      </w:r>
      <w:r w:rsidR="004232F3">
        <w:rPr>
          <w:sz w:val="20"/>
        </w:rPr>
        <w:t xml:space="preserve">).   </w:t>
      </w:r>
    </w:p>
    <w:bookmarkEnd w:id="2"/>
    <w:p w:rsidR="00261C19" w:rsidRDefault="0098556F" w:rsidP="00261C19">
      <w:pPr>
        <w:rPr>
          <w:b/>
          <w:bCs/>
          <w:color w:val="4F81BD" w:themeColor="accent1"/>
          <w:sz w:val="18"/>
          <w:szCs w:val="18"/>
        </w:rPr>
      </w:pPr>
      <w:r>
        <w:rPr>
          <w:b/>
          <w:bCs/>
          <w:noProof/>
          <w:color w:val="4F81BD" w:themeColor="accent1"/>
          <w:sz w:val="18"/>
          <w:szCs w:val="18"/>
        </w:rPr>
        <w:drawing>
          <wp:inline distT="0" distB="0" distL="0" distR="0">
            <wp:extent cx="5934075" cy="4886325"/>
            <wp:effectExtent l="0" t="0" r="9525" b="9525"/>
            <wp:docPr id="11" name="Picture 11" descr="H:\GeneNetworks\papers\ASD\GenomeMed\rev1\figs\supp-fig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:\GeneNetworks\papers\ASD\GenomeMed\rev1\figs\supp-fig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853" w:rsidRPr="00733853" w:rsidRDefault="00261C19" w:rsidP="00733853">
      <w:pPr>
        <w:rPr>
          <w:b/>
        </w:rPr>
      </w:pPr>
      <w:r>
        <w:rPr>
          <w:b/>
          <w:sz w:val="20"/>
        </w:rPr>
        <w:t>Fig</w:t>
      </w:r>
      <w:r w:rsidRPr="00094993">
        <w:rPr>
          <w:b/>
          <w:sz w:val="20"/>
        </w:rPr>
        <w:t xml:space="preserve"> </w:t>
      </w:r>
      <w:r>
        <w:rPr>
          <w:b/>
          <w:sz w:val="20"/>
        </w:rPr>
        <w:t>S</w:t>
      </w:r>
      <w:r w:rsidRPr="00094993">
        <w:rPr>
          <w:b/>
          <w:sz w:val="20"/>
        </w:rPr>
        <w:fldChar w:fldCharType="begin"/>
      </w:r>
      <w:r w:rsidRPr="00094993">
        <w:rPr>
          <w:b/>
          <w:sz w:val="20"/>
        </w:rPr>
        <w:instrText xml:space="preserve"> SEQ Supplementary_Figure \* ARABIC </w:instrText>
      </w:r>
      <w:r w:rsidRPr="00094993">
        <w:rPr>
          <w:b/>
          <w:sz w:val="20"/>
        </w:rPr>
        <w:fldChar w:fldCharType="separate"/>
      </w:r>
      <w:r w:rsidR="002114BA">
        <w:rPr>
          <w:b/>
          <w:noProof/>
          <w:sz w:val="20"/>
        </w:rPr>
        <w:t>2</w:t>
      </w:r>
      <w:r w:rsidRPr="00094993">
        <w:rPr>
          <w:b/>
          <w:noProof/>
          <w:sz w:val="20"/>
        </w:rPr>
        <w:fldChar w:fldCharType="end"/>
      </w:r>
      <w:r w:rsidRPr="00094993">
        <w:rPr>
          <w:b/>
          <w:sz w:val="20"/>
        </w:rPr>
        <w:t xml:space="preserve"> </w:t>
      </w:r>
      <w:r w:rsidR="00CC3DE3">
        <w:rPr>
          <w:b/>
          <w:sz w:val="20"/>
        </w:rPr>
        <w:t xml:space="preserve">Functional convergence correlation/trend distribution </w:t>
      </w:r>
      <w:r w:rsidRPr="00EF6285">
        <w:rPr>
          <w:b/>
          <w:sz w:val="20"/>
        </w:rPr>
        <w:t>null</w:t>
      </w:r>
      <w:r w:rsidR="00571AC6" w:rsidRPr="00EF6285">
        <w:rPr>
          <w:b/>
          <w:sz w:val="20"/>
        </w:rPr>
        <w:t>s using</w:t>
      </w:r>
      <w:r w:rsidRPr="00EF6285">
        <w:rPr>
          <w:b/>
          <w:sz w:val="20"/>
        </w:rPr>
        <w:t xml:space="preserve"> </w:t>
      </w:r>
      <w:r w:rsidR="00571AC6" w:rsidRPr="00EF6285">
        <w:rPr>
          <w:b/>
          <w:sz w:val="20"/>
        </w:rPr>
        <w:t>matched</w:t>
      </w:r>
      <w:r w:rsidRPr="00EF6285">
        <w:rPr>
          <w:b/>
          <w:sz w:val="20"/>
        </w:rPr>
        <w:t xml:space="preserve"> controls</w:t>
      </w:r>
      <w:r w:rsidR="00EF6285">
        <w:rPr>
          <w:b/>
          <w:sz w:val="20"/>
        </w:rPr>
        <w:t xml:space="preserve">. </w:t>
      </w:r>
      <w:r w:rsidR="00733853" w:rsidRPr="00EA38EB">
        <w:rPr>
          <w:sz w:val="20"/>
        </w:rPr>
        <w:t>(A)</w:t>
      </w:r>
      <w:r w:rsidR="00733853">
        <w:rPr>
          <w:sz w:val="20"/>
        </w:rPr>
        <w:t xml:space="preserve"> For disease matched controls, the distribution of slopes (shown in grey) displays a partial positive trend, yet not as much as the real disease gene sets</w:t>
      </w:r>
      <w:r w:rsidR="007E0AA0">
        <w:rPr>
          <w:sz w:val="20"/>
        </w:rPr>
        <w:t xml:space="preserve"> (</w:t>
      </w:r>
      <w:r w:rsidR="00EF6285">
        <w:rPr>
          <w:sz w:val="20"/>
        </w:rPr>
        <w:t xml:space="preserve">Student’s paired T-test </w:t>
      </w:r>
      <w:r w:rsidR="007E0AA0">
        <w:rPr>
          <w:sz w:val="20"/>
        </w:rPr>
        <w:t>p&lt;2.2e-16)</w:t>
      </w:r>
      <w:r w:rsidR="00733853">
        <w:rPr>
          <w:sz w:val="20"/>
        </w:rPr>
        <w:t xml:space="preserve">. (B) The same applies for multifunctional genes </w:t>
      </w:r>
      <w:r w:rsidR="007E0AA0">
        <w:rPr>
          <w:sz w:val="20"/>
        </w:rPr>
        <w:t>(</w:t>
      </w:r>
      <w:r w:rsidR="00EF6285">
        <w:rPr>
          <w:sz w:val="20"/>
        </w:rPr>
        <w:t xml:space="preserve">Student’s paired T-test </w:t>
      </w:r>
      <w:r w:rsidR="007E0AA0">
        <w:rPr>
          <w:sz w:val="20"/>
        </w:rPr>
        <w:t xml:space="preserve">p&lt;2.2e-16) </w:t>
      </w:r>
      <w:r w:rsidR="00733853">
        <w:rPr>
          <w:sz w:val="20"/>
        </w:rPr>
        <w:t>(C) and length matched genes</w:t>
      </w:r>
      <w:r w:rsidR="007E0AA0">
        <w:rPr>
          <w:sz w:val="20"/>
        </w:rPr>
        <w:t xml:space="preserve"> (</w:t>
      </w:r>
      <w:r w:rsidR="00EF6285">
        <w:rPr>
          <w:sz w:val="20"/>
        </w:rPr>
        <w:t xml:space="preserve">Student’s paired T-test </w:t>
      </w:r>
      <w:r w:rsidR="007E0AA0">
        <w:rPr>
          <w:sz w:val="20"/>
        </w:rPr>
        <w:t>p&lt;2.2e-16)</w:t>
      </w:r>
      <w:r w:rsidR="00733853">
        <w:rPr>
          <w:sz w:val="20"/>
        </w:rPr>
        <w:t xml:space="preserve">. </w:t>
      </w:r>
      <w:r w:rsidR="00135363">
        <w:rPr>
          <w:sz w:val="20"/>
        </w:rPr>
        <w:t xml:space="preserve">Using these as nulls, we get many more slopes passing an FDR of 0.01 than the permuted null, with 123, 57 and 87 slopes considered significant. </w:t>
      </w:r>
      <w:r w:rsidR="00733853">
        <w:rPr>
          <w:sz w:val="20"/>
        </w:rPr>
        <w:t>(D) Looking only at the subset of functions that are considered significant</w:t>
      </w:r>
      <w:r w:rsidR="00135363">
        <w:rPr>
          <w:sz w:val="20"/>
        </w:rPr>
        <w:t xml:space="preserve"> (i.e., have at least one gene set collection with a functional signal)</w:t>
      </w:r>
      <w:r w:rsidR="00733853">
        <w:rPr>
          <w:sz w:val="20"/>
        </w:rPr>
        <w:t xml:space="preserve">, the distribution of slopes is almost normal for both the disease </w:t>
      </w:r>
      <w:r w:rsidR="007E0AA0">
        <w:rPr>
          <w:sz w:val="20"/>
        </w:rPr>
        <w:t>(</w:t>
      </w:r>
      <w:r w:rsidR="00EF6285">
        <w:rPr>
          <w:sz w:val="20"/>
        </w:rPr>
        <w:t xml:space="preserve">Student’s paired T-test </w:t>
      </w:r>
      <w:r w:rsidR="003C12FB">
        <w:rPr>
          <w:sz w:val="20"/>
        </w:rPr>
        <w:t>p&lt;2.2e-16</w:t>
      </w:r>
      <w:r w:rsidR="007E0AA0">
        <w:rPr>
          <w:sz w:val="20"/>
        </w:rPr>
        <w:t xml:space="preserve">) </w:t>
      </w:r>
      <w:r w:rsidR="00733853">
        <w:rPr>
          <w:sz w:val="20"/>
        </w:rPr>
        <w:t>and (E) multifunctional gene matched sets</w:t>
      </w:r>
      <w:r w:rsidR="00BB388F">
        <w:rPr>
          <w:sz w:val="20"/>
        </w:rPr>
        <w:t xml:space="preserve"> (</w:t>
      </w:r>
      <w:r w:rsidR="00EF6285">
        <w:rPr>
          <w:sz w:val="20"/>
        </w:rPr>
        <w:t xml:space="preserve">Student’s paired T-test </w:t>
      </w:r>
      <w:r w:rsidR="003C12FB">
        <w:rPr>
          <w:sz w:val="20"/>
        </w:rPr>
        <w:t>p&lt;2.2e-16</w:t>
      </w:r>
      <w:r w:rsidR="007E0AA0">
        <w:rPr>
          <w:sz w:val="20"/>
        </w:rPr>
        <w:t>)</w:t>
      </w:r>
      <w:r w:rsidR="00733853">
        <w:rPr>
          <w:sz w:val="20"/>
        </w:rPr>
        <w:t>. (F) The length control still has a slight positive trend, but not significant</w:t>
      </w:r>
      <w:r w:rsidR="004C4160">
        <w:rPr>
          <w:sz w:val="20"/>
        </w:rPr>
        <w:t>.</w:t>
      </w:r>
      <w:r w:rsidR="007E0AA0">
        <w:rPr>
          <w:sz w:val="20"/>
        </w:rPr>
        <w:t xml:space="preserve"> </w:t>
      </w:r>
      <w:r w:rsidR="00135363">
        <w:rPr>
          <w:sz w:val="20"/>
        </w:rPr>
        <w:t>Although no slopes pass the FDR 0.01 threshold for the multifunctional nulls, t</w:t>
      </w:r>
      <w:r w:rsidR="00733853">
        <w:rPr>
          <w:sz w:val="20"/>
        </w:rPr>
        <w:t xml:space="preserve">here are </w:t>
      </w:r>
      <w:r w:rsidR="00135363">
        <w:rPr>
          <w:sz w:val="20"/>
        </w:rPr>
        <w:t>3</w:t>
      </w:r>
      <w:r w:rsidR="00733853">
        <w:rPr>
          <w:sz w:val="20"/>
        </w:rPr>
        <w:t xml:space="preserve"> slopes that pass the FDR 0.01 threshold when using the length matched controls as a nul</w:t>
      </w:r>
      <w:r w:rsidR="007E0AA0">
        <w:rPr>
          <w:sz w:val="20"/>
        </w:rPr>
        <w:t>l (</w:t>
      </w:r>
      <w:r w:rsidR="00EF6285">
        <w:rPr>
          <w:sz w:val="20"/>
        </w:rPr>
        <w:t xml:space="preserve">Student’s paired T-test </w:t>
      </w:r>
      <w:r w:rsidR="003C12FB">
        <w:rPr>
          <w:sz w:val="20"/>
        </w:rPr>
        <w:t>p&lt;2.2e-16</w:t>
      </w:r>
      <w:r w:rsidR="007E0AA0">
        <w:rPr>
          <w:sz w:val="20"/>
        </w:rPr>
        <w:t xml:space="preserve">). </w:t>
      </w:r>
      <w:r w:rsidR="00135363">
        <w:rPr>
          <w:sz w:val="20"/>
        </w:rPr>
        <w:t xml:space="preserve"> </w:t>
      </w:r>
    </w:p>
    <w:p w:rsidR="00261C19" w:rsidRDefault="00261C19" w:rsidP="00261C19">
      <w:pPr>
        <w:rPr>
          <w:b/>
        </w:rPr>
      </w:pPr>
      <w:r>
        <w:rPr>
          <w:b/>
          <w:sz w:val="20"/>
        </w:rPr>
        <w:br/>
      </w:r>
    </w:p>
    <w:p w:rsidR="004B14D4" w:rsidRDefault="004B14D4" w:rsidP="004B14D4">
      <w:pPr>
        <w:rPr>
          <w:b/>
          <w:bCs/>
          <w:color w:val="4F81BD" w:themeColor="accent1"/>
          <w:sz w:val="18"/>
          <w:szCs w:val="18"/>
        </w:rPr>
      </w:pPr>
    </w:p>
    <w:p w:rsidR="007F325B" w:rsidRDefault="007F325B" w:rsidP="004B14D4">
      <w:pPr>
        <w:rPr>
          <w:b/>
          <w:sz w:val="20"/>
        </w:rPr>
      </w:pPr>
    </w:p>
    <w:p w:rsidR="007F325B" w:rsidRDefault="0098556F" w:rsidP="004B14D4">
      <w:pPr>
        <w:rPr>
          <w:b/>
          <w:sz w:val="20"/>
        </w:rPr>
      </w:pPr>
      <w:r>
        <w:rPr>
          <w:b/>
          <w:noProof/>
          <w:sz w:val="20"/>
        </w:rPr>
        <w:drawing>
          <wp:inline distT="0" distB="0" distL="0" distR="0">
            <wp:extent cx="5648325" cy="3862258"/>
            <wp:effectExtent l="0" t="0" r="0" b="5080"/>
            <wp:docPr id="12" name="Picture 12" descr="H:\GeneNetworks\papers\ASD\GenomeMed\rev1\figs\supp-fig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GeneNetworks\papers\ASD\GenomeMed\rev1\figs\supp-figS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86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14D4" w:rsidRDefault="004B14D4" w:rsidP="004B14D4">
      <w:pPr>
        <w:rPr>
          <w:sz w:val="20"/>
        </w:rPr>
      </w:pPr>
      <w:proofErr w:type="gramStart"/>
      <w:r>
        <w:rPr>
          <w:b/>
          <w:sz w:val="20"/>
        </w:rPr>
        <w:t>Fig</w:t>
      </w:r>
      <w:r w:rsidRPr="00094993">
        <w:rPr>
          <w:b/>
          <w:sz w:val="20"/>
        </w:rPr>
        <w:t xml:space="preserve"> </w:t>
      </w:r>
      <w:r>
        <w:rPr>
          <w:b/>
          <w:sz w:val="20"/>
        </w:rPr>
        <w:t>S</w:t>
      </w:r>
      <w:r w:rsidRPr="00094993">
        <w:rPr>
          <w:b/>
          <w:sz w:val="20"/>
        </w:rPr>
        <w:fldChar w:fldCharType="begin"/>
      </w:r>
      <w:r w:rsidRPr="00094993">
        <w:rPr>
          <w:b/>
          <w:sz w:val="20"/>
        </w:rPr>
        <w:instrText xml:space="preserve"> SEQ Supplementary_Figure \* ARABIC </w:instrText>
      </w:r>
      <w:r w:rsidRPr="00094993">
        <w:rPr>
          <w:b/>
          <w:sz w:val="20"/>
        </w:rPr>
        <w:fldChar w:fldCharType="separate"/>
      </w:r>
      <w:r w:rsidR="002114BA">
        <w:rPr>
          <w:b/>
          <w:noProof/>
          <w:sz w:val="20"/>
        </w:rPr>
        <w:t>3</w:t>
      </w:r>
      <w:r w:rsidRPr="00094993">
        <w:rPr>
          <w:b/>
          <w:noProof/>
          <w:sz w:val="20"/>
        </w:rPr>
        <w:fldChar w:fldCharType="end"/>
      </w:r>
      <w:r w:rsidRPr="00094993">
        <w:rPr>
          <w:b/>
          <w:sz w:val="20"/>
        </w:rPr>
        <w:t xml:space="preserve"> </w:t>
      </w:r>
      <w:r w:rsidR="00CC3DE3">
        <w:rPr>
          <w:b/>
          <w:sz w:val="20"/>
        </w:rPr>
        <w:t xml:space="preserve">Functional convergence correlation/trend distributions </w:t>
      </w:r>
      <w:r w:rsidRPr="00EF6285">
        <w:rPr>
          <w:b/>
          <w:sz w:val="20"/>
        </w:rPr>
        <w:t>for GWA studies.</w:t>
      </w:r>
      <w:proofErr w:type="gramEnd"/>
      <w:r w:rsidR="00CC3DE3">
        <w:rPr>
          <w:b/>
          <w:sz w:val="20"/>
        </w:rPr>
        <w:t xml:space="preserve"> </w:t>
      </w:r>
      <w:r w:rsidRPr="00EA38EB">
        <w:rPr>
          <w:sz w:val="20"/>
        </w:rPr>
        <w:t>(A)</w:t>
      </w:r>
      <w:r w:rsidR="003F5692">
        <w:rPr>
          <w:sz w:val="20"/>
        </w:rPr>
        <w:t xml:space="preserve"> Repeating the analysis by substituting the autism GWAs with another GWAs trait or disease, most have no significant slopes in the trend tests, but there is a correlation with the number of samples assessed. All gene sets were </w:t>
      </w:r>
      <w:proofErr w:type="spellStart"/>
      <w:r w:rsidR="003F5692">
        <w:rPr>
          <w:sz w:val="20"/>
        </w:rPr>
        <w:t>downsampled</w:t>
      </w:r>
      <w:proofErr w:type="spellEnd"/>
      <w:r w:rsidR="003F5692">
        <w:rPr>
          <w:sz w:val="20"/>
        </w:rPr>
        <w:t xml:space="preserve"> to be comparable. (B) Slope distributions for the BMI GWAs (C) Slope distributions for the schizophrenia GWAs.  </w:t>
      </w:r>
    </w:p>
    <w:p w:rsidR="006A4751" w:rsidRDefault="006A4751" w:rsidP="004B14D4">
      <w:pPr>
        <w:rPr>
          <w:sz w:val="20"/>
        </w:rPr>
      </w:pPr>
    </w:p>
    <w:p w:rsidR="00405B3C" w:rsidRDefault="00405B3C" w:rsidP="004B14D4">
      <w:pPr>
        <w:rPr>
          <w:sz w:val="20"/>
        </w:rPr>
      </w:pPr>
    </w:p>
    <w:p w:rsidR="002114BA" w:rsidRDefault="0098556F" w:rsidP="002114BA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3638807" cy="2419350"/>
            <wp:effectExtent l="0" t="0" r="0" b="0"/>
            <wp:docPr id="15" name="Picture 15" descr="H:\GeneNetworks\papers\ASD\GenomeMed\rev1\figs\supp-fig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GeneNetworks\papers\ASD\GenomeMed\rev1\figs\supp-figS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807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BA" w:rsidRDefault="002114BA" w:rsidP="002114BA">
      <w:pPr>
        <w:rPr>
          <w:sz w:val="20"/>
        </w:rPr>
      </w:pPr>
      <w:proofErr w:type="gramStart"/>
      <w:r>
        <w:rPr>
          <w:b/>
          <w:sz w:val="20"/>
        </w:rPr>
        <w:t>Fig</w:t>
      </w:r>
      <w:r w:rsidRPr="00094993">
        <w:rPr>
          <w:b/>
          <w:sz w:val="20"/>
        </w:rPr>
        <w:t xml:space="preserve"> </w:t>
      </w:r>
      <w:r>
        <w:rPr>
          <w:b/>
          <w:sz w:val="20"/>
        </w:rPr>
        <w:t>S</w:t>
      </w:r>
      <w:r w:rsidRPr="00094993">
        <w:rPr>
          <w:b/>
          <w:sz w:val="20"/>
        </w:rPr>
        <w:fldChar w:fldCharType="begin"/>
      </w:r>
      <w:r w:rsidRPr="00094993">
        <w:rPr>
          <w:b/>
          <w:sz w:val="20"/>
        </w:rPr>
        <w:instrText xml:space="preserve"> SEQ Supplementary_Figure \* ARABIC </w:instrText>
      </w:r>
      <w:r w:rsidRPr="00094993">
        <w:rPr>
          <w:b/>
          <w:sz w:val="20"/>
        </w:rPr>
        <w:fldChar w:fldCharType="separate"/>
      </w:r>
      <w:r>
        <w:rPr>
          <w:b/>
          <w:noProof/>
          <w:sz w:val="20"/>
        </w:rPr>
        <w:t>4</w:t>
      </w:r>
      <w:r w:rsidRPr="00094993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</w:t>
      </w:r>
      <w:r w:rsidR="00CC3DE3">
        <w:rPr>
          <w:b/>
          <w:sz w:val="20"/>
        </w:rPr>
        <w:t xml:space="preserve">Functional convergence correlation/trend distributions </w:t>
      </w:r>
      <w:r>
        <w:rPr>
          <w:b/>
          <w:sz w:val="20"/>
        </w:rPr>
        <w:t>for all network connectivity tests and all gene expression tests.</w:t>
      </w:r>
      <w:proofErr w:type="gramEnd"/>
      <w:r>
        <w:rPr>
          <w:b/>
          <w:sz w:val="20"/>
        </w:rPr>
        <w:t xml:space="preserve"> </w:t>
      </w:r>
      <w:r w:rsidRPr="00EA38EB">
        <w:rPr>
          <w:sz w:val="20"/>
        </w:rPr>
        <w:t xml:space="preserve"> </w:t>
      </w:r>
      <w:r>
        <w:rPr>
          <w:sz w:val="20"/>
        </w:rPr>
        <w:t>We observe slight enrichments over the null but no significantly enriched slopes at an FDR of 0.01.</w:t>
      </w:r>
      <w:r>
        <w:rPr>
          <w:b/>
          <w:sz w:val="20"/>
        </w:rPr>
        <w:t xml:space="preserve"> </w:t>
      </w:r>
      <w:r w:rsidRPr="00EA38EB">
        <w:rPr>
          <w:sz w:val="20"/>
        </w:rPr>
        <w:t>(A)</w:t>
      </w:r>
      <w:r>
        <w:rPr>
          <w:sz w:val="20"/>
        </w:rPr>
        <w:t xml:space="preserve"> For all network connectivity tests, including both co-expression and extended protein-protein interactions</w:t>
      </w:r>
      <w:r w:rsidR="00EF0EB3">
        <w:rPr>
          <w:sz w:val="20"/>
        </w:rPr>
        <w:t xml:space="preserve"> (Student’s paired T-test p~6e-6)</w:t>
      </w:r>
      <w:r>
        <w:rPr>
          <w:sz w:val="20"/>
        </w:rPr>
        <w:t>. (B) For all tissue, sex and population specific gene expression</w:t>
      </w:r>
      <w:r w:rsidR="00EF0EB3">
        <w:rPr>
          <w:sz w:val="20"/>
        </w:rPr>
        <w:t xml:space="preserve"> </w:t>
      </w:r>
      <w:r w:rsidR="00EF0EB3">
        <w:rPr>
          <w:sz w:val="20"/>
        </w:rPr>
        <w:t>(Student’s paired T-test p&lt;2.2e-16)</w:t>
      </w:r>
      <w:r>
        <w:rPr>
          <w:sz w:val="20"/>
        </w:rPr>
        <w:t xml:space="preserve">. </w:t>
      </w:r>
      <w:r w:rsidR="00593B44">
        <w:rPr>
          <w:sz w:val="20"/>
        </w:rPr>
        <w:t xml:space="preserve"> </w:t>
      </w:r>
    </w:p>
    <w:p w:rsidR="002114BA" w:rsidRDefault="002114BA" w:rsidP="002114BA">
      <w:pPr>
        <w:rPr>
          <w:sz w:val="20"/>
        </w:rPr>
      </w:pPr>
      <w:bookmarkStart w:id="3" w:name="_GoBack"/>
      <w:bookmarkEnd w:id="3"/>
    </w:p>
    <w:p w:rsidR="002114BA" w:rsidRDefault="0098556F" w:rsidP="002114BA">
      <w:pPr>
        <w:rPr>
          <w:b/>
          <w:sz w:val="20"/>
        </w:rPr>
      </w:pPr>
      <w:r>
        <w:rPr>
          <w:b/>
          <w:noProof/>
          <w:sz w:val="20"/>
        </w:rPr>
        <w:lastRenderedPageBreak/>
        <w:drawing>
          <wp:inline distT="0" distB="0" distL="0" distR="0">
            <wp:extent cx="5934075" cy="4648200"/>
            <wp:effectExtent l="0" t="0" r="9525" b="0"/>
            <wp:docPr id="14" name="Picture 14" descr="H:\GeneNetworks\papers\ASD\GenomeMed\rev1\figs\supp-fig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GeneNetworks\papers\ASD\GenomeMed\rev1\figs\supp-figS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4BA" w:rsidRDefault="002114BA" w:rsidP="002114BA">
      <w:pPr>
        <w:rPr>
          <w:sz w:val="20"/>
        </w:rPr>
      </w:pPr>
      <w:proofErr w:type="gramStart"/>
      <w:r>
        <w:rPr>
          <w:b/>
          <w:sz w:val="20"/>
        </w:rPr>
        <w:t>Fig</w:t>
      </w:r>
      <w:r w:rsidRPr="00094993">
        <w:rPr>
          <w:b/>
          <w:sz w:val="20"/>
        </w:rPr>
        <w:t xml:space="preserve"> </w:t>
      </w:r>
      <w:r>
        <w:rPr>
          <w:b/>
          <w:sz w:val="20"/>
        </w:rPr>
        <w:t>S</w:t>
      </w:r>
      <w:r w:rsidRPr="00094993">
        <w:rPr>
          <w:b/>
          <w:sz w:val="20"/>
        </w:rPr>
        <w:fldChar w:fldCharType="begin"/>
      </w:r>
      <w:r w:rsidRPr="00094993">
        <w:rPr>
          <w:b/>
          <w:sz w:val="20"/>
        </w:rPr>
        <w:instrText xml:space="preserve"> SEQ Supplementary_Figure \* ARABIC </w:instrText>
      </w:r>
      <w:r w:rsidRPr="00094993">
        <w:rPr>
          <w:b/>
          <w:sz w:val="20"/>
        </w:rPr>
        <w:fldChar w:fldCharType="separate"/>
      </w:r>
      <w:r>
        <w:rPr>
          <w:b/>
          <w:noProof/>
          <w:sz w:val="20"/>
        </w:rPr>
        <w:t>5</w:t>
      </w:r>
      <w:r w:rsidRPr="00094993">
        <w:rPr>
          <w:b/>
          <w:noProof/>
          <w:sz w:val="20"/>
        </w:rPr>
        <w:fldChar w:fldCharType="end"/>
      </w:r>
      <w:r>
        <w:rPr>
          <w:b/>
          <w:sz w:val="20"/>
        </w:rPr>
        <w:t xml:space="preserve"> Functional </w:t>
      </w:r>
      <w:r w:rsidR="00EF6285">
        <w:rPr>
          <w:b/>
          <w:sz w:val="20"/>
        </w:rPr>
        <w:t xml:space="preserve">convergence </w:t>
      </w:r>
      <w:r w:rsidR="00CC3DE3">
        <w:rPr>
          <w:b/>
          <w:sz w:val="20"/>
        </w:rPr>
        <w:t>correlation/trend</w:t>
      </w:r>
      <w:r>
        <w:rPr>
          <w:b/>
          <w:sz w:val="20"/>
        </w:rPr>
        <w:t xml:space="preserve"> distribution</w:t>
      </w:r>
      <w:r w:rsidR="00EF6285">
        <w:rPr>
          <w:b/>
          <w:sz w:val="20"/>
        </w:rPr>
        <w:t>s</w:t>
      </w:r>
      <w:r>
        <w:rPr>
          <w:b/>
          <w:sz w:val="20"/>
        </w:rPr>
        <w:t xml:space="preserve"> for all </w:t>
      </w:r>
      <w:proofErr w:type="spellStart"/>
      <w:r>
        <w:rPr>
          <w:b/>
          <w:sz w:val="20"/>
        </w:rPr>
        <w:t>MSigDB</w:t>
      </w:r>
      <w:proofErr w:type="spellEnd"/>
      <w:r>
        <w:rPr>
          <w:b/>
          <w:sz w:val="20"/>
        </w:rPr>
        <w:t xml:space="preserve"> collections.</w:t>
      </w:r>
      <w:proofErr w:type="gramEnd"/>
      <w:r>
        <w:rPr>
          <w:b/>
          <w:sz w:val="20"/>
        </w:rPr>
        <w:t xml:space="preserve"> </w:t>
      </w:r>
      <w:r w:rsidRPr="00EA38EB">
        <w:rPr>
          <w:sz w:val="20"/>
        </w:rPr>
        <w:t xml:space="preserve"> </w:t>
      </w:r>
      <w:r>
        <w:rPr>
          <w:sz w:val="20"/>
        </w:rPr>
        <w:t xml:space="preserve">We observe little to no enrichment over the null in the </w:t>
      </w:r>
      <w:proofErr w:type="spellStart"/>
      <w:r>
        <w:rPr>
          <w:sz w:val="20"/>
        </w:rPr>
        <w:t>MolSigDB</w:t>
      </w:r>
      <w:proofErr w:type="spellEnd"/>
      <w:r>
        <w:rPr>
          <w:sz w:val="20"/>
        </w:rPr>
        <w:t xml:space="preserve"> collection gene sets</w:t>
      </w:r>
      <w:r w:rsidR="00EF6285">
        <w:rPr>
          <w:sz w:val="20"/>
        </w:rPr>
        <w:t xml:space="preserve">: (A) </w:t>
      </w:r>
      <w:r w:rsidR="00020F47">
        <w:rPr>
          <w:sz w:val="20"/>
        </w:rPr>
        <w:t>C</w:t>
      </w:r>
      <w:r w:rsidR="00EF6285">
        <w:rPr>
          <w:sz w:val="20"/>
        </w:rPr>
        <w:t xml:space="preserve">1- </w:t>
      </w:r>
      <w:r w:rsidR="00020F47" w:rsidRPr="00020F47">
        <w:rPr>
          <w:sz w:val="20"/>
        </w:rPr>
        <w:t>positional gene sets</w:t>
      </w:r>
      <w:r w:rsidR="00020F47">
        <w:rPr>
          <w:sz w:val="20"/>
        </w:rPr>
        <w:t xml:space="preserve">, </w:t>
      </w:r>
      <w:r w:rsidR="00EF6285">
        <w:rPr>
          <w:sz w:val="20"/>
        </w:rPr>
        <w:t xml:space="preserve">(B) </w:t>
      </w:r>
      <w:r w:rsidR="00020F47">
        <w:rPr>
          <w:sz w:val="20"/>
        </w:rPr>
        <w:t>C</w:t>
      </w:r>
      <w:r w:rsidR="00EF6285">
        <w:rPr>
          <w:sz w:val="20"/>
        </w:rPr>
        <w:t>2-</w:t>
      </w:r>
      <w:r w:rsidR="00020F47">
        <w:rPr>
          <w:sz w:val="20"/>
        </w:rPr>
        <w:t xml:space="preserve"> </w:t>
      </w:r>
      <w:r w:rsidR="00020F47" w:rsidRPr="00020F47">
        <w:rPr>
          <w:sz w:val="20"/>
        </w:rPr>
        <w:t>curated gene sets</w:t>
      </w:r>
      <w:r w:rsidR="00020F47">
        <w:rPr>
          <w:sz w:val="20"/>
        </w:rPr>
        <w:t>,</w:t>
      </w:r>
      <w:r w:rsidR="00EF6285">
        <w:rPr>
          <w:sz w:val="20"/>
        </w:rPr>
        <w:t xml:space="preserve"> (C) </w:t>
      </w:r>
      <w:r w:rsidR="00020F47">
        <w:rPr>
          <w:sz w:val="20"/>
        </w:rPr>
        <w:t>C</w:t>
      </w:r>
      <w:r w:rsidR="00EF6285">
        <w:rPr>
          <w:sz w:val="20"/>
        </w:rPr>
        <w:t xml:space="preserve">3- </w:t>
      </w:r>
      <w:r w:rsidR="00020F47" w:rsidRPr="00020F47">
        <w:rPr>
          <w:sz w:val="20"/>
        </w:rPr>
        <w:t>motif gene sets</w:t>
      </w:r>
      <w:r w:rsidR="00020F47">
        <w:rPr>
          <w:sz w:val="20"/>
        </w:rPr>
        <w:t xml:space="preserve">, </w:t>
      </w:r>
      <w:r w:rsidR="00EF6285">
        <w:rPr>
          <w:sz w:val="20"/>
        </w:rPr>
        <w:t xml:space="preserve">(D) </w:t>
      </w:r>
      <w:r w:rsidR="00020F47">
        <w:rPr>
          <w:sz w:val="20"/>
        </w:rPr>
        <w:t>C</w:t>
      </w:r>
      <w:r w:rsidR="00EF6285">
        <w:rPr>
          <w:sz w:val="20"/>
        </w:rPr>
        <w:t xml:space="preserve">4- </w:t>
      </w:r>
      <w:r w:rsidR="00020F47" w:rsidRPr="00020F47">
        <w:rPr>
          <w:sz w:val="20"/>
        </w:rPr>
        <w:t>computational gene sets</w:t>
      </w:r>
      <w:r w:rsidR="00020F47">
        <w:rPr>
          <w:sz w:val="20"/>
        </w:rPr>
        <w:t>,</w:t>
      </w:r>
      <w:r w:rsidR="00EF6285">
        <w:rPr>
          <w:sz w:val="20"/>
        </w:rPr>
        <w:t xml:space="preserve"> (E) </w:t>
      </w:r>
      <w:r w:rsidR="00020F47">
        <w:rPr>
          <w:sz w:val="20"/>
        </w:rPr>
        <w:t>C</w:t>
      </w:r>
      <w:r w:rsidR="00EF6285">
        <w:rPr>
          <w:sz w:val="20"/>
        </w:rPr>
        <w:t>5-</w:t>
      </w:r>
      <w:r w:rsidR="00020F47">
        <w:rPr>
          <w:sz w:val="20"/>
        </w:rPr>
        <w:t xml:space="preserve"> </w:t>
      </w:r>
      <w:r w:rsidR="00020F47" w:rsidRPr="00020F47">
        <w:rPr>
          <w:sz w:val="20"/>
        </w:rPr>
        <w:t>GO gene sets</w:t>
      </w:r>
      <w:r w:rsidR="00020F47">
        <w:rPr>
          <w:sz w:val="20"/>
        </w:rPr>
        <w:t>,</w:t>
      </w:r>
      <w:r w:rsidR="00EF6285">
        <w:rPr>
          <w:sz w:val="20"/>
        </w:rPr>
        <w:t xml:space="preserve"> (F) </w:t>
      </w:r>
      <w:r w:rsidR="00020F47">
        <w:rPr>
          <w:sz w:val="20"/>
        </w:rPr>
        <w:t>C</w:t>
      </w:r>
      <w:r w:rsidR="00EF6285">
        <w:rPr>
          <w:sz w:val="20"/>
        </w:rPr>
        <w:t xml:space="preserve">6- </w:t>
      </w:r>
      <w:r w:rsidR="00020F47" w:rsidRPr="00020F47">
        <w:rPr>
          <w:sz w:val="20"/>
        </w:rPr>
        <w:t>oncogenic signatures</w:t>
      </w:r>
      <w:r w:rsidR="00020F47">
        <w:rPr>
          <w:sz w:val="20"/>
        </w:rPr>
        <w:t xml:space="preserve">, </w:t>
      </w:r>
      <w:r w:rsidR="00EF6285">
        <w:rPr>
          <w:sz w:val="20"/>
        </w:rPr>
        <w:t xml:space="preserve">(G) </w:t>
      </w:r>
      <w:r w:rsidR="00020F47">
        <w:rPr>
          <w:sz w:val="20"/>
        </w:rPr>
        <w:t>C</w:t>
      </w:r>
      <w:r w:rsidR="00EF6285">
        <w:rPr>
          <w:sz w:val="20"/>
        </w:rPr>
        <w:t xml:space="preserve">7- </w:t>
      </w:r>
      <w:r w:rsidR="00020F47" w:rsidRPr="00020F47">
        <w:rPr>
          <w:sz w:val="20"/>
        </w:rPr>
        <w:t>immunologic signatures</w:t>
      </w:r>
      <w:r w:rsidR="00020F47">
        <w:rPr>
          <w:sz w:val="20"/>
        </w:rPr>
        <w:t xml:space="preserve">, and </w:t>
      </w:r>
      <w:r w:rsidR="00EF6285">
        <w:rPr>
          <w:sz w:val="20"/>
        </w:rPr>
        <w:t xml:space="preserve">(H) </w:t>
      </w:r>
      <w:r w:rsidR="00020F47">
        <w:rPr>
          <w:sz w:val="20"/>
        </w:rPr>
        <w:t>H</w:t>
      </w:r>
      <w:r w:rsidR="00EF6285">
        <w:rPr>
          <w:sz w:val="20"/>
        </w:rPr>
        <w:t xml:space="preserve">- </w:t>
      </w:r>
      <w:r w:rsidR="00020F47" w:rsidRPr="00020F47">
        <w:rPr>
          <w:sz w:val="20"/>
        </w:rPr>
        <w:t>hallmark gene sets</w:t>
      </w:r>
      <w:r w:rsidR="00EF6285">
        <w:rPr>
          <w:sz w:val="20"/>
        </w:rPr>
        <w:t xml:space="preserve">. </w:t>
      </w:r>
      <w:r>
        <w:rPr>
          <w:sz w:val="20"/>
        </w:rPr>
        <w:t>However, in a few of the collections, we see negative</w:t>
      </w:r>
      <w:r w:rsidR="00EF6285">
        <w:rPr>
          <w:sz w:val="20"/>
        </w:rPr>
        <w:t xml:space="preserve"> tails</w:t>
      </w:r>
      <w:r>
        <w:rPr>
          <w:sz w:val="20"/>
        </w:rPr>
        <w:t xml:space="preserve">. </w:t>
      </w:r>
    </w:p>
    <w:p w:rsidR="002114BA" w:rsidRDefault="002114BA" w:rsidP="002114BA">
      <w:pPr>
        <w:rPr>
          <w:sz w:val="20"/>
        </w:rPr>
      </w:pPr>
    </w:p>
    <w:p w:rsidR="002114BA" w:rsidRDefault="002114BA" w:rsidP="004B14D4">
      <w:pPr>
        <w:rPr>
          <w:sz w:val="20"/>
        </w:rPr>
      </w:pPr>
    </w:p>
    <w:p w:rsidR="002114BA" w:rsidRPr="008649E2" w:rsidRDefault="002114BA" w:rsidP="002114BA"/>
    <w:p w:rsidR="00261C19" w:rsidRPr="00EA38EB" w:rsidRDefault="00261C19" w:rsidP="00403BE1">
      <w:pPr>
        <w:rPr>
          <w:sz w:val="20"/>
        </w:rPr>
        <w:sectPr w:rsidR="00261C19" w:rsidRPr="00EA38EB">
          <w:foot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End w:id="0"/>
    <w:p w:rsidR="00305A4A" w:rsidRDefault="00E95B91" w:rsidP="004763E2">
      <w:pPr>
        <w:pStyle w:val="Heading3"/>
      </w:pPr>
      <w:r>
        <w:lastRenderedPageBreak/>
        <w:t>Supplementary Tables</w:t>
      </w:r>
    </w:p>
    <w:p w:rsidR="00150639" w:rsidRDefault="00124CBC" w:rsidP="009F2327">
      <w:r w:rsidRPr="00550D7E">
        <w:rPr>
          <w:b/>
        </w:rPr>
        <w:t xml:space="preserve"> </w:t>
      </w:r>
      <w:r w:rsidR="009F2327">
        <w:rPr>
          <w:b/>
        </w:rPr>
        <w:t xml:space="preserve">[See </w:t>
      </w:r>
      <w:r w:rsidR="00FA370B">
        <w:rPr>
          <w:b/>
        </w:rPr>
        <w:t xml:space="preserve">Additional file 2 - </w:t>
      </w:r>
      <w:r w:rsidR="009F2327">
        <w:rPr>
          <w:b/>
        </w:rPr>
        <w:t xml:space="preserve">excel spreadsheet] </w:t>
      </w:r>
    </w:p>
    <w:p w:rsidR="00FA370B" w:rsidRDefault="00FA370B" w:rsidP="00FA370B">
      <w:pPr>
        <w:rPr>
          <w:b/>
        </w:rPr>
      </w:pPr>
      <w:bookmarkStart w:id="4" w:name="_Ref434180524"/>
      <w:bookmarkStart w:id="5" w:name="_Ref434315343"/>
      <w:r w:rsidRPr="00362F71">
        <w:rPr>
          <w:b/>
        </w:rPr>
        <w:t xml:space="preserve">Table </w:t>
      </w:r>
      <w:r>
        <w:rPr>
          <w:b/>
        </w:rPr>
        <w:t>S</w:t>
      </w:r>
      <w:r w:rsidRPr="00362F71">
        <w:rPr>
          <w:b/>
        </w:rPr>
        <w:fldChar w:fldCharType="begin"/>
      </w:r>
      <w:r w:rsidRPr="00362F71">
        <w:rPr>
          <w:b/>
        </w:rPr>
        <w:instrText xml:space="preserve"> SEQ Supplementary_Table \* ARABIC </w:instrText>
      </w:r>
      <w:r w:rsidRPr="00362F71">
        <w:rPr>
          <w:b/>
        </w:rPr>
        <w:fldChar w:fldCharType="separate"/>
      </w:r>
      <w:r>
        <w:rPr>
          <w:b/>
          <w:noProof/>
        </w:rPr>
        <w:t>1</w:t>
      </w:r>
      <w:r w:rsidRPr="00362F71">
        <w:rPr>
          <w:b/>
          <w:noProof/>
        </w:rPr>
        <w:fldChar w:fldCharType="end"/>
      </w:r>
      <w:bookmarkEnd w:id="4"/>
      <w:bookmarkEnd w:id="5"/>
      <w:r w:rsidRPr="00362F71">
        <w:rPr>
          <w:b/>
        </w:rPr>
        <w:t xml:space="preserve"> </w:t>
      </w:r>
      <w:r w:rsidR="00CC3DE3">
        <w:rPr>
          <w:b/>
        </w:rPr>
        <w:t>F</w:t>
      </w:r>
      <w:r>
        <w:rPr>
          <w:b/>
        </w:rPr>
        <w:t xml:space="preserve">unctional convergences </w:t>
      </w:r>
      <w:r w:rsidR="00CC3DE3">
        <w:rPr>
          <w:b/>
        </w:rPr>
        <w:t xml:space="preserve">and correlations/trends </w:t>
      </w:r>
    </w:p>
    <w:p w:rsidR="00FA370B" w:rsidRDefault="00FA370B" w:rsidP="00FA370B">
      <w:pPr>
        <w:rPr>
          <w:b/>
        </w:rPr>
      </w:pPr>
      <w:r w:rsidRPr="00362F71">
        <w:rPr>
          <w:b/>
        </w:rPr>
        <w:t xml:space="preserve">Table </w:t>
      </w:r>
      <w:r>
        <w:rPr>
          <w:b/>
        </w:rPr>
        <w:t>S</w:t>
      </w:r>
      <w:r w:rsidRPr="00362F71">
        <w:rPr>
          <w:b/>
        </w:rPr>
        <w:fldChar w:fldCharType="begin"/>
      </w:r>
      <w:r w:rsidRPr="00362F71">
        <w:rPr>
          <w:b/>
        </w:rPr>
        <w:instrText xml:space="preserve"> SEQ Supplementary_Table \* ARABIC </w:instrText>
      </w:r>
      <w:r w:rsidRPr="00362F71">
        <w:rPr>
          <w:b/>
        </w:rPr>
        <w:fldChar w:fldCharType="separate"/>
      </w:r>
      <w:r>
        <w:rPr>
          <w:b/>
          <w:noProof/>
        </w:rPr>
        <w:t>2</w:t>
      </w:r>
      <w:r w:rsidRPr="00362F71">
        <w:rPr>
          <w:b/>
          <w:noProof/>
        </w:rPr>
        <w:fldChar w:fldCharType="end"/>
      </w:r>
      <w:r w:rsidRPr="00362F71">
        <w:rPr>
          <w:b/>
        </w:rPr>
        <w:t xml:space="preserve"> </w:t>
      </w:r>
      <w:r>
        <w:rPr>
          <w:b/>
        </w:rPr>
        <w:t xml:space="preserve">Additional expression functional convergences </w:t>
      </w:r>
      <w:r w:rsidR="00CC3DE3">
        <w:rPr>
          <w:b/>
        </w:rPr>
        <w:t>and correlations/trends</w:t>
      </w:r>
    </w:p>
    <w:p w:rsidR="00FA370B" w:rsidRDefault="00FA370B" w:rsidP="00FA370B">
      <w:pPr>
        <w:rPr>
          <w:b/>
        </w:rPr>
      </w:pPr>
      <w:r w:rsidRPr="00362F71">
        <w:rPr>
          <w:b/>
        </w:rPr>
        <w:t xml:space="preserve">Table </w:t>
      </w:r>
      <w:r>
        <w:rPr>
          <w:b/>
        </w:rPr>
        <w:t>S</w:t>
      </w:r>
      <w:r w:rsidRPr="00362F71">
        <w:rPr>
          <w:b/>
        </w:rPr>
        <w:fldChar w:fldCharType="begin"/>
      </w:r>
      <w:r w:rsidRPr="00362F71">
        <w:rPr>
          <w:b/>
        </w:rPr>
        <w:instrText xml:space="preserve"> SEQ Supplementary_Table \* ARABIC </w:instrText>
      </w:r>
      <w:r w:rsidRPr="00362F71">
        <w:rPr>
          <w:b/>
        </w:rPr>
        <w:fldChar w:fldCharType="separate"/>
      </w:r>
      <w:r>
        <w:rPr>
          <w:b/>
          <w:noProof/>
        </w:rPr>
        <w:t>3</w:t>
      </w:r>
      <w:r w:rsidRPr="00362F71">
        <w:rPr>
          <w:b/>
          <w:noProof/>
        </w:rPr>
        <w:fldChar w:fldCharType="end"/>
      </w:r>
      <w:r w:rsidRPr="00362F71">
        <w:rPr>
          <w:b/>
        </w:rPr>
        <w:t xml:space="preserve"> </w:t>
      </w:r>
      <w:r>
        <w:rPr>
          <w:b/>
        </w:rPr>
        <w:t xml:space="preserve">Additional gene properties functional convergences </w:t>
      </w:r>
      <w:r w:rsidR="00CC3DE3">
        <w:rPr>
          <w:b/>
        </w:rPr>
        <w:t>and correlations/trends</w:t>
      </w:r>
    </w:p>
    <w:p w:rsidR="00FA370B" w:rsidRDefault="00FA370B" w:rsidP="00FA370B">
      <w:pPr>
        <w:rPr>
          <w:b/>
        </w:rPr>
      </w:pPr>
      <w:r w:rsidRPr="00362F71">
        <w:rPr>
          <w:b/>
        </w:rPr>
        <w:t xml:space="preserve">Table </w:t>
      </w:r>
      <w:r>
        <w:rPr>
          <w:b/>
        </w:rPr>
        <w:t>S</w:t>
      </w:r>
      <w:r w:rsidRPr="00362F71">
        <w:rPr>
          <w:b/>
        </w:rPr>
        <w:fldChar w:fldCharType="begin"/>
      </w:r>
      <w:r w:rsidRPr="00362F71">
        <w:rPr>
          <w:b/>
        </w:rPr>
        <w:instrText xml:space="preserve"> SEQ Supplementary_Table \* ARABIC </w:instrText>
      </w:r>
      <w:r w:rsidRPr="00362F71">
        <w:rPr>
          <w:b/>
        </w:rPr>
        <w:fldChar w:fldCharType="separate"/>
      </w:r>
      <w:r>
        <w:rPr>
          <w:b/>
          <w:noProof/>
        </w:rPr>
        <w:t>4</w:t>
      </w:r>
      <w:r w:rsidRPr="00362F71">
        <w:rPr>
          <w:b/>
          <w:noProof/>
        </w:rPr>
        <w:fldChar w:fldCharType="end"/>
      </w:r>
      <w:r w:rsidRPr="00362F71">
        <w:rPr>
          <w:b/>
        </w:rPr>
        <w:t xml:space="preserve"> </w:t>
      </w:r>
      <w:r>
        <w:rPr>
          <w:b/>
        </w:rPr>
        <w:t xml:space="preserve">Additional </w:t>
      </w:r>
      <w:proofErr w:type="spellStart"/>
      <w:r>
        <w:rPr>
          <w:b/>
        </w:rPr>
        <w:t>MSigDB</w:t>
      </w:r>
      <w:proofErr w:type="spellEnd"/>
      <w:r>
        <w:rPr>
          <w:b/>
        </w:rPr>
        <w:t xml:space="preserve"> functional convergences </w:t>
      </w:r>
      <w:r w:rsidR="00CC3DE3">
        <w:rPr>
          <w:b/>
        </w:rPr>
        <w:t>and correlations/trends</w:t>
      </w:r>
    </w:p>
    <w:p w:rsidR="00FA370B" w:rsidRDefault="00FA370B" w:rsidP="00FA370B">
      <w:pPr>
        <w:rPr>
          <w:b/>
        </w:rPr>
      </w:pPr>
      <w:r w:rsidRPr="00362F71">
        <w:rPr>
          <w:b/>
        </w:rPr>
        <w:t xml:space="preserve">Table </w:t>
      </w:r>
      <w:r>
        <w:rPr>
          <w:b/>
        </w:rPr>
        <w:t>S</w:t>
      </w:r>
      <w:r w:rsidRPr="00362F71">
        <w:rPr>
          <w:b/>
        </w:rPr>
        <w:fldChar w:fldCharType="begin"/>
      </w:r>
      <w:r w:rsidRPr="00362F71">
        <w:rPr>
          <w:b/>
        </w:rPr>
        <w:instrText xml:space="preserve"> SEQ Supplementary_Table \* ARABIC </w:instrText>
      </w:r>
      <w:r w:rsidRPr="00362F71">
        <w:rPr>
          <w:b/>
        </w:rPr>
        <w:fldChar w:fldCharType="separate"/>
      </w:r>
      <w:r>
        <w:rPr>
          <w:b/>
          <w:noProof/>
        </w:rPr>
        <w:t>5</w:t>
      </w:r>
      <w:r w:rsidRPr="00362F71">
        <w:rPr>
          <w:b/>
          <w:noProof/>
        </w:rPr>
        <w:fldChar w:fldCharType="end"/>
      </w:r>
      <w:r w:rsidRPr="00362F71">
        <w:rPr>
          <w:b/>
        </w:rPr>
        <w:t xml:space="preserve"> </w:t>
      </w:r>
      <w:r>
        <w:rPr>
          <w:b/>
        </w:rPr>
        <w:t xml:space="preserve">Additional network connectivity functional convergences </w:t>
      </w:r>
      <w:r w:rsidR="00CC3DE3">
        <w:rPr>
          <w:b/>
        </w:rPr>
        <w:t>and correlations/trends</w:t>
      </w:r>
    </w:p>
    <w:p w:rsidR="0057410F" w:rsidRDefault="0057410F" w:rsidP="00057D73"/>
    <w:p w:rsidR="004C58F6" w:rsidRDefault="004C58F6" w:rsidP="004C58F6">
      <w:pPr>
        <w:pStyle w:val="Heading3"/>
      </w:pPr>
      <w:r>
        <w:t>Supplementary Data</w:t>
      </w:r>
    </w:p>
    <w:p w:rsidR="004C58F6" w:rsidRDefault="004C58F6" w:rsidP="004C58F6">
      <w:r>
        <w:t xml:space="preserve">All gene sets as R binary files, documentation and scripts are available at: </w:t>
      </w:r>
      <w:hyperlink r:id="rId13" w:history="1">
        <w:r w:rsidRPr="00340CD8">
          <w:rPr>
            <w:rStyle w:val="Hyperlink"/>
          </w:rPr>
          <w:t>https://github.com/sarbal/EffectSize</w:t>
        </w:r>
      </w:hyperlink>
      <w:r>
        <w:t xml:space="preserve"> </w:t>
      </w:r>
    </w:p>
    <w:p w:rsidR="004C58F6" w:rsidRDefault="004C58F6" w:rsidP="004C58F6">
      <w:r>
        <w:t xml:space="preserve">Files include: </w:t>
      </w:r>
    </w:p>
    <w:p w:rsidR="004C58F6" w:rsidRDefault="004C58F6" w:rsidP="004C58F6">
      <w:proofErr w:type="spellStart"/>
      <w:r>
        <w:t>all.rank.properties.Rdata</w:t>
      </w:r>
      <w:proofErr w:type="spellEnd"/>
    </w:p>
    <w:p w:rsidR="004C58F6" w:rsidRDefault="004C58F6" w:rsidP="004C58F6">
      <w:proofErr w:type="spellStart"/>
      <w:r>
        <w:t>asd_gene_sets.Rdata</w:t>
      </w:r>
      <w:proofErr w:type="spellEnd"/>
    </w:p>
    <w:p w:rsidR="004C58F6" w:rsidRDefault="004C58F6" w:rsidP="004C58F6">
      <w:proofErr w:type="spellStart"/>
      <w:r>
        <w:t>gwas.combined.Rdata</w:t>
      </w:r>
      <w:proofErr w:type="spellEnd"/>
      <w:r w:rsidRPr="008B2FA4">
        <w:t xml:space="preserve"> </w:t>
      </w:r>
    </w:p>
    <w:p w:rsidR="007553C4" w:rsidRDefault="007553C4" w:rsidP="004C58F6"/>
    <w:p w:rsidR="007553C4" w:rsidRDefault="007553C4" w:rsidP="004C58F6"/>
    <w:p w:rsidR="004C58F6" w:rsidRDefault="00CC3DE3" w:rsidP="004C58F6">
      <w:r>
        <w:fldChar w:fldCharType="begin"/>
      </w:r>
      <w:r>
        <w:instrText xml:space="preserve"> ADDIN EN.REFLIST </w:instrText>
      </w:r>
      <w:r>
        <w:fldChar w:fldCharType="end"/>
      </w:r>
    </w:p>
    <w:sectPr w:rsidR="004C58F6" w:rsidSect="0057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6CAF" w:rsidRDefault="00246CAF" w:rsidP="000B2F81">
      <w:pPr>
        <w:spacing w:after="0" w:line="240" w:lineRule="auto"/>
      </w:pPr>
      <w:r>
        <w:separator/>
      </w:r>
    </w:p>
  </w:endnote>
  <w:endnote w:type="continuationSeparator" w:id="0">
    <w:p w:rsidR="00246CAF" w:rsidRDefault="00246CAF" w:rsidP="000B2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777316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6CAF" w:rsidRDefault="00246CA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93B4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46CAF" w:rsidRDefault="00246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6CAF" w:rsidRDefault="00246CAF" w:rsidP="000B2F81">
      <w:pPr>
        <w:spacing w:after="0" w:line="240" w:lineRule="auto"/>
      </w:pPr>
      <w:r>
        <w:separator/>
      </w:r>
    </w:p>
  </w:footnote>
  <w:footnote w:type="continuationSeparator" w:id="0">
    <w:p w:rsidR="00246CAF" w:rsidRDefault="00246CAF" w:rsidP="000B2F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PLoS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fr9e590wed9r7e05tavxttbz0aeptfd9rap&quot;&gt;autism&lt;record-ids&gt;&lt;item&gt;140&lt;/item&gt;&lt;/record-ids&gt;&lt;/item&gt;&lt;/Libraries&gt;"/>
  </w:docVars>
  <w:rsids>
    <w:rsidRoot w:val="00FC15F7"/>
    <w:rsid w:val="00004BFE"/>
    <w:rsid w:val="0001799B"/>
    <w:rsid w:val="00020F47"/>
    <w:rsid w:val="00044CD2"/>
    <w:rsid w:val="00057D73"/>
    <w:rsid w:val="00060A9E"/>
    <w:rsid w:val="00091E04"/>
    <w:rsid w:val="000963D5"/>
    <w:rsid w:val="000A040F"/>
    <w:rsid w:val="000A6B7E"/>
    <w:rsid w:val="000B2F81"/>
    <w:rsid w:val="000B5142"/>
    <w:rsid w:val="000D0379"/>
    <w:rsid w:val="000D659B"/>
    <w:rsid w:val="000F4AE2"/>
    <w:rsid w:val="00106E7D"/>
    <w:rsid w:val="001101B8"/>
    <w:rsid w:val="001209E6"/>
    <w:rsid w:val="00122335"/>
    <w:rsid w:val="00124CBC"/>
    <w:rsid w:val="00135363"/>
    <w:rsid w:val="00150639"/>
    <w:rsid w:val="001543C7"/>
    <w:rsid w:val="001746B7"/>
    <w:rsid w:val="0017700D"/>
    <w:rsid w:val="001A1A16"/>
    <w:rsid w:val="001A2BC6"/>
    <w:rsid w:val="001D6264"/>
    <w:rsid w:val="001D6FE9"/>
    <w:rsid w:val="001F55C5"/>
    <w:rsid w:val="002114BA"/>
    <w:rsid w:val="00213C57"/>
    <w:rsid w:val="0022434F"/>
    <w:rsid w:val="00227527"/>
    <w:rsid w:val="002357B1"/>
    <w:rsid w:val="00237DED"/>
    <w:rsid w:val="00242886"/>
    <w:rsid w:val="00246CAF"/>
    <w:rsid w:val="00261C19"/>
    <w:rsid w:val="002906D2"/>
    <w:rsid w:val="00291CFC"/>
    <w:rsid w:val="002931ED"/>
    <w:rsid w:val="002A3A26"/>
    <w:rsid w:val="002B39A3"/>
    <w:rsid w:val="00305A4A"/>
    <w:rsid w:val="00313BD2"/>
    <w:rsid w:val="003165DC"/>
    <w:rsid w:val="0032789F"/>
    <w:rsid w:val="00332587"/>
    <w:rsid w:val="00342314"/>
    <w:rsid w:val="00347084"/>
    <w:rsid w:val="00351EE3"/>
    <w:rsid w:val="003675C7"/>
    <w:rsid w:val="003A3F12"/>
    <w:rsid w:val="003A5A43"/>
    <w:rsid w:val="003B2774"/>
    <w:rsid w:val="003B4EF9"/>
    <w:rsid w:val="003C0895"/>
    <w:rsid w:val="003C12FB"/>
    <w:rsid w:val="003F5692"/>
    <w:rsid w:val="00403BE1"/>
    <w:rsid w:val="00405B3C"/>
    <w:rsid w:val="00410A34"/>
    <w:rsid w:val="004232F3"/>
    <w:rsid w:val="0046276D"/>
    <w:rsid w:val="004746D4"/>
    <w:rsid w:val="004763E2"/>
    <w:rsid w:val="0048174A"/>
    <w:rsid w:val="004857AB"/>
    <w:rsid w:val="004B14D4"/>
    <w:rsid w:val="004C1869"/>
    <w:rsid w:val="004C4160"/>
    <w:rsid w:val="004C58F6"/>
    <w:rsid w:val="004D6350"/>
    <w:rsid w:val="004E00C7"/>
    <w:rsid w:val="004F21C9"/>
    <w:rsid w:val="005007F7"/>
    <w:rsid w:val="00513063"/>
    <w:rsid w:val="00520255"/>
    <w:rsid w:val="0053324F"/>
    <w:rsid w:val="005361B9"/>
    <w:rsid w:val="00550D7E"/>
    <w:rsid w:val="00571AC6"/>
    <w:rsid w:val="0057410F"/>
    <w:rsid w:val="00580168"/>
    <w:rsid w:val="00593B44"/>
    <w:rsid w:val="005968F5"/>
    <w:rsid w:val="005A1091"/>
    <w:rsid w:val="005A312C"/>
    <w:rsid w:val="005E7AF5"/>
    <w:rsid w:val="005F264D"/>
    <w:rsid w:val="005F6FC1"/>
    <w:rsid w:val="005F72C0"/>
    <w:rsid w:val="006028D7"/>
    <w:rsid w:val="00606364"/>
    <w:rsid w:val="006121D4"/>
    <w:rsid w:val="00643BB0"/>
    <w:rsid w:val="0064436A"/>
    <w:rsid w:val="006465A2"/>
    <w:rsid w:val="00663C7D"/>
    <w:rsid w:val="0067744E"/>
    <w:rsid w:val="006A13B5"/>
    <w:rsid w:val="006A4751"/>
    <w:rsid w:val="006A5E7B"/>
    <w:rsid w:val="006B00FE"/>
    <w:rsid w:val="006B1DC9"/>
    <w:rsid w:val="006E37D2"/>
    <w:rsid w:val="00703425"/>
    <w:rsid w:val="00704929"/>
    <w:rsid w:val="00733853"/>
    <w:rsid w:val="007553C4"/>
    <w:rsid w:val="00774B56"/>
    <w:rsid w:val="00777212"/>
    <w:rsid w:val="00796A14"/>
    <w:rsid w:val="007A4F31"/>
    <w:rsid w:val="007C018F"/>
    <w:rsid w:val="007E0AA0"/>
    <w:rsid w:val="007F325B"/>
    <w:rsid w:val="007F456B"/>
    <w:rsid w:val="00820333"/>
    <w:rsid w:val="008246AF"/>
    <w:rsid w:val="008649E2"/>
    <w:rsid w:val="0087424A"/>
    <w:rsid w:val="00883B0F"/>
    <w:rsid w:val="0089445F"/>
    <w:rsid w:val="008B2FA4"/>
    <w:rsid w:val="008D5BFA"/>
    <w:rsid w:val="008F7E30"/>
    <w:rsid w:val="00906CC7"/>
    <w:rsid w:val="00912260"/>
    <w:rsid w:val="009266C9"/>
    <w:rsid w:val="00940B0C"/>
    <w:rsid w:val="00942923"/>
    <w:rsid w:val="0094684E"/>
    <w:rsid w:val="00947EB7"/>
    <w:rsid w:val="0098556F"/>
    <w:rsid w:val="0098695D"/>
    <w:rsid w:val="009B1ABB"/>
    <w:rsid w:val="009C547C"/>
    <w:rsid w:val="009F2327"/>
    <w:rsid w:val="009F2D57"/>
    <w:rsid w:val="00A029D4"/>
    <w:rsid w:val="00A0349A"/>
    <w:rsid w:val="00A047F9"/>
    <w:rsid w:val="00A50C69"/>
    <w:rsid w:val="00A604F0"/>
    <w:rsid w:val="00A638EE"/>
    <w:rsid w:val="00A73FF9"/>
    <w:rsid w:val="00A83F0F"/>
    <w:rsid w:val="00A902C6"/>
    <w:rsid w:val="00AA2F64"/>
    <w:rsid w:val="00AB613E"/>
    <w:rsid w:val="00AD0C4E"/>
    <w:rsid w:val="00AF15BB"/>
    <w:rsid w:val="00AF76EE"/>
    <w:rsid w:val="00B2253C"/>
    <w:rsid w:val="00B22A17"/>
    <w:rsid w:val="00B33F92"/>
    <w:rsid w:val="00B80A56"/>
    <w:rsid w:val="00BB388F"/>
    <w:rsid w:val="00BC394C"/>
    <w:rsid w:val="00BD4936"/>
    <w:rsid w:val="00C309AF"/>
    <w:rsid w:val="00C30A0B"/>
    <w:rsid w:val="00C5381A"/>
    <w:rsid w:val="00C562B4"/>
    <w:rsid w:val="00C61758"/>
    <w:rsid w:val="00C67053"/>
    <w:rsid w:val="00CA45D0"/>
    <w:rsid w:val="00CC3DE3"/>
    <w:rsid w:val="00CD1D25"/>
    <w:rsid w:val="00CD5B3A"/>
    <w:rsid w:val="00D045C2"/>
    <w:rsid w:val="00D11927"/>
    <w:rsid w:val="00D12F5E"/>
    <w:rsid w:val="00D21264"/>
    <w:rsid w:val="00D262FD"/>
    <w:rsid w:val="00D81216"/>
    <w:rsid w:val="00D91082"/>
    <w:rsid w:val="00D941D3"/>
    <w:rsid w:val="00DA28FD"/>
    <w:rsid w:val="00DB662B"/>
    <w:rsid w:val="00DC49D0"/>
    <w:rsid w:val="00DC6912"/>
    <w:rsid w:val="00DD41CC"/>
    <w:rsid w:val="00DF0F57"/>
    <w:rsid w:val="00DF5A8B"/>
    <w:rsid w:val="00E00CC6"/>
    <w:rsid w:val="00E10A54"/>
    <w:rsid w:val="00E341BF"/>
    <w:rsid w:val="00E55087"/>
    <w:rsid w:val="00E6030F"/>
    <w:rsid w:val="00E7528D"/>
    <w:rsid w:val="00E8089A"/>
    <w:rsid w:val="00E81EFD"/>
    <w:rsid w:val="00E93EFD"/>
    <w:rsid w:val="00E95B91"/>
    <w:rsid w:val="00E97A1D"/>
    <w:rsid w:val="00EA2381"/>
    <w:rsid w:val="00EA38EB"/>
    <w:rsid w:val="00EA5190"/>
    <w:rsid w:val="00EC2F3B"/>
    <w:rsid w:val="00EE4577"/>
    <w:rsid w:val="00EF038F"/>
    <w:rsid w:val="00EF0EB3"/>
    <w:rsid w:val="00EF6285"/>
    <w:rsid w:val="00F05C58"/>
    <w:rsid w:val="00F12902"/>
    <w:rsid w:val="00F2739D"/>
    <w:rsid w:val="00FA370B"/>
    <w:rsid w:val="00FC15F7"/>
    <w:rsid w:val="00FD1372"/>
    <w:rsid w:val="00FE50C6"/>
    <w:rsid w:val="00FE7E5B"/>
    <w:rsid w:val="00FF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F7"/>
  </w:style>
  <w:style w:type="paragraph" w:styleId="Heading1">
    <w:name w:val="heading 1"/>
    <w:basedOn w:val="Normal"/>
    <w:next w:val="Normal"/>
    <w:link w:val="Heading1Char"/>
    <w:uiPriority w:val="9"/>
    <w:qFormat/>
    <w:rsid w:val="00DA28FD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15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1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5F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F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57D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7D73"/>
  </w:style>
  <w:style w:type="table" w:styleId="TableGrid">
    <w:name w:val="Table Grid"/>
    <w:basedOn w:val="TableNormal"/>
    <w:uiPriority w:val="59"/>
    <w:rsid w:val="0005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13B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4">
    <w:name w:val="Light Shading Accent 4"/>
    <w:basedOn w:val="TableNormal"/>
    <w:uiPriority w:val="60"/>
    <w:rsid w:val="004D63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33F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81"/>
  </w:style>
  <w:style w:type="paragraph" w:styleId="Footer">
    <w:name w:val="footer"/>
    <w:basedOn w:val="Normal"/>
    <w:link w:val="FooterChar"/>
    <w:uiPriority w:val="99"/>
    <w:unhideWhenUsed/>
    <w:rsid w:val="000B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81"/>
  </w:style>
  <w:style w:type="character" w:customStyle="1" w:styleId="css-truncate">
    <w:name w:val="css-truncate"/>
    <w:basedOn w:val="DefaultParagraphFont"/>
    <w:rsid w:val="00BC394C"/>
  </w:style>
  <w:style w:type="paragraph" w:styleId="ListParagraph">
    <w:name w:val="List Paragraph"/>
    <w:basedOn w:val="Normal"/>
    <w:uiPriority w:val="34"/>
    <w:qFormat/>
    <w:rsid w:val="003A5A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28FD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DA28FD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5F7"/>
  </w:style>
  <w:style w:type="paragraph" w:styleId="Heading1">
    <w:name w:val="heading 1"/>
    <w:basedOn w:val="Normal"/>
    <w:next w:val="Normal"/>
    <w:link w:val="Heading1Char"/>
    <w:uiPriority w:val="9"/>
    <w:qFormat/>
    <w:rsid w:val="00DA28FD"/>
    <w:pPr>
      <w:keepNext/>
      <w:keepLines/>
      <w:spacing w:before="480" w:after="0" w:line="48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5F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3BD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3F9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15F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C15F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C1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1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15F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1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5F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057D7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57D73"/>
  </w:style>
  <w:style w:type="table" w:styleId="TableGrid">
    <w:name w:val="Table Grid"/>
    <w:basedOn w:val="TableNormal"/>
    <w:uiPriority w:val="59"/>
    <w:rsid w:val="00057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313BD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-Accent4">
    <w:name w:val="Light Shading Accent 4"/>
    <w:basedOn w:val="TableNormal"/>
    <w:uiPriority w:val="60"/>
    <w:rsid w:val="004D635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B33F9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0B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F81"/>
  </w:style>
  <w:style w:type="paragraph" w:styleId="Footer">
    <w:name w:val="footer"/>
    <w:basedOn w:val="Normal"/>
    <w:link w:val="FooterChar"/>
    <w:uiPriority w:val="99"/>
    <w:unhideWhenUsed/>
    <w:rsid w:val="000B2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F81"/>
  </w:style>
  <w:style w:type="character" w:customStyle="1" w:styleId="css-truncate">
    <w:name w:val="css-truncate"/>
    <w:basedOn w:val="DefaultParagraphFont"/>
    <w:rsid w:val="00BC394C"/>
  </w:style>
  <w:style w:type="paragraph" w:styleId="ListParagraph">
    <w:name w:val="List Paragraph"/>
    <w:basedOn w:val="Normal"/>
    <w:uiPriority w:val="34"/>
    <w:qFormat/>
    <w:rsid w:val="003A5A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28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A28FD"/>
    <w:pPr>
      <w:spacing w:after="0" w:line="240" w:lineRule="auto"/>
    </w:pPr>
  </w:style>
  <w:style w:type="paragraph" w:styleId="TableofFigures">
    <w:name w:val="table of figures"/>
    <w:basedOn w:val="Normal"/>
    <w:next w:val="Normal"/>
    <w:uiPriority w:val="99"/>
    <w:unhideWhenUsed/>
    <w:rsid w:val="00DA28F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8925">
          <w:marLeft w:val="0"/>
          <w:marRight w:val="0"/>
          <w:marTop w:val="0"/>
          <w:marBottom w:val="150"/>
          <w:divBdr>
            <w:top w:val="none" w:sz="0" w:space="0" w:color="auto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1128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sarbal/EffectSiz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6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Cold Spring Harbor Laboratory</Company>
  <LinksUpToDate>false</LinksUpToDate>
  <CharactersWithSpaces>4727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Ballouz</dc:creator>
  <cp:lastModifiedBy>Sara Ballouz</cp:lastModifiedBy>
  <cp:revision>36</cp:revision>
  <cp:lastPrinted>2015-11-09T19:19:00Z</cp:lastPrinted>
  <dcterms:created xsi:type="dcterms:W3CDTF">2016-08-09T17:16:00Z</dcterms:created>
  <dcterms:modified xsi:type="dcterms:W3CDTF">2017-02-06T22:51:00Z</dcterms:modified>
</cp:coreProperties>
</file>