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C2769" w14:textId="77777777" w:rsidR="009F6568" w:rsidRDefault="009F6568">
      <w:pPr>
        <w:spacing w:after="80"/>
      </w:pPr>
    </w:p>
    <w:p w14:paraId="0650D48B" w14:textId="77777777" w:rsidR="009F6568" w:rsidRDefault="009F6568">
      <w:pPr>
        <w:spacing w:after="80"/>
      </w:pPr>
    </w:p>
    <w:p w14:paraId="65F69376" w14:textId="77777777" w:rsidR="009F6568" w:rsidRDefault="009F6568">
      <w:pPr>
        <w:spacing w:after="80"/>
      </w:pPr>
    </w:p>
    <w:p w14:paraId="3F841432" w14:textId="77777777" w:rsidR="009F6568" w:rsidRDefault="009F6568">
      <w:pPr>
        <w:spacing w:after="80"/>
      </w:pPr>
    </w:p>
    <w:p w14:paraId="4907A572" w14:textId="77777777" w:rsidR="009F6568" w:rsidRDefault="00000000">
      <w:pPr>
        <w:spacing w:after="160"/>
        <w:jc w:val="center"/>
      </w:pPr>
      <w:r>
        <w:rPr>
          <w:rFonts w:ascii="Calibri" w:eastAsia="Calibri" w:hAnsi="Calibri" w:cs="Calibri"/>
          <w:b/>
          <w:bCs/>
          <w:color w:val="1E3A5F"/>
          <w:sz w:val="56"/>
          <w:szCs w:val="56"/>
        </w:rPr>
        <w:t>MARKETING ROI &amp; BUDGET REALLOCATION</w:t>
      </w:r>
    </w:p>
    <w:p w14:paraId="4562D3BD" w14:textId="77777777" w:rsidR="009F6568" w:rsidRDefault="00000000">
      <w:pPr>
        <w:spacing w:after="400"/>
        <w:jc w:val="center"/>
      </w:pPr>
      <w:r>
        <w:rPr>
          <w:rFonts w:ascii="Calibri" w:eastAsia="Calibri" w:hAnsi="Calibri" w:cs="Calibri"/>
          <w:i/>
          <w:iCs/>
          <w:color w:val="C0392B"/>
          <w:sz w:val="36"/>
          <w:szCs w:val="36"/>
        </w:rPr>
        <w:t>Decision Memo &amp; Strategic Recommendations</w:t>
      </w:r>
    </w:p>
    <w:p w14:paraId="7B61E4E1" w14:textId="77777777" w:rsidR="009F6568" w:rsidRDefault="009F6568">
      <w:pPr>
        <w:pBdr>
          <w:bottom w:val="single" w:sz="6" w:space="0" w:color="1E3A5F"/>
        </w:pBdr>
        <w:spacing w:after="200"/>
      </w:pPr>
    </w:p>
    <w:p w14:paraId="7596892A" w14:textId="77777777" w:rsidR="009F6568" w:rsidRDefault="00000000">
      <w:pPr>
        <w:spacing w:after="120"/>
        <w:jc w:val="center"/>
      </w:pPr>
      <w:r>
        <w:rPr>
          <w:rFonts w:ascii="Calibri" w:eastAsia="Calibri" w:hAnsi="Calibri" w:cs="Calibri"/>
          <w:b/>
          <w:bCs/>
          <w:color w:val="1A1A2E"/>
          <w:sz w:val="28"/>
          <w:szCs w:val="28"/>
        </w:rPr>
        <w:t>Sarbani Karmakar</w:t>
      </w:r>
    </w:p>
    <w:p w14:paraId="2B191329" w14:textId="77777777" w:rsidR="009F6568" w:rsidRDefault="00000000">
      <w:pPr>
        <w:spacing w:after="400"/>
        <w:jc w:val="center"/>
      </w:pPr>
      <w:r>
        <w:rPr>
          <w:rFonts w:ascii="Calibri" w:eastAsia="Calibri" w:hAnsi="Calibri" w:cs="Calibri"/>
          <w:color w:val="555555"/>
          <w:sz w:val="22"/>
          <w:szCs w:val="22"/>
        </w:rPr>
        <w:t>E-Commerce Platform  |  Jul 2025 – Jan 2026  |  5 Channels  |  40 Campaigns</w:t>
      </w:r>
    </w:p>
    <w:tbl>
      <w:tblPr>
        <w:tblW w:w="5000" w:type="pct"/>
        <w:tblBorders>
          <w:top w:val="single" w:sz="4" w:space="0" w:color="1E3A5F"/>
          <w:left w:val="single" w:sz="2" w:space="0" w:color="AAAAAA"/>
          <w:bottom w:val="single" w:sz="4" w:space="0" w:color="1E3A5F"/>
          <w:right w:val="single" w:sz="2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74"/>
        <w:gridCol w:w="2880"/>
        <w:gridCol w:w="2058"/>
        <w:gridCol w:w="2008"/>
      </w:tblGrid>
      <w:tr w:rsidR="009F6568" w14:paraId="6369EE0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0CBF4" w14:textId="77777777" w:rsidR="009F6568" w:rsidRDefault="00000000">
            <w:pPr>
              <w:spacing w:after="4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Prepared for</w:t>
            </w:r>
          </w:p>
        </w:tc>
        <w:tc>
          <w:tcPr>
            <w:tcW w:w="0" w:type="auto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D5B75" w14:textId="77777777" w:rsidR="009F6568" w:rsidRDefault="00000000">
            <w:pPr>
              <w:spacing w:after="4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Period</w:t>
            </w:r>
          </w:p>
        </w:tc>
        <w:tc>
          <w:tcPr>
            <w:tcW w:w="0" w:type="auto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A6F3F" w14:textId="77777777" w:rsidR="009F6568" w:rsidRDefault="00000000">
            <w:pPr>
              <w:spacing w:after="4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Attribution</w:t>
            </w:r>
          </w:p>
        </w:tc>
        <w:tc>
          <w:tcPr>
            <w:tcW w:w="0" w:type="auto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A9243" w14:textId="77777777" w:rsidR="009F6568" w:rsidRDefault="00000000">
            <w:pPr>
              <w:spacing w:after="4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North Star</w:t>
            </w:r>
          </w:p>
        </w:tc>
      </w:tr>
      <w:tr w:rsidR="009F6568" w14:paraId="201521D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D6CA4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Marketing Leadership Team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DB135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July 4, 2025 – January 30, 2026 (211 days)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4322A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Last-Touch (</w:t>
            </w:r>
            <w:proofErr w:type="spellStart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session_id</w:t>
            </w:r>
            <w:proofErr w:type="spellEnd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 xml:space="preserve"> join)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57564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Contribution Margin ROAS</w:t>
            </w:r>
          </w:p>
        </w:tc>
      </w:tr>
    </w:tbl>
    <w:p w14:paraId="65BF3A5F" w14:textId="77777777" w:rsidR="009F6568" w:rsidRDefault="009F6568">
      <w:pPr>
        <w:spacing w:after="80"/>
      </w:pPr>
    </w:p>
    <w:p w14:paraId="742F3A7B" w14:textId="77777777" w:rsidR="009F6568" w:rsidRDefault="009F6568">
      <w:pPr>
        <w:spacing w:after="80"/>
      </w:pPr>
    </w:p>
    <w:tbl>
      <w:tblPr>
        <w:tblW w:w="5000" w:type="pct"/>
        <w:tblBorders>
          <w:top w:val="single" w:sz="4" w:space="0" w:color="1E3A5F"/>
          <w:left w:val="single" w:sz="2" w:space="0" w:color="AAAAAA"/>
          <w:bottom w:val="single" w:sz="4" w:space="0" w:color="1E3A5F"/>
          <w:right w:val="single" w:sz="2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700"/>
        <w:gridCol w:w="3320"/>
      </w:tblGrid>
      <w:tr w:rsidR="009F6568" w14:paraId="0AF1266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37712" w14:textId="77777777" w:rsidR="009F6568" w:rsidRDefault="00000000">
            <w:pPr>
              <w:spacing w:after="4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Dataset</w:t>
            </w:r>
          </w:p>
        </w:tc>
        <w:tc>
          <w:tcPr>
            <w:tcW w:w="0" w:type="auto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BC713" w14:textId="77777777" w:rsidR="009F6568" w:rsidRDefault="00000000">
            <w:pPr>
              <w:spacing w:after="4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Size</w:t>
            </w:r>
          </w:p>
        </w:tc>
      </w:tr>
      <w:tr w:rsidR="009F6568" w14:paraId="3A23923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C0D9F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Sessions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3676D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660,820</w:t>
            </w:r>
          </w:p>
        </w:tc>
      </w:tr>
      <w:tr w:rsidR="009F6568" w14:paraId="690C497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C5A97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Orders</w:t>
            </w:r>
          </w:p>
        </w:tc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BFED7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16,193</w:t>
            </w:r>
          </w:p>
        </w:tc>
      </w:tr>
      <w:tr w:rsidR="009F6568" w14:paraId="1E7E88A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C008D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Gross Revenue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DE748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Rs 109.2M</w:t>
            </w:r>
          </w:p>
        </w:tc>
      </w:tr>
      <w:tr w:rsidR="009F6568" w14:paraId="06339D5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C494C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Channels Analysed</w:t>
            </w:r>
          </w:p>
        </w:tc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4ED62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5</w:t>
            </w:r>
          </w:p>
        </w:tc>
      </w:tr>
      <w:tr w:rsidR="009F6568" w14:paraId="1AF5620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82385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Campaigns Analysed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76407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40</w:t>
            </w:r>
          </w:p>
        </w:tc>
      </w:tr>
    </w:tbl>
    <w:p w14:paraId="52BE2EDC" w14:textId="77777777" w:rsidR="009F6568" w:rsidRDefault="00000000">
      <w:pPr>
        <w:pageBreakBefore/>
      </w:pPr>
      <w:r>
        <w:lastRenderedPageBreak/>
        <w:br/>
      </w:r>
    </w:p>
    <w:p w14:paraId="65188DFA" w14:textId="77777777" w:rsidR="009F6568" w:rsidRDefault="00000000">
      <w:pPr>
        <w:spacing w:before="400" w:after="160"/>
      </w:pPr>
      <w:r>
        <w:rPr>
          <w:rFonts w:ascii="Calibri" w:eastAsia="Calibri" w:hAnsi="Calibri" w:cs="Calibri"/>
          <w:b/>
          <w:bCs/>
          <w:color w:val="1E3A5F"/>
          <w:sz w:val="36"/>
          <w:szCs w:val="36"/>
        </w:rPr>
        <w:t>1. Goal, KPIs &amp; Attribution Rule</w:t>
      </w:r>
    </w:p>
    <w:p w14:paraId="7A0BAAC6" w14:textId="77777777" w:rsidR="009F6568" w:rsidRDefault="009F6568">
      <w:pPr>
        <w:pBdr>
          <w:bottom w:val="single" w:sz="6" w:space="0" w:color="1E3A5F"/>
        </w:pBdr>
        <w:spacing w:after="200"/>
      </w:pPr>
    </w:p>
    <w:p w14:paraId="2CA370E8" w14:textId="77777777" w:rsidR="009F6568" w:rsidRDefault="00000000">
      <w:pPr>
        <w:spacing w:before="240" w:after="160"/>
      </w:pPr>
      <w:r>
        <w:rPr>
          <w:rFonts w:ascii="Calibri" w:eastAsia="Calibri" w:hAnsi="Calibri" w:cs="Calibri"/>
          <w:b/>
          <w:bCs/>
          <w:color w:val="1E3A5F"/>
          <w:sz w:val="26"/>
          <w:szCs w:val="26"/>
        </w:rPr>
        <w:t>1.1 Business Objective</w:t>
      </w:r>
    </w:p>
    <w:p w14:paraId="152F3B3E" w14:textId="77777777" w:rsidR="009F6568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Determine which marketing channels and campaigns drive sustainable, profitable growth, and how to optimally allocate next month's marketing budget (Rs 10,622,971) to maximise contribution margin under a fixed spend constraint.</w:t>
      </w:r>
    </w:p>
    <w:p w14:paraId="50006D86" w14:textId="77777777" w:rsidR="009F6568" w:rsidRDefault="00000000">
      <w:pPr>
        <w:spacing w:before="240" w:after="160"/>
      </w:pPr>
      <w:r>
        <w:rPr>
          <w:rFonts w:ascii="Calibri" w:eastAsia="Calibri" w:hAnsi="Calibri" w:cs="Calibri"/>
          <w:b/>
          <w:bCs/>
          <w:color w:val="1E3A5F"/>
          <w:sz w:val="26"/>
          <w:szCs w:val="26"/>
        </w:rPr>
        <w:t>1.2 North Star Metric</w:t>
      </w:r>
    </w:p>
    <w:p w14:paraId="3B7689C4" w14:textId="77777777" w:rsidR="009F6568" w:rsidRDefault="00000000">
      <w:pPr>
        <w:spacing w:after="120"/>
      </w:pPr>
      <w:r>
        <w:rPr>
          <w:rFonts w:ascii="Calibri" w:eastAsia="Calibri" w:hAnsi="Calibri" w:cs="Calibri"/>
          <w:b/>
          <w:bCs/>
          <w:color w:val="C0392B"/>
          <w:sz w:val="22"/>
          <w:szCs w:val="22"/>
        </w:rPr>
        <w:t>Contribution Margin ROAS = Contribution Margin / Marketing Spend</w:t>
      </w:r>
    </w:p>
    <w:p w14:paraId="4D90071C" w14:textId="77777777" w:rsidR="009F6568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Justification: Revenue ROAS can be misleading — a channel with high revenue but thin margins (e.g., Books at 38.7%) appears efficient but destroys value. Contribution Margin ROAS captures true profitability per rupee spent, aligning the metric with sustainable growth rather than vanity revenue numbers.</w:t>
      </w:r>
    </w:p>
    <w:p w14:paraId="296D8E05" w14:textId="77777777" w:rsidR="009F6568" w:rsidRDefault="00000000">
      <w:pPr>
        <w:spacing w:before="240" w:after="160"/>
      </w:pPr>
      <w:r>
        <w:rPr>
          <w:rFonts w:ascii="Calibri" w:eastAsia="Calibri" w:hAnsi="Calibri" w:cs="Calibri"/>
          <w:b/>
          <w:bCs/>
          <w:color w:val="1E3A5F"/>
          <w:sz w:val="26"/>
          <w:szCs w:val="26"/>
        </w:rPr>
        <w:t>1.3 Supporting KPIs (10 Metrics)</w:t>
      </w:r>
    </w:p>
    <w:tbl>
      <w:tblPr>
        <w:tblW w:w="5000" w:type="pct"/>
        <w:tblBorders>
          <w:top w:val="single" w:sz="4" w:space="0" w:color="1E3A5F"/>
          <w:left w:val="single" w:sz="2" w:space="0" w:color="AAAAAA"/>
          <w:bottom w:val="single" w:sz="4" w:space="0" w:color="1E3A5F"/>
          <w:right w:val="single" w:sz="2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3"/>
        <w:gridCol w:w="2370"/>
        <w:gridCol w:w="3138"/>
        <w:gridCol w:w="3089"/>
      </w:tblGrid>
      <w:tr w:rsidR="009F6568" w14:paraId="181803E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E2F47" w14:textId="77777777" w:rsidR="009F6568" w:rsidRDefault="00000000">
            <w:pPr>
              <w:spacing w:after="4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8B259" w14:textId="77777777" w:rsidR="009F6568" w:rsidRDefault="00000000">
            <w:pPr>
              <w:spacing w:after="4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KPI</w:t>
            </w:r>
          </w:p>
        </w:tc>
        <w:tc>
          <w:tcPr>
            <w:tcW w:w="0" w:type="auto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EEE67" w14:textId="77777777" w:rsidR="009F6568" w:rsidRDefault="00000000">
            <w:pPr>
              <w:spacing w:after="4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Formula</w:t>
            </w:r>
          </w:p>
        </w:tc>
        <w:tc>
          <w:tcPr>
            <w:tcW w:w="0" w:type="auto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CB8BE" w14:textId="77777777" w:rsidR="009F6568" w:rsidRDefault="00000000">
            <w:pPr>
              <w:spacing w:after="4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9F6568" w14:paraId="08FA722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A7534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F463F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Revenue ROAS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6D08E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Gross Revenue / Marketing Spend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BA01F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Top-line channel efficiency</w:t>
            </w:r>
          </w:p>
        </w:tc>
      </w:tr>
      <w:tr w:rsidR="009F6568" w14:paraId="4837884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9C7B7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2</w:t>
            </w:r>
          </w:p>
        </w:tc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F7BE4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Contribution Margin ROAS ★</w:t>
            </w:r>
          </w:p>
        </w:tc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0AD72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Contribution Margin / Marketing Spend</w:t>
            </w:r>
          </w:p>
        </w:tc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AE387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North Star — true profitability</w:t>
            </w:r>
          </w:p>
        </w:tc>
      </w:tr>
      <w:tr w:rsidR="009F6568" w14:paraId="65F1E1B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434FC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16092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CAC Proxy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27D47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Spend / Attributed Orders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D0E7E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Cost per acquisition</w:t>
            </w:r>
          </w:p>
        </w:tc>
      </w:tr>
      <w:tr w:rsidR="009F6568" w14:paraId="77C5601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D49E8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4</w:t>
            </w:r>
          </w:p>
        </w:tc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8F8A2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Conversion Rate (CVR)</w:t>
            </w:r>
          </w:p>
        </w:tc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75743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Attributed Orders / Sessions</w:t>
            </w:r>
          </w:p>
        </w:tc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B7B48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Session quality signal</w:t>
            </w:r>
          </w:p>
        </w:tc>
      </w:tr>
      <w:tr w:rsidR="009F6568" w14:paraId="5EC4CAA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4DBD3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21CC5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Revenue per Session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699B7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Attributed Revenue / Sessions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3EDC1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Combined volume + conversion quality</w:t>
            </w:r>
          </w:p>
        </w:tc>
      </w:tr>
      <w:tr w:rsidR="009F6568" w14:paraId="06F3992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F0B5C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6</w:t>
            </w:r>
          </w:p>
        </w:tc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3A614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Average Order Value (AOV)</w:t>
            </w:r>
          </w:p>
        </w:tc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74F6B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Revenue / Orders</w:t>
            </w:r>
          </w:p>
        </w:tc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E82FA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Basket size health</w:t>
            </w:r>
          </w:p>
        </w:tc>
      </w:tr>
      <w:tr w:rsidR="009F6568" w14:paraId="63A0C05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60E1B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7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80576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Discount Rate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67008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Total Discount / Gross Revenue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4DFF6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Margin erosion monitor</w:t>
            </w:r>
          </w:p>
        </w:tc>
      </w:tr>
      <w:tr w:rsidR="009F6568" w14:paraId="57AEBDD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00A53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8</w:t>
            </w:r>
          </w:p>
        </w:tc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8CC87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Margin %</w:t>
            </w:r>
          </w:p>
        </w:tc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AF743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Contribution Margin / Net Revenue</w:t>
            </w:r>
          </w:p>
        </w:tc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CA33B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Category-level profitability</w:t>
            </w:r>
          </w:p>
        </w:tc>
      </w:tr>
      <w:tr w:rsidR="009F6568" w14:paraId="105878C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6A04C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9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07BB9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Channel Spend Mix %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72234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Channel Spend / Total Spend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7EEFF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Budget allocation health</w:t>
            </w:r>
          </w:p>
        </w:tc>
      </w:tr>
      <w:tr w:rsidR="009F6568" w14:paraId="21E4381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DBFA9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10</w:t>
            </w:r>
          </w:p>
        </w:tc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E82AB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Channel Revenue Mix %</w:t>
            </w:r>
          </w:p>
        </w:tc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7D6E1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Channel Revenue / Total Revenue</w:t>
            </w:r>
          </w:p>
        </w:tc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B39C6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Budget-revenue alignment check</w:t>
            </w:r>
          </w:p>
        </w:tc>
      </w:tr>
    </w:tbl>
    <w:p w14:paraId="4B47EDE5" w14:textId="77777777" w:rsidR="009F6568" w:rsidRDefault="009F6568">
      <w:pPr>
        <w:spacing w:after="80"/>
      </w:pPr>
    </w:p>
    <w:p w14:paraId="217E3E7D" w14:textId="77777777" w:rsidR="009F6568" w:rsidRDefault="00000000">
      <w:pPr>
        <w:spacing w:before="240" w:after="160"/>
      </w:pPr>
      <w:r>
        <w:rPr>
          <w:rFonts w:ascii="Calibri" w:eastAsia="Calibri" w:hAnsi="Calibri" w:cs="Calibri"/>
          <w:b/>
          <w:bCs/>
          <w:color w:val="1E3A5F"/>
          <w:sz w:val="26"/>
          <w:szCs w:val="26"/>
        </w:rPr>
        <w:t>1.4 Attribution Rule</w:t>
      </w:r>
    </w:p>
    <w:p w14:paraId="03300227" w14:textId="77777777" w:rsidR="009F6568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Method: Last-Touch Attribution (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session_id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join)</w:t>
      </w:r>
    </w:p>
    <w:p w14:paraId="63CF433F" w14:textId="6515028E" w:rsidR="009F6568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Each order is attributed to the channel and campaign of the session in which the purchase occurred. The join is performed via </w:t>
      </w:r>
      <w:proofErr w:type="spellStart"/>
      <w:r>
        <w:rPr>
          <w:rFonts w:ascii="Calibri" w:eastAsia="Calibri" w:hAnsi="Calibri" w:cs="Calibri"/>
          <w:sz w:val="22"/>
          <w:szCs w:val="22"/>
        </w:rPr>
        <w:t>session_id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 w:rsidR="001C61A8">
        <w:rPr>
          <w:rFonts w:ascii="Calibri" w:eastAsia="Calibri" w:hAnsi="Calibri" w:cs="Calibri"/>
          <w:sz w:val="22"/>
          <w:szCs w:val="22"/>
        </w:rPr>
        <w:t>-</w:t>
      </w:r>
      <w:r>
        <w:rPr>
          <w:rFonts w:ascii="Calibri" w:eastAsia="Calibri" w:hAnsi="Calibri" w:cs="Calibri"/>
          <w:sz w:val="22"/>
          <w:szCs w:val="22"/>
        </w:rPr>
        <w:t xml:space="preserve"> the session present in both the sessions and orders tables. This is a deterministic, reproducible rule with 100% attribution coverage across 16,193 orders.</w:t>
      </w:r>
    </w:p>
    <w:p w14:paraId="2153A0C2" w14:textId="77777777" w:rsidR="009F6568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Limitation acknowledged: Last-touch under-credits upper-funnel awareness channels (Paid Social, Display) that assist conversions without closing them. A multi-touch time-decay model would provide a fairer view of assist value (planned as Month 2 next step).</w:t>
      </w:r>
    </w:p>
    <w:p w14:paraId="204AE6EE" w14:textId="77777777" w:rsidR="009F6568" w:rsidRDefault="00000000">
      <w:pPr>
        <w:spacing w:before="240" w:after="160"/>
      </w:pPr>
      <w:r>
        <w:rPr>
          <w:rFonts w:ascii="Calibri" w:eastAsia="Calibri" w:hAnsi="Calibri" w:cs="Calibri"/>
          <w:b/>
          <w:bCs/>
          <w:color w:val="1E3A5F"/>
          <w:sz w:val="26"/>
          <w:szCs w:val="26"/>
        </w:rPr>
        <w:lastRenderedPageBreak/>
        <w:t>1.5 Stakeholder Questions Answered</w:t>
      </w:r>
    </w:p>
    <w:p w14:paraId="7489F1A1" w14:textId="77777777" w:rsidR="009F6568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Q1. </w:t>
      </w:r>
      <w:r>
        <w:rPr>
          <w:rFonts w:ascii="Calibri" w:eastAsia="Calibri" w:hAnsi="Calibri" w:cs="Calibri"/>
          <w:sz w:val="22"/>
          <w:szCs w:val="22"/>
        </w:rPr>
        <w:t>Which channels have the highest and lowest Contribution Margin ROAS, and why?</w:t>
      </w:r>
    </w:p>
    <w:p w14:paraId="6B079E07" w14:textId="77777777" w:rsidR="009F6568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Q2. </w:t>
      </w:r>
      <w:r>
        <w:rPr>
          <w:rFonts w:ascii="Calibri" w:eastAsia="Calibri" w:hAnsi="Calibri" w:cs="Calibri"/>
          <w:sz w:val="22"/>
          <w:szCs w:val="22"/>
        </w:rPr>
        <w:t>How much of our Paid Social budget is generating positive contribution margin?</w:t>
      </w:r>
    </w:p>
    <w:p w14:paraId="1E466C27" w14:textId="77777777" w:rsidR="009F6568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Q3. </w:t>
      </w:r>
      <w:r>
        <w:rPr>
          <w:rFonts w:ascii="Calibri" w:eastAsia="Calibri" w:hAnsi="Calibri" w:cs="Calibri"/>
          <w:sz w:val="22"/>
          <w:szCs w:val="22"/>
        </w:rPr>
        <w:t>Are new or returning users more valuable per order, and how should this affect retention vs acquisition spend?</w:t>
      </w:r>
    </w:p>
    <w:p w14:paraId="0EAFE684" w14:textId="77777777" w:rsidR="009F6568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Q4. </w:t>
      </w:r>
      <w:r>
        <w:rPr>
          <w:rFonts w:ascii="Calibri" w:eastAsia="Calibri" w:hAnsi="Calibri" w:cs="Calibri"/>
          <w:sz w:val="22"/>
          <w:szCs w:val="22"/>
        </w:rPr>
        <w:t>Which product categories should we prioritise in campaign targeting to maximise margins?</w:t>
      </w:r>
    </w:p>
    <w:p w14:paraId="0D2B2156" w14:textId="77777777" w:rsidR="009F6568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Q5. </w:t>
      </w:r>
      <w:r>
        <w:rPr>
          <w:rFonts w:ascii="Calibri" w:eastAsia="Calibri" w:hAnsi="Calibri" w:cs="Calibri"/>
          <w:sz w:val="22"/>
          <w:szCs w:val="22"/>
        </w:rPr>
        <w:t>What would be the 30-day revenue and margin impact of reallocating budget away from loss-making channels?</w:t>
      </w:r>
    </w:p>
    <w:p w14:paraId="4AAA8961" w14:textId="77777777" w:rsidR="009F6568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Q6. </w:t>
      </w:r>
      <w:r>
        <w:rPr>
          <w:rFonts w:ascii="Calibri" w:eastAsia="Calibri" w:hAnsi="Calibri" w:cs="Calibri"/>
          <w:sz w:val="22"/>
          <w:szCs w:val="22"/>
        </w:rPr>
        <w:t>Are revenue spikes (e.g., Aug 11 +49%) driven by promotional events or genuine efficiency gains?</w:t>
      </w:r>
    </w:p>
    <w:p w14:paraId="0B651D5E" w14:textId="77777777" w:rsidR="009F6568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Q7. </w:t>
      </w:r>
      <w:r>
        <w:rPr>
          <w:rFonts w:ascii="Calibri" w:eastAsia="Calibri" w:hAnsi="Calibri" w:cs="Calibri"/>
          <w:sz w:val="22"/>
          <w:szCs w:val="22"/>
        </w:rPr>
        <w:t>Which campaigns represent the highest spend-to-revenue waste, and what experiments should we run to validate?</w:t>
      </w:r>
    </w:p>
    <w:p w14:paraId="41244B6E" w14:textId="77777777" w:rsidR="009F6568" w:rsidRDefault="00000000">
      <w:pPr>
        <w:pageBreakBefore/>
      </w:pPr>
      <w:r>
        <w:lastRenderedPageBreak/>
        <w:br/>
      </w:r>
    </w:p>
    <w:p w14:paraId="286EA237" w14:textId="77777777" w:rsidR="009F6568" w:rsidRDefault="00000000">
      <w:pPr>
        <w:spacing w:before="400" w:after="160"/>
      </w:pPr>
      <w:r>
        <w:rPr>
          <w:rFonts w:ascii="Calibri" w:eastAsia="Calibri" w:hAnsi="Calibri" w:cs="Calibri"/>
          <w:b/>
          <w:bCs/>
          <w:color w:val="1E3A5F"/>
          <w:sz w:val="36"/>
          <w:szCs w:val="36"/>
        </w:rPr>
        <w:t>2. Data Architecture &amp; ETL Methodology</w:t>
      </w:r>
    </w:p>
    <w:p w14:paraId="3751D6FF" w14:textId="77777777" w:rsidR="009F6568" w:rsidRDefault="009F6568">
      <w:pPr>
        <w:pBdr>
          <w:bottom w:val="single" w:sz="6" w:space="0" w:color="1E3A5F"/>
        </w:pBdr>
        <w:spacing w:after="200"/>
      </w:pPr>
    </w:p>
    <w:p w14:paraId="59B1C542" w14:textId="77777777" w:rsidR="009F6568" w:rsidRDefault="00000000">
      <w:pPr>
        <w:spacing w:before="240" w:after="160"/>
      </w:pPr>
      <w:r>
        <w:rPr>
          <w:rFonts w:ascii="Calibri" w:eastAsia="Calibri" w:hAnsi="Calibri" w:cs="Calibri"/>
          <w:b/>
          <w:bCs/>
          <w:color w:val="1E3A5F"/>
          <w:sz w:val="26"/>
          <w:szCs w:val="26"/>
        </w:rPr>
        <w:t>2.1 Raw Data Sources</w:t>
      </w:r>
    </w:p>
    <w:tbl>
      <w:tblPr>
        <w:tblW w:w="5000" w:type="pct"/>
        <w:tblBorders>
          <w:top w:val="single" w:sz="4" w:space="0" w:color="1E3A5F"/>
          <w:left w:val="single" w:sz="2" w:space="0" w:color="AAAAAA"/>
          <w:bottom w:val="single" w:sz="4" w:space="0" w:color="1E3A5F"/>
          <w:right w:val="single" w:sz="2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27"/>
        <w:gridCol w:w="4724"/>
        <w:gridCol w:w="2369"/>
      </w:tblGrid>
      <w:tr w:rsidR="009F6568" w14:paraId="31897BF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95FE7" w14:textId="77777777" w:rsidR="009F6568" w:rsidRDefault="00000000">
            <w:pPr>
              <w:spacing w:after="4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File</w:t>
            </w:r>
          </w:p>
        </w:tc>
        <w:tc>
          <w:tcPr>
            <w:tcW w:w="0" w:type="auto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0DC1C" w14:textId="77777777" w:rsidR="009F6568" w:rsidRDefault="00000000">
            <w:pPr>
              <w:spacing w:after="4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0" w:type="auto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90B0B" w14:textId="77777777" w:rsidR="009F6568" w:rsidRDefault="00000000">
            <w:pPr>
              <w:spacing w:after="4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Size / Notes</w:t>
            </w:r>
          </w:p>
        </w:tc>
      </w:tr>
      <w:tr w:rsidR="009F6568" w14:paraId="3D7D146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66E55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users.csv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3690E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 xml:space="preserve">User profiles: city tier, segment, device, </w:t>
            </w:r>
            <w:proofErr w:type="spellStart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signup_date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1FE14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2,600 users</w:t>
            </w:r>
          </w:p>
        </w:tc>
      </w:tr>
      <w:tr w:rsidR="009F6568" w14:paraId="700659F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412FA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sessions.csv</w:t>
            </w:r>
          </w:p>
        </w:tc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8C1B6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All website sessions with channel, campaign, device</w:t>
            </w:r>
          </w:p>
        </w:tc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C2222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660,820 sessions</w:t>
            </w:r>
          </w:p>
        </w:tc>
      </w:tr>
      <w:tr w:rsidR="009F6568" w14:paraId="74E7D96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6ADAD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orders.csv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1A862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Order-level: gross revenue, discount, net amount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5659B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16,193 orders</w:t>
            </w:r>
          </w:p>
        </w:tc>
      </w:tr>
      <w:tr w:rsidR="009F6568" w14:paraId="7E26EB2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B3D05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order_items.csv</w:t>
            </w:r>
          </w:p>
        </w:tc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0E07A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Line items per order with quantity and price</w:t>
            </w:r>
          </w:p>
        </w:tc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0854E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Multiple rows/order</w:t>
            </w:r>
          </w:p>
        </w:tc>
      </w:tr>
      <w:tr w:rsidR="009F6568" w14:paraId="6675F4E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76379" w14:textId="77777777" w:rsidR="009F6568" w:rsidRDefault="00000000">
            <w:pPr>
              <w:spacing w:after="40"/>
            </w:pPr>
            <w:proofErr w:type="spellStart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products.json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FF6FE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Product catalogue with cost, category, brand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3468A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Cost enables margin calc</w:t>
            </w:r>
          </w:p>
        </w:tc>
      </w:tr>
      <w:tr w:rsidR="009F6568" w14:paraId="736D86D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1E4F0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campaigns.csv</w:t>
            </w:r>
          </w:p>
        </w:tc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8B7E9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Campaign metadata: channel, type, start/end dates</w:t>
            </w:r>
          </w:p>
        </w:tc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42EA0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40 campaigns</w:t>
            </w:r>
          </w:p>
        </w:tc>
      </w:tr>
      <w:tr w:rsidR="009F6568" w14:paraId="3B40FCD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9DFD5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ad_spend_daily.csv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CDB67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Daily spend, impressions, clicks per campaign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9BCE8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211 days</w:t>
            </w:r>
          </w:p>
        </w:tc>
      </w:tr>
    </w:tbl>
    <w:p w14:paraId="47312437" w14:textId="77777777" w:rsidR="009F6568" w:rsidRDefault="009F6568">
      <w:pPr>
        <w:spacing w:after="80"/>
      </w:pPr>
    </w:p>
    <w:p w14:paraId="434736D6" w14:textId="77777777" w:rsidR="009F6568" w:rsidRDefault="00000000">
      <w:pPr>
        <w:spacing w:before="240" w:after="160"/>
      </w:pPr>
      <w:r>
        <w:rPr>
          <w:rFonts w:ascii="Calibri" w:eastAsia="Calibri" w:hAnsi="Calibri" w:cs="Calibri"/>
          <w:b/>
          <w:bCs/>
          <w:color w:val="1E3A5F"/>
          <w:sz w:val="26"/>
          <w:szCs w:val="26"/>
        </w:rPr>
        <w:t>2.2 ETL Pipeline Steps</w:t>
      </w:r>
    </w:p>
    <w:tbl>
      <w:tblPr>
        <w:tblW w:w="5000" w:type="pct"/>
        <w:tblBorders>
          <w:top w:val="single" w:sz="4" w:space="0" w:color="1E3A5F"/>
          <w:left w:val="single" w:sz="2" w:space="0" w:color="AAAAAA"/>
          <w:bottom w:val="single" w:sz="4" w:space="0" w:color="1E3A5F"/>
          <w:right w:val="single" w:sz="2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33"/>
        <w:gridCol w:w="4741"/>
        <w:gridCol w:w="2646"/>
      </w:tblGrid>
      <w:tr w:rsidR="009F6568" w14:paraId="11AC3E6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F75F4" w14:textId="77777777" w:rsidR="009F6568" w:rsidRDefault="00000000">
            <w:pPr>
              <w:spacing w:after="4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Step</w:t>
            </w:r>
          </w:p>
        </w:tc>
        <w:tc>
          <w:tcPr>
            <w:tcW w:w="0" w:type="auto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CCCAF" w14:textId="77777777" w:rsidR="009F6568" w:rsidRDefault="00000000">
            <w:pPr>
              <w:spacing w:after="4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Action</w:t>
            </w:r>
          </w:p>
        </w:tc>
        <w:tc>
          <w:tcPr>
            <w:tcW w:w="0" w:type="auto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53483" w14:textId="77777777" w:rsidR="009F6568" w:rsidRDefault="00000000">
            <w:pPr>
              <w:spacing w:after="4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Key Decisions</w:t>
            </w:r>
          </w:p>
        </w:tc>
      </w:tr>
      <w:tr w:rsidR="009F6568" w14:paraId="722077C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229AB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1 — Load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54675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Load all 7 raw files with pandas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CDF53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UTF-8 encoding, date parsing</w:t>
            </w:r>
          </w:p>
        </w:tc>
      </w:tr>
      <w:tr w:rsidR="009F6568" w14:paraId="780CC60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FD440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2 — Deduplicate</w:t>
            </w:r>
          </w:p>
        </w:tc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E75B1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 xml:space="preserve">Drop duplicate </w:t>
            </w:r>
            <w:proofErr w:type="spellStart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session_ids</w:t>
            </w:r>
            <w:proofErr w:type="spellEnd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order_ids</w:t>
            </w:r>
            <w:proofErr w:type="spellEnd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, spend rows</w:t>
            </w:r>
          </w:p>
        </w:tc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5C3FE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Primary key deduplication</w:t>
            </w:r>
          </w:p>
        </w:tc>
      </w:tr>
      <w:tr w:rsidR="009F6568" w14:paraId="640828B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6FEAD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3 — Normalize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4E26E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Lowercase all channel/device/category fields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F568E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Ensures consistent group-by</w:t>
            </w:r>
          </w:p>
        </w:tc>
      </w:tr>
      <w:tr w:rsidR="009F6568" w14:paraId="1F08EE7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F48AE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4 — Missing Values</w:t>
            </w:r>
          </w:p>
        </w:tc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3FE45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Fill missing spend/clicks/impressions with 0; flag nulls</w:t>
            </w:r>
          </w:p>
        </w:tc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E8CB6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Prevents division errors in KPI calc</w:t>
            </w:r>
          </w:p>
        </w:tc>
      </w:tr>
      <w:tr w:rsidR="009F6568" w14:paraId="5C12264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14EF5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5 — Outlier Handling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ECCEC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 xml:space="preserve">Flag revenue outliers (&gt;3 SD); keep with </w:t>
            </w:r>
            <w:proofErr w:type="spellStart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promo_flag</w:t>
            </w:r>
            <w:proofErr w:type="spellEnd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=1 on spike days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82AE3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Preserves data integrity</w:t>
            </w:r>
          </w:p>
        </w:tc>
      </w:tr>
      <w:tr w:rsidR="009F6568" w14:paraId="29235DE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417A9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6 — Margin Join</w:t>
            </w:r>
          </w:p>
        </w:tc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C975F" w14:textId="77777777" w:rsidR="009F6568" w:rsidRDefault="00000000">
            <w:pPr>
              <w:spacing w:after="40"/>
            </w:pPr>
            <w:proofErr w:type="spellStart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order_items</w:t>
            </w:r>
            <w:proofErr w:type="spellEnd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 xml:space="preserve"> → products join to compute contribution margin per order</w:t>
            </w:r>
          </w:p>
        </w:tc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7DD59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True profitability, not revenue proxy</w:t>
            </w:r>
          </w:p>
        </w:tc>
      </w:tr>
      <w:tr w:rsidR="009F6568" w14:paraId="6AD8B54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60DBB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7 — Attribution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99C38" w14:textId="77777777" w:rsidR="009F6568" w:rsidRDefault="00000000">
            <w:pPr>
              <w:spacing w:after="40"/>
            </w:pPr>
            <w:proofErr w:type="spellStart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session_id</w:t>
            </w:r>
            <w:proofErr w:type="spellEnd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 xml:space="preserve"> join: orders → sessions → campaigns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AEFA8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Last-touch attribution, 100% coverage</w:t>
            </w:r>
          </w:p>
        </w:tc>
      </w:tr>
      <w:tr w:rsidR="009F6568" w14:paraId="68592E7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050CC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8 — Fact Tables</w:t>
            </w:r>
          </w:p>
        </w:tc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86579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Build 3 output tables (session, campaign-day, channel-day)</w:t>
            </w:r>
          </w:p>
        </w:tc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991C0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Analysis-ready grain</w:t>
            </w:r>
          </w:p>
        </w:tc>
      </w:tr>
    </w:tbl>
    <w:p w14:paraId="40588284" w14:textId="77777777" w:rsidR="009F6568" w:rsidRDefault="009F6568">
      <w:pPr>
        <w:spacing w:after="80"/>
      </w:pPr>
    </w:p>
    <w:p w14:paraId="1E93E263" w14:textId="77777777" w:rsidR="009F6568" w:rsidRDefault="00000000">
      <w:pPr>
        <w:spacing w:before="240" w:after="160"/>
      </w:pPr>
      <w:r>
        <w:rPr>
          <w:rFonts w:ascii="Calibri" w:eastAsia="Calibri" w:hAnsi="Calibri" w:cs="Calibri"/>
          <w:b/>
          <w:bCs/>
          <w:color w:val="1E3A5F"/>
          <w:sz w:val="26"/>
          <w:szCs w:val="26"/>
        </w:rPr>
        <w:t>2.3 Output Fact Tables</w:t>
      </w:r>
    </w:p>
    <w:tbl>
      <w:tblPr>
        <w:tblW w:w="5000" w:type="pct"/>
        <w:tblBorders>
          <w:top w:val="single" w:sz="4" w:space="0" w:color="1E3A5F"/>
          <w:left w:val="single" w:sz="2" w:space="0" w:color="AAAAAA"/>
          <w:bottom w:val="single" w:sz="4" w:space="0" w:color="1E3A5F"/>
          <w:right w:val="single" w:sz="2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23"/>
        <w:gridCol w:w="1344"/>
        <w:gridCol w:w="4731"/>
        <w:gridCol w:w="922"/>
      </w:tblGrid>
      <w:tr w:rsidR="009F6568" w14:paraId="13C883B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0C10A" w14:textId="77777777" w:rsidR="009F6568" w:rsidRDefault="00000000">
            <w:pPr>
              <w:spacing w:after="4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Table</w:t>
            </w:r>
          </w:p>
        </w:tc>
        <w:tc>
          <w:tcPr>
            <w:tcW w:w="0" w:type="auto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A64A3" w14:textId="77777777" w:rsidR="009F6568" w:rsidRDefault="00000000">
            <w:pPr>
              <w:spacing w:after="4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Grain</w:t>
            </w:r>
          </w:p>
        </w:tc>
        <w:tc>
          <w:tcPr>
            <w:tcW w:w="0" w:type="auto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3B069" w14:textId="77777777" w:rsidR="009F6568" w:rsidRDefault="00000000">
            <w:pPr>
              <w:spacing w:after="4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Key Columns</w:t>
            </w:r>
          </w:p>
        </w:tc>
        <w:tc>
          <w:tcPr>
            <w:tcW w:w="0" w:type="auto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374E6" w14:textId="77777777" w:rsidR="009F6568" w:rsidRDefault="00000000">
            <w:pPr>
              <w:spacing w:after="4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Rows</w:t>
            </w:r>
          </w:p>
        </w:tc>
      </w:tr>
      <w:tr w:rsidR="009F6568" w14:paraId="5818BA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17CAA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fact_sessions.csv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84B4B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1 row per session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D454D" w14:textId="77777777" w:rsidR="009F6568" w:rsidRDefault="00000000">
            <w:pPr>
              <w:spacing w:after="40"/>
            </w:pPr>
            <w:proofErr w:type="spellStart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session_id</w:t>
            </w:r>
            <w:proofErr w:type="spellEnd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user_id</w:t>
            </w:r>
            <w:proofErr w:type="spellEnd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 xml:space="preserve">, channel, </w:t>
            </w:r>
            <w:proofErr w:type="spellStart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campaign_id</w:t>
            </w:r>
            <w:proofErr w:type="spellEnd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is_new_user</w:t>
            </w:r>
            <w:proofErr w:type="spellEnd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purchase_flag</w:t>
            </w:r>
            <w:proofErr w:type="spellEnd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 xml:space="preserve">, gross, discount, net, </w:t>
            </w:r>
            <w:proofErr w:type="spellStart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contribution_margin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878A2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~660,820</w:t>
            </w:r>
          </w:p>
        </w:tc>
      </w:tr>
      <w:tr w:rsidR="009F6568" w14:paraId="6791B8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CEC9C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lastRenderedPageBreak/>
              <w:t>fact_campaign_daily.csv</w:t>
            </w:r>
          </w:p>
        </w:tc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DFE01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1 row per date × campaign</w:t>
            </w:r>
          </w:p>
        </w:tc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64454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 xml:space="preserve">date, </w:t>
            </w:r>
            <w:proofErr w:type="spellStart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campaign_id</w:t>
            </w:r>
            <w:proofErr w:type="spellEnd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 xml:space="preserve">, channel, spend, impressions, clicks, </w:t>
            </w:r>
            <w:proofErr w:type="spellStart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attributed_sessions</w:t>
            </w:r>
            <w:proofErr w:type="spellEnd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attributed_orders</w:t>
            </w:r>
            <w:proofErr w:type="spellEnd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attributed_revenue</w:t>
            </w:r>
            <w:proofErr w:type="spellEnd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 xml:space="preserve">, CPC, CTR, CVR, ROAS, </w:t>
            </w:r>
            <w:proofErr w:type="spellStart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CAC_proxy</w:t>
            </w:r>
            <w:proofErr w:type="spellEnd"/>
          </w:p>
        </w:tc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82DCC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~8,440</w:t>
            </w:r>
          </w:p>
        </w:tc>
      </w:tr>
      <w:tr w:rsidR="009F6568" w14:paraId="2166189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D658C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fact_channel_daily.csv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D82EE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1 row per date × channel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49A7C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 xml:space="preserve">date, channel, </w:t>
            </w:r>
            <w:proofErr w:type="spellStart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total_spend</w:t>
            </w:r>
            <w:proofErr w:type="spellEnd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attributed_orders</w:t>
            </w:r>
            <w:proofErr w:type="spellEnd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attributed_revenue</w:t>
            </w:r>
            <w:proofErr w:type="spellEnd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promo_flag</w:t>
            </w:r>
            <w:proofErr w:type="spellEnd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day_of_week</w:t>
            </w:r>
            <w:proofErr w:type="spellEnd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week_index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75F76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~1,055</w:t>
            </w:r>
          </w:p>
        </w:tc>
      </w:tr>
    </w:tbl>
    <w:p w14:paraId="64CA5A2E" w14:textId="77777777" w:rsidR="009F6568" w:rsidRDefault="009F6568">
      <w:pPr>
        <w:spacing w:after="80"/>
      </w:pPr>
    </w:p>
    <w:p w14:paraId="41F2842E" w14:textId="77777777" w:rsidR="009F6568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Promo Flag Rule: </w:t>
      </w:r>
      <w:proofErr w:type="spellStart"/>
      <w:r>
        <w:rPr>
          <w:rFonts w:ascii="Calibri" w:eastAsia="Calibri" w:hAnsi="Calibri" w:cs="Calibri"/>
          <w:sz w:val="22"/>
          <w:szCs w:val="22"/>
        </w:rPr>
        <w:t>promo_flag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= 1 when daily revenue &gt; 1.5× the 7-day rolling average. This data-driven threshold captured the Aug 11 spike (+49%), the Dec 22–Jan 4 holiday window, and other promotional events without requiring external promo calendars.</w:t>
      </w:r>
    </w:p>
    <w:p w14:paraId="0FC5C104" w14:textId="77777777" w:rsidR="009F6568" w:rsidRDefault="00000000">
      <w:pPr>
        <w:pageBreakBefore/>
      </w:pPr>
      <w:r>
        <w:lastRenderedPageBreak/>
        <w:br/>
      </w:r>
    </w:p>
    <w:p w14:paraId="308A63F0" w14:textId="77777777" w:rsidR="009F6568" w:rsidRDefault="00000000">
      <w:pPr>
        <w:spacing w:before="400" w:after="160"/>
      </w:pPr>
      <w:r>
        <w:rPr>
          <w:rFonts w:ascii="Calibri" w:eastAsia="Calibri" w:hAnsi="Calibri" w:cs="Calibri"/>
          <w:b/>
          <w:bCs/>
          <w:color w:val="1E3A5F"/>
          <w:sz w:val="36"/>
          <w:szCs w:val="36"/>
        </w:rPr>
        <w:t>3. Seven Key Insights</w:t>
      </w:r>
    </w:p>
    <w:p w14:paraId="4828AB7B" w14:textId="77777777" w:rsidR="009F6568" w:rsidRDefault="009F6568">
      <w:pPr>
        <w:pBdr>
          <w:bottom w:val="single" w:sz="6" w:space="0" w:color="1E3A5F"/>
        </w:pBdr>
        <w:spacing w:after="200"/>
      </w:pPr>
    </w:p>
    <w:p w14:paraId="5B47577D" w14:textId="77777777" w:rsidR="009F6568" w:rsidRDefault="00000000">
      <w:pPr>
        <w:spacing w:before="240" w:after="160"/>
      </w:pPr>
      <w:r>
        <w:rPr>
          <w:rFonts w:ascii="Calibri" w:eastAsia="Calibri" w:hAnsi="Calibri" w:cs="Calibri"/>
          <w:b/>
          <w:bCs/>
          <w:color w:val="1E3A5F"/>
          <w:sz w:val="26"/>
          <w:szCs w:val="26"/>
        </w:rPr>
        <w:t>Insight 1: Budget is structurally misaligned with profitability</w:t>
      </w:r>
    </w:p>
    <w:p w14:paraId="5AF42D07" w14:textId="77777777" w:rsidR="009F6568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Organic (Margin ROAS 5.15x) and Email (Margin ROAS 2.18x) together receive only 6.4% of the total budget. Paid Social (Margin ROAS 0.25x) receives 38.4%. This is the single largest addressable opportunity in the dataset — the budget is disproportionately concentrated in the worst-performing channel by profitability.</w:t>
      </w:r>
    </w:p>
    <w:p w14:paraId="64703E7B" w14:textId="77777777" w:rsidR="009F6568" w:rsidRDefault="00000000">
      <w:pPr>
        <w:spacing w:before="240" w:after="160"/>
      </w:pPr>
      <w:r>
        <w:rPr>
          <w:rFonts w:ascii="Calibri" w:eastAsia="Calibri" w:hAnsi="Calibri" w:cs="Calibri"/>
          <w:b/>
          <w:bCs/>
          <w:color w:val="1E3A5F"/>
          <w:sz w:val="26"/>
          <w:szCs w:val="26"/>
        </w:rPr>
        <w:t>Insight 2: Paid Social is destroying value at scale</w:t>
      </w:r>
    </w:p>
    <w:p w14:paraId="4119E5D3" w14:textId="77777777" w:rsidR="009F6568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All 8 Paid Social campaigns show Revenue ROAS below 0.75. At Margin ROAS 0.25x, every Rs 4 invested returns only Rs 1 in contribution margin. Over 7 months, Rs 28.6M has flowed into this channel producing negative contribution at the portfolio level.</w:t>
      </w:r>
    </w:p>
    <w:p w14:paraId="1992B422" w14:textId="77777777" w:rsidR="009F6568" w:rsidRDefault="00000000">
      <w:pPr>
        <w:spacing w:before="240" w:after="160"/>
      </w:pPr>
      <w:r>
        <w:rPr>
          <w:rFonts w:ascii="Calibri" w:eastAsia="Calibri" w:hAnsi="Calibri" w:cs="Calibri"/>
          <w:b/>
          <w:bCs/>
          <w:color w:val="1E3A5F"/>
          <w:sz w:val="26"/>
          <w:szCs w:val="26"/>
        </w:rPr>
        <w:t>Insight 3: Campaigns C016 and C011 are the clearest waste</w:t>
      </w:r>
    </w:p>
    <w:p w14:paraId="2C154615" w14:textId="77777777" w:rsidR="009F6568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Together they consume 9.7% of total spend but generate only 4.4% of revenue. Both have ROAS below 0.68 and CAC above Rs 9,000 — the highest in the portfolio. These represent the most immediately actionable budget reallocation targets.</w:t>
      </w:r>
    </w:p>
    <w:p w14:paraId="472E6347" w14:textId="77777777" w:rsidR="009F6568" w:rsidRDefault="00000000">
      <w:pPr>
        <w:spacing w:before="240" w:after="160"/>
      </w:pPr>
      <w:r>
        <w:rPr>
          <w:rFonts w:ascii="Calibri" w:eastAsia="Calibri" w:hAnsi="Calibri" w:cs="Calibri"/>
          <w:b/>
          <w:bCs/>
          <w:color w:val="1E3A5F"/>
          <w:sz w:val="26"/>
          <w:szCs w:val="26"/>
        </w:rPr>
        <w:t>Insight 4: Fashion and Beauty are highest-margin, under-targeted categories</w:t>
      </w:r>
    </w:p>
    <w:p w14:paraId="59A377DA" w14:textId="77777777" w:rsidR="009F6568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Fashion (42.0% margin) and Beauty (41.6% margin) are significantly more profitable than Books (38.7%), which dominates current campaign revenue. Redirecting Email and Organic campaign targeting toward Fashion and Beauty would improve the blended portfolio margin.</w:t>
      </w:r>
    </w:p>
    <w:p w14:paraId="6F39D6F6" w14:textId="77777777" w:rsidR="009F6568" w:rsidRDefault="00000000">
      <w:pPr>
        <w:spacing w:before="240" w:after="160"/>
      </w:pPr>
      <w:r>
        <w:rPr>
          <w:rFonts w:ascii="Calibri" w:eastAsia="Calibri" w:hAnsi="Calibri" w:cs="Calibri"/>
          <w:b/>
          <w:bCs/>
          <w:color w:val="1E3A5F"/>
          <w:sz w:val="26"/>
          <w:szCs w:val="26"/>
        </w:rPr>
        <w:t>Insight 5: Value segment customers have the highest AOV for upsell</w:t>
      </w:r>
    </w:p>
    <w:p w14:paraId="18F8835F" w14:textId="77777777" w:rsidR="009F6568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The Value customer segment has an AOV of Rs 6,897 — higher than the Premium segment (Rs 6,625). This counterintuitive finding suggests the Value segment is already purchasing high-ticket items and represents the best target for Email upsell and retention campaigns.</w:t>
      </w:r>
    </w:p>
    <w:p w14:paraId="10D48B7D" w14:textId="77777777" w:rsidR="009F6568" w:rsidRDefault="00000000">
      <w:pPr>
        <w:spacing w:before="240" w:after="160"/>
      </w:pPr>
      <w:r>
        <w:rPr>
          <w:rFonts w:ascii="Calibri" w:eastAsia="Calibri" w:hAnsi="Calibri" w:cs="Calibri"/>
          <w:b/>
          <w:bCs/>
          <w:color w:val="1E3A5F"/>
          <w:sz w:val="26"/>
          <w:szCs w:val="26"/>
        </w:rPr>
        <w:t>Insight 6: Returning users drive 99.6% of all conversions</w:t>
      </w:r>
    </w:p>
    <w:p w14:paraId="44F7E1D3" w14:textId="77777777" w:rsidR="009F6568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New users account for only 0.4% of purchases (Rs 0.44M revenue vs Rs 108.78M from returning users). At current CAC levels — particularly Paid Social at Rs 8,925 per order — investing in retention is dramatically more efficient than new user acquisition campaigns.</w:t>
      </w:r>
    </w:p>
    <w:p w14:paraId="749F23F5" w14:textId="77777777" w:rsidR="009F6568" w:rsidRDefault="00000000">
      <w:pPr>
        <w:spacing w:before="240" w:after="160"/>
      </w:pPr>
      <w:r>
        <w:rPr>
          <w:rFonts w:ascii="Calibri" w:eastAsia="Calibri" w:hAnsi="Calibri" w:cs="Calibri"/>
          <w:b/>
          <w:bCs/>
          <w:color w:val="1E3A5F"/>
          <w:sz w:val="26"/>
          <w:szCs w:val="26"/>
        </w:rPr>
        <w:t>Insight 7: Revenue anomalies are demand-driven, not efficiency gains</w:t>
      </w:r>
    </w:p>
    <w:p w14:paraId="183352B6" w14:textId="77777777" w:rsidR="009F6568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The Aug 11 revenue spike (+49% above baseline) and holiday peaks (Dec 22–Jan 4) are fully explained by promotional events and seasonal demand patterns. The regression model's </w:t>
      </w:r>
      <w:proofErr w:type="spellStart"/>
      <w:r>
        <w:rPr>
          <w:rFonts w:ascii="Calibri" w:eastAsia="Calibri" w:hAnsi="Calibri" w:cs="Calibri"/>
          <w:sz w:val="22"/>
          <w:szCs w:val="22"/>
        </w:rPr>
        <w:t>promo_flag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coefficient (Rs 142,003/day, p&lt;0.01) and trend variable (Rs 228.7/day, p&lt;0.05) confirm these are external demand drivers, not evidence of channel efficiency improvements. All projections control for these effects.</w:t>
      </w:r>
    </w:p>
    <w:p w14:paraId="03F8C864" w14:textId="77777777" w:rsidR="009F6568" w:rsidRDefault="00000000">
      <w:pPr>
        <w:pageBreakBefore/>
      </w:pPr>
      <w:r>
        <w:lastRenderedPageBreak/>
        <w:br/>
      </w:r>
    </w:p>
    <w:p w14:paraId="7A2C679C" w14:textId="77777777" w:rsidR="009F6568" w:rsidRDefault="00000000">
      <w:pPr>
        <w:spacing w:before="400" w:after="160"/>
      </w:pPr>
      <w:r>
        <w:rPr>
          <w:rFonts w:ascii="Calibri" w:eastAsia="Calibri" w:hAnsi="Calibri" w:cs="Calibri"/>
          <w:b/>
          <w:bCs/>
          <w:color w:val="1E3A5F"/>
          <w:sz w:val="36"/>
          <w:szCs w:val="36"/>
        </w:rPr>
        <w:t>4. Attribution Findings</w:t>
      </w:r>
    </w:p>
    <w:p w14:paraId="148FD039" w14:textId="77777777" w:rsidR="009F6568" w:rsidRDefault="009F6568">
      <w:pPr>
        <w:pBdr>
          <w:bottom w:val="single" w:sz="6" w:space="0" w:color="1E3A5F"/>
        </w:pBdr>
        <w:spacing w:after="200"/>
      </w:pPr>
    </w:p>
    <w:p w14:paraId="6C33DA9E" w14:textId="77777777" w:rsidR="009F6568" w:rsidRDefault="00000000">
      <w:pPr>
        <w:spacing w:before="240" w:after="160"/>
      </w:pPr>
      <w:r>
        <w:rPr>
          <w:rFonts w:ascii="Calibri" w:eastAsia="Calibri" w:hAnsi="Calibri" w:cs="Calibri"/>
          <w:b/>
          <w:bCs/>
          <w:color w:val="1E3A5F"/>
          <w:sz w:val="26"/>
          <w:szCs w:val="26"/>
        </w:rPr>
        <w:t>4.1 Channel Performance — Attributed ROAS vs Blended ROAS</w:t>
      </w:r>
    </w:p>
    <w:tbl>
      <w:tblPr>
        <w:tblW w:w="5000" w:type="pct"/>
        <w:tblBorders>
          <w:top w:val="single" w:sz="4" w:space="0" w:color="1E3A5F"/>
          <w:left w:val="single" w:sz="2" w:space="0" w:color="AAAAAA"/>
          <w:bottom w:val="single" w:sz="4" w:space="0" w:color="1E3A5F"/>
          <w:right w:val="single" w:sz="2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1199"/>
        <w:gridCol w:w="933"/>
        <w:gridCol w:w="1435"/>
        <w:gridCol w:w="1313"/>
        <w:gridCol w:w="913"/>
        <w:gridCol w:w="1667"/>
      </w:tblGrid>
      <w:tr w:rsidR="009F6568" w14:paraId="5C2B1A6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6DD48" w14:textId="77777777" w:rsidR="009F6568" w:rsidRDefault="00000000">
            <w:pPr>
              <w:spacing w:after="4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Channel</w:t>
            </w:r>
          </w:p>
        </w:tc>
        <w:tc>
          <w:tcPr>
            <w:tcW w:w="0" w:type="auto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3CCA0" w14:textId="77777777" w:rsidR="009F6568" w:rsidRDefault="00000000">
            <w:pPr>
              <w:spacing w:after="4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Total Spend</w:t>
            </w:r>
          </w:p>
        </w:tc>
        <w:tc>
          <w:tcPr>
            <w:tcW w:w="0" w:type="auto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DFC2E" w14:textId="77777777" w:rsidR="009F6568" w:rsidRDefault="00000000">
            <w:pPr>
              <w:spacing w:after="4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Spend %</w:t>
            </w:r>
          </w:p>
        </w:tc>
        <w:tc>
          <w:tcPr>
            <w:tcW w:w="0" w:type="auto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03352" w14:textId="77777777" w:rsidR="009F6568" w:rsidRDefault="00000000">
            <w:pPr>
              <w:spacing w:after="4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Revenue ROAS</w:t>
            </w:r>
          </w:p>
        </w:tc>
        <w:tc>
          <w:tcPr>
            <w:tcW w:w="0" w:type="auto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DBCFD" w14:textId="77777777" w:rsidR="009F6568" w:rsidRDefault="00000000">
            <w:pPr>
              <w:spacing w:after="4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Margin ROAS</w:t>
            </w:r>
          </w:p>
        </w:tc>
        <w:tc>
          <w:tcPr>
            <w:tcW w:w="0" w:type="auto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7F47A" w14:textId="77777777" w:rsidR="009F6568" w:rsidRDefault="00000000">
            <w:pPr>
              <w:spacing w:after="4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CAC</w:t>
            </w:r>
          </w:p>
        </w:tc>
        <w:tc>
          <w:tcPr>
            <w:tcW w:w="0" w:type="auto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AB980" w14:textId="77777777" w:rsidR="009F6568" w:rsidRDefault="00000000">
            <w:pPr>
              <w:spacing w:after="4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Verdict</w:t>
            </w:r>
          </w:p>
        </w:tc>
      </w:tr>
      <w:tr w:rsidR="009F6568" w14:paraId="738949F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1808A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Organic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D3B99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Rs 9.58L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43407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1.3%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CA30C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13.54x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7C72B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5.15x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0A538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Rs 479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F450F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UNDERFUNDED ✓</w:t>
            </w:r>
          </w:p>
        </w:tc>
      </w:tr>
      <w:tr w:rsidR="009F6568" w14:paraId="17D0DE5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813FF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Email</w:t>
            </w:r>
          </w:p>
        </w:tc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41A8C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Rs 38.1L</w:t>
            </w:r>
          </w:p>
        </w:tc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B188A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5.1%</w:t>
            </w:r>
          </w:p>
        </w:tc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9625D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5.36x</w:t>
            </w:r>
          </w:p>
        </w:tc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F69C5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2.18x</w:t>
            </w:r>
          </w:p>
        </w:tc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97831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Rs 1,270</w:t>
            </w:r>
          </w:p>
        </w:tc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4D088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UNDERFUNDED ✓</w:t>
            </w:r>
          </w:p>
        </w:tc>
      </w:tr>
      <w:tr w:rsidR="009F6568" w14:paraId="3866FF5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F00BB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Referral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BDE32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Rs 66.7L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82352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9.0%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FBDA2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1.33x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AB636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0.53x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CFE9A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Rs 5,103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00A47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FAIR</w:t>
            </w:r>
          </w:p>
        </w:tc>
      </w:tr>
      <w:tr w:rsidR="009F6568" w14:paraId="70C7E05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E7343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Search</w:t>
            </w:r>
          </w:p>
        </w:tc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8B631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Rs 343.3L</w:t>
            </w:r>
          </w:p>
        </w:tc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26260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46.2%</w:t>
            </w:r>
          </w:p>
        </w:tc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4B7EA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1.37x</w:t>
            </w:r>
          </w:p>
        </w:tc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0914F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0.58x</w:t>
            </w:r>
          </w:p>
        </w:tc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33C92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Rs 5,139</w:t>
            </w:r>
          </w:p>
        </w:tc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781B6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OVER-FUNDED</w:t>
            </w:r>
          </w:p>
        </w:tc>
      </w:tr>
      <w:tr w:rsidR="009F6568" w14:paraId="680F5A7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60614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Paid Social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40800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Rs 285.9L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3E6ED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38.4%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F06E9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0.69x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8F94D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0.25x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0E4F4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Rs 8,925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C2049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LOSS-MAKING ✗</w:t>
            </w:r>
          </w:p>
        </w:tc>
      </w:tr>
      <w:tr w:rsidR="009F6568" w14:paraId="5287FB2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EB883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TOTAL (Blended)</w:t>
            </w:r>
          </w:p>
        </w:tc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94A4A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Rs 743.6L</w:t>
            </w:r>
          </w:p>
        </w:tc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3C46A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100%</w:t>
            </w:r>
          </w:p>
        </w:tc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2CD94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1.47x</w:t>
            </w:r>
          </w:p>
        </w:tc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59403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0.59x</w:t>
            </w:r>
          </w:p>
        </w:tc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C0A7D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—</w:t>
            </w:r>
          </w:p>
        </w:tc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B1741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Misaligned</w:t>
            </w:r>
          </w:p>
        </w:tc>
      </w:tr>
    </w:tbl>
    <w:p w14:paraId="45BA9D32" w14:textId="77777777" w:rsidR="009F6568" w:rsidRDefault="009F6568">
      <w:pPr>
        <w:spacing w:after="80"/>
      </w:pPr>
    </w:p>
    <w:p w14:paraId="232D7071" w14:textId="77777777" w:rsidR="009F6568" w:rsidRDefault="00000000">
      <w:pPr>
        <w:spacing w:before="240" w:after="160"/>
      </w:pPr>
      <w:r>
        <w:rPr>
          <w:rFonts w:ascii="Calibri" w:eastAsia="Calibri" w:hAnsi="Calibri" w:cs="Calibri"/>
          <w:b/>
          <w:bCs/>
          <w:color w:val="1E3A5F"/>
          <w:sz w:val="26"/>
          <w:szCs w:val="26"/>
        </w:rPr>
        <w:t>4.2 Attributed vs Blended ROAS — Key Differences</w:t>
      </w:r>
    </w:p>
    <w:p w14:paraId="213F5A65" w14:textId="77777777" w:rsidR="009F6568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The blended (portfolio-level) Revenue ROAS of 1.47x masks extreme channel-level dispersion. Attributed ROAS reveals that Organic and Email are generating 9–13x more revenue per rupee than Paid Social. The blended figure is pulled down by Paid Social's 38.4% budget weight.</w:t>
      </w:r>
    </w:p>
    <w:p w14:paraId="167BA923" w14:textId="77777777" w:rsidR="009F6568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Attribution coverage: 100% of orders are attributed (</w:t>
      </w:r>
      <w:proofErr w:type="spellStart"/>
      <w:r>
        <w:rPr>
          <w:rFonts w:ascii="Calibri" w:eastAsia="Calibri" w:hAnsi="Calibri" w:cs="Calibri"/>
          <w:sz w:val="22"/>
          <w:szCs w:val="22"/>
        </w:rPr>
        <w:t>session_id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join matched for all 16,193 orders). Zero unattributed revenue.</w:t>
      </w:r>
    </w:p>
    <w:p w14:paraId="21147264" w14:textId="77777777" w:rsidR="009F6568" w:rsidRDefault="00000000">
      <w:pPr>
        <w:spacing w:before="240" w:after="160"/>
      </w:pPr>
      <w:r>
        <w:rPr>
          <w:rFonts w:ascii="Calibri" w:eastAsia="Calibri" w:hAnsi="Calibri" w:cs="Calibri"/>
          <w:b/>
          <w:bCs/>
          <w:color w:val="1E3A5F"/>
          <w:sz w:val="26"/>
          <w:szCs w:val="26"/>
        </w:rPr>
        <w:t>4.3 Top 5 Campaigns by Spend</w:t>
      </w:r>
    </w:p>
    <w:tbl>
      <w:tblPr>
        <w:tblW w:w="5000" w:type="pct"/>
        <w:tblBorders>
          <w:top w:val="single" w:sz="4" w:space="0" w:color="1E3A5F"/>
          <w:left w:val="single" w:sz="2" w:space="0" w:color="AAAAAA"/>
          <w:bottom w:val="single" w:sz="4" w:space="0" w:color="1E3A5F"/>
          <w:right w:val="single" w:sz="2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6"/>
        <w:gridCol w:w="1251"/>
        <w:gridCol w:w="1146"/>
        <w:gridCol w:w="1077"/>
        <w:gridCol w:w="1124"/>
        <w:gridCol w:w="895"/>
        <w:gridCol w:w="2321"/>
      </w:tblGrid>
      <w:tr w:rsidR="009F6568" w14:paraId="3029CAD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53587" w14:textId="77777777" w:rsidR="009F6568" w:rsidRDefault="00000000">
            <w:pPr>
              <w:spacing w:after="4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Campaign</w:t>
            </w:r>
          </w:p>
        </w:tc>
        <w:tc>
          <w:tcPr>
            <w:tcW w:w="0" w:type="auto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355A9" w14:textId="77777777" w:rsidR="009F6568" w:rsidRDefault="00000000">
            <w:pPr>
              <w:spacing w:after="4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Channel</w:t>
            </w:r>
          </w:p>
        </w:tc>
        <w:tc>
          <w:tcPr>
            <w:tcW w:w="0" w:type="auto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9F12A" w14:textId="77777777" w:rsidR="009F6568" w:rsidRDefault="00000000">
            <w:pPr>
              <w:spacing w:after="4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Spend</w:t>
            </w:r>
          </w:p>
        </w:tc>
        <w:tc>
          <w:tcPr>
            <w:tcW w:w="0" w:type="auto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597A6" w14:textId="77777777" w:rsidR="009F6568" w:rsidRDefault="00000000">
            <w:pPr>
              <w:spacing w:after="4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Spend %</w:t>
            </w:r>
          </w:p>
        </w:tc>
        <w:tc>
          <w:tcPr>
            <w:tcW w:w="0" w:type="auto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78868" w14:textId="77777777" w:rsidR="009F6568" w:rsidRDefault="00000000">
            <w:pPr>
              <w:spacing w:after="4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Revenue</w:t>
            </w:r>
          </w:p>
        </w:tc>
        <w:tc>
          <w:tcPr>
            <w:tcW w:w="0" w:type="auto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8D419" w14:textId="77777777" w:rsidR="009F6568" w:rsidRDefault="00000000">
            <w:pPr>
              <w:spacing w:after="4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ROAS</w:t>
            </w:r>
          </w:p>
        </w:tc>
        <w:tc>
          <w:tcPr>
            <w:tcW w:w="0" w:type="auto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DA683" w14:textId="77777777" w:rsidR="009F6568" w:rsidRDefault="00000000">
            <w:pPr>
              <w:spacing w:after="4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Assessment</w:t>
            </w:r>
          </w:p>
        </w:tc>
      </w:tr>
      <w:tr w:rsidR="009F6568" w14:paraId="10B0BAA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7F02D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C001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5C62A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Search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00E9A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~Rs 54.8L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CFF83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7.4%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32F10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Medium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156FF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~1.37x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35AD7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Core — optimise bids</w:t>
            </w:r>
          </w:p>
        </w:tc>
      </w:tr>
      <w:tr w:rsidR="009F6568" w14:paraId="711DDD3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57C9F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C009</w:t>
            </w:r>
          </w:p>
        </w:tc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AC570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Paid Social</w:t>
            </w:r>
          </w:p>
        </w:tc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54630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~Rs 52.1L</w:t>
            </w:r>
          </w:p>
        </w:tc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25383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7.0%</w:t>
            </w:r>
          </w:p>
        </w:tc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AABA6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Low</w:t>
            </w:r>
          </w:p>
        </w:tc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7CEBA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~0.69x</w:t>
            </w:r>
          </w:p>
        </w:tc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2A417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Loss-making — reduce</w:t>
            </w:r>
          </w:p>
        </w:tc>
      </w:tr>
      <w:tr w:rsidR="009F6568" w14:paraId="22D5F74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BB503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C010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BF2A8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Paid Social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8E436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~Rs 51.7L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7A28B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6.9%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36771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Low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44414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~0.65x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46791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Loss-making — reduce</w:t>
            </w:r>
          </w:p>
        </w:tc>
      </w:tr>
      <w:tr w:rsidR="009F6568" w14:paraId="33B546E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C0ADB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C011</w:t>
            </w:r>
          </w:p>
        </w:tc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91F8C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Paid Social</w:t>
            </w:r>
          </w:p>
        </w:tc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BE2E1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~Rs 36.5L</w:t>
            </w:r>
          </w:p>
        </w:tc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B7AE0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4.9%</w:t>
            </w:r>
          </w:p>
        </w:tc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5C980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Very Low</w:t>
            </w:r>
          </w:p>
        </w:tc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02372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0.673x</w:t>
            </w:r>
          </w:p>
        </w:tc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C8E21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Waste — pause/test</w:t>
            </w:r>
          </w:p>
        </w:tc>
      </w:tr>
      <w:tr w:rsidR="009F6568" w14:paraId="626F1C8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EF91E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C016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7D9E0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Paid Social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E4862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~Rs 36.5L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BA18D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4.9%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1A924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Very Low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29AEE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0.675x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E4F90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Waste — pause/test</w:t>
            </w:r>
          </w:p>
        </w:tc>
      </w:tr>
    </w:tbl>
    <w:p w14:paraId="5BA56EDB" w14:textId="77777777" w:rsidR="009F6568" w:rsidRDefault="009F6568">
      <w:pPr>
        <w:spacing w:after="80"/>
      </w:pPr>
    </w:p>
    <w:p w14:paraId="749ABA45" w14:textId="77777777" w:rsidR="009F6568" w:rsidRDefault="00000000">
      <w:pPr>
        <w:spacing w:before="240" w:after="160"/>
      </w:pPr>
      <w:r>
        <w:rPr>
          <w:rFonts w:ascii="Calibri" w:eastAsia="Calibri" w:hAnsi="Calibri" w:cs="Calibri"/>
          <w:b/>
          <w:bCs/>
          <w:color w:val="1E3A5F"/>
          <w:sz w:val="26"/>
          <w:szCs w:val="26"/>
        </w:rPr>
        <w:t>4.4 Top 5 Campaigns by Revenue</w:t>
      </w:r>
    </w:p>
    <w:tbl>
      <w:tblPr>
        <w:tblW w:w="5000" w:type="pct"/>
        <w:tblBorders>
          <w:top w:val="single" w:sz="4" w:space="0" w:color="1E3A5F"/>
          <w:left w:val="single" w:sz="2" w:space="0" w:color="AAAAAA"/>
          <w:bottom w:val="single" w:sz="4" w:space="0" w:color="1E3A5F"/>
          <w:right w:val="single" w:sz="2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52"/>
        <w:gridCol w:w="1090"/>
        <w:gridCol w:w="1453"/>
        <w:gridCol w:w="704"/>
        <w:gridCol w:w="919"/>
        <w:gridCol w:w="3802"/>
      </w:tblGrid>
      <w:tr w:rsidR="009F6568" w14:paraId="203680B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8ECCA" w14:textId="77777777" w:rsidR="009F6568" w:rsidRDefault="00000000">
            <w:pPr>
              <w:spacing w:after="4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Campaign</w:t>
            </w:r>
          </w:p>
        </w:tc>
        <w:tc>
          <w:tcPr>
            <w:tcW w:w="0" w:type="auto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0E7CF" w14:textId="77777777" w:rsidR="009F6568" w:rsidRDefault="00000000">
            <w:pPr>
              <w:spacing w:after="4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Channel</w:t>
            </w:r>
          </w:p>
        </w:tc>
        <w:tc>
          <w:tcPr>
            <w:tcW w:w="0" w:type="auto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9D5BB" w14:textId="77777777" w:rsidR="009F6568" w:rsidRDefault="00000000">
            <w:pPr>
              <w:spacing w:after="4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Revenue Share</w:t>
            </w:r>
          </w:p>
        </w:tc>
        <w:tc>
          <w:tcPr>
            <w:tcW w:w="0" w:type="auto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91F34" w14:textId="77777777" w:rsidR="009F6568" w:rsidRDefault="00000000">
            <w:pPr>
              <w:spacing w:after="4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ROAS</w:t>
            </w:r>
          </w:p>
        </w:tc>
        <w:tc>
          <w:tcPr>
            <w:tcW w:w="0" w:type="auto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EF78A" w14:textId="77777777" w:rsidR="009F6568" w:rsidRDefault="00000000">
            <w:pPr>
              <w:spacing w:after="4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CAC</w:t>
            </w:r>
          </w:p>
        </w:tc>
        <w:tc>
          <w:tcPr>
            <w:tcW w:w="0" w:type="auto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B52DB" w14:textId="77777777" w:rsidR="009F6568" w:rsidRDefault="00000000">
            <w:pPr>
              <w:spacing w:after="4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Action</w:t>
            </w:r>
          </w:p>
        </w:tc>
      </w:tr>
      <w:tr w:rsidR="009F6568" w14:paraId="155718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4A859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C023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B3D30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Email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758FD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High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DDA2C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17.3x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791EB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Rs 525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5A63B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Scale — highest email ROAS</w:t>
            </w:r>
          </w:p>
        </w:tc>
      </w:tr>
      <w:tr w:rsidR="009F6568" w14:paraId="27C8154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A6669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C018</w:t>
            </w:r>
          </w:p>
        </w:tc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7A183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Email</w:t>
            </w:r>
          </w:p>
        </w:tc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BF07D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High</w:t>
            </w:r>
          </w:p>
        </w:tc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5B357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5.11x</w:t>
            </w:r>
          </w:p>
        </w:tc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DF8D5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Rs 1,270</w:t>
            </w:r>
          </w:p>
        </w:tc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FD054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Scale — best overall ROAS</w:t>
            </w:r>
          </w:p>
        </w:tc>
      </w:tr>
      <w:tr w:rsidR="009F6568" w14:paraId="67560F9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470A6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C003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26AD1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Search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8BDF4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Medium-High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BEE05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2.79x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6E805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Rs 2,484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FD61E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Maintain and grow</w:t>
            </w:r>
          </w:p>
        </w:tc>
      </w:tr>
      <w:tr w:rsidR="009F6568" w14:paraId="1781B4B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20E9E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lastRenderedPageBreak/>
              <w:t>C007</w:t>
            </w:r>
          </w:p>
        </w:tc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7A4A8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Search</w:t>
            </w:r>
          </w:p>
        </w:tc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4922D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Medium-High</w:t>
            </w:r>
          </w:p>
        </w:tc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8BDB0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2.20x</w:t>
            </w:r>
          </w:p>
        </w:tc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1CDCC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Rs 3,089</w:t>
            </w:r>
          </w:p>
        </w:tc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0E22C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Maintain</w:t>
            </w:r>
          </w:p>
        </w:tc>
      </w:tr>
      <w:tr w:rsidR="009F6568" w14:paraId="08BA52E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F68C9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C013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3D4B8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Paid Social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44753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Medium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102A2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3.15x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EE5A1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Rs 2,648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C3717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Anomaly in Paid Social — investigate creative</w:t>
            </w:r>
          </w:p>
        </w:tc>
      </w:tr>
    </w:tbl>
    <w:p w14:paraId="6F0A86A9" w14:textId="77777777" w:rsidR="009F6568" w:rsidRDefault="00000000">
      <w:pPr>
        <w:pageBreakBefore/>
      </w:pPr>
      <w:r>
        <w:lastRenderedPageBreak/>
        <w:br/>
      </w:r>
    </w:p>
    <w:p w14:paraId="01DCE414" w14:textId="77777777" w:rsidR="009F6568" w:rsidRDefault="00000000">
      <w:pPr>
        <w:spacing w:before="400" w:after="160"/>
      </w:pPr>
      <w:r>
        <w:rPr>
          <w:rFonts w:ascii="Calibri" w:eastAsia="Calibri" w:hAnsi="Calibri" w:cs="Calibri"/>
          <w:b/>
          <w:bCs/>
          <w:color w:val="1E3A5F"/>
          <w:sz w:val="36"/>
          <w:szCs w:val="36"/>
        </w:rPr>
        <w:t>5. Regression Findings — Estimated Impact &amp; Limitations</w:t>
      </w:r>
    </w:p>
    <w:p w14:paraId="12268F49" w14:textId="77777777" w:rsidR="009F6568" w:rsidRDefault="009F6568">
      <w:pPr>
        <w:pBdr>
          <w:bottom w:val="single" w:sz="6" w:space="0" w:color="1E3A5F"/>
        </w:pBdr>
        <w:spacing w:after="200"/>
      </w:pPr>
    </w:p>
    <w:p w14:paraId="6C53A9F4" w14:textId="77777777" w:rsidR="009F6568" w:rsidRDefault="00000000">
      <w:pPr>
        <w:spacing w:before="240" w:after="160"/>
      </w:pPr>
      <w:r>
        <w:rPr>
          <w:rFonts w:ascii="Calibri" w:eastAsia="Calibri" w:hAnsi="Calibri" w:cs="Calibri"/>
          <w:b/>
          <w:bCs/>
          <w:color w:val="1E3A5F"/>
          <w:sz w:val="26"/>
          <w:szCs w:val="26"/>
        </w:rPr>
        <w:t>5.1 Model Specification</w:t>
      </w:r>
    </w:p>
    <w:tbl>
      <w:tblPr>
        <w:tblW w:w="5000" w:type="pct"/>
        <w:tblBorders>
          <w:top w:val="single" w:sz="4" w:space="0" w:color="1E3A5F"/>
          <w:left w:val="single" w:sz="2" w:space="0" w:color="AAAAAA"/>
          <w:bottom w:val="single" w:sz="4" w:space="0" w:color="1E3A5F"/>
          <w:right w:val="single" w:sz="2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74"/>
        <w:gridCol w:w="3381"/>
        <w:gridCol w:w="4165"/>
      </w:tblGrid>
      <w:tr w:rsidR="009F6568" w14:paraId="57B9084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BDC97" w14:textId="77777777" w:rsidR="009F6568" w:rsidRDefault="00000000">
            <w:pPr>
              <w:spacing w:after="4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Component</w:t>
            </w:r>
          </w:p>
        </w:tc>
        <w:tc>
          <w:tcPr>
            <w:tcW w:w="0" w:type="auto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A7CE0" w14:textId="77777777" w:rsidR="009F6568" w:rsidRDefault="00000000">
            <w:pPr>
              <w:spacing w:after="4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Specification</w:t>
            </w:r>
          </w:p>
        </w:tc>
        <w:tc>
          <w:tcPr>
            <w:tcW w:w="0" w:type="auto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5660F" w14:textId="77777777" w:rsidR="009F6568" w:rsidRDefault="00000000">
            <w:pPr>
              <w:spacing w:after="4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9F6568" w14:paraId="0372BD3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F0918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Target variable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CC93D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Daily gross revenue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11C2D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What we are explaining</w:t>
            </w:r>
          </w:p>
        </w:tc>
      </w:tr>
      <w:tr w:rsidR="009F6568" w14:paraId="53878C9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1E323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Channel features</w:t>
            </w:r>
          </w:p>
        </w:tc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38EBC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5 separate spend columns (one per channel)</w:t>
            </w:r>
          </w:p>
        </w:tc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76DAE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Channel-level marginal effect estimation</w:t>
            </w:r>
          </w:p>
        </w:tc>
      </w:tr>
      <w:tr w:rsidR="009F6568" w14:paraId="19B12B6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88725" w14:textId="77777777" w:rsidR="009F6568" w:rsidRDefault="00000000">
            <w:pPr>
              <w:spacing w:after="40"/>
            </w:pPr>
            <w:proofErr w:type="spellStart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promo_flag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56292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Binary — 1 on promotional days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3437F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Isolates promotional revenue lift from spend effect</w:t>
            </w:r>
          </w:p>
        </w:tc>
      </w:tr>
      <w:tr w:rsidR="009F6568" w14:paraId="4478230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B57E7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Trend control</w:t>
            </w:r>
          </w:p>
        </w:tc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7FCF4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Day index (0 to 210)</w:t>
            </w:r>
          </w:p>
        </w:tc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FF3C9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Removes upward revenue drift over the 211-day period</w:t>
            </w:r>
          </w:p>
        </w:tc>
      </w:tr>
      <w:tr w:rsidR="009F6568" w14:paraId="79CE105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3FE62" w14:textId="77777777" w:rsidR="009F6568" w:rsidRDefault="00000000">
            <w:pPr>
              <w:spacing w:after="40"/>
            </w:pPr>
            <w:proofErr w:type="spellStart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day_of_week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2DCB3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Integer 0 to 6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9BCD6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Controls for weekday revenue patterns</w:t>
            </w:r>
          </w:p>
        </w:tc>
      </w:tr>
      <w:tr w:rsidR="009F6568" w14:paraId="0A8380A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4E491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Train/test split</w:t>
            </w:r>
          </w:p>
        </w:tc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1734E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80/20 time-based (train: Jul–Dec 18, 2025)</w:t>
            </w:r>
          </w:p>
        </w:tc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14F13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Out-of-sample validation, no data leakage</w:t>
            </w:r>
          </w:p>
        </w:tc>
      </w:tr>
    </w:tbl>
    <w:p w14:paraId="71EAED44" w14:textId="77777777" w:rsidR="009F6568" w:rsidRDefault="009F6568">
      <w:pPr>
        <w:spacing w:after="80"/>
      </w:pPr>
    </w:p>
    <w:p w14:paraId="5C9D33CD" w14:textId="77777777" w:rsidR="009F6568" w:rsidRDefault="00000000">
      <w:pPr>
        <w:spacing w:before="240" w:after="160"/>
      </w:pPr>
      <w:r>
        <w:rPr>
          <w:rFonts w:ascii="Calibri" w:eastAsia="Calibri" w:hAnsi="Calibri" w:cs="Calibri"/>
          <w:b/>
          <w:bCs/>
          <w:color w:val="1E3A5F"/>
          <w:sz w:val="26"/>
          <w:szCs w:val="26"/>
        </w:rPr>
        <w:t>5.2 Model Performance</w:t>
      </w:r>
    </w:p>
    <w:tbl>
      <w:tblPr>
        <w:tblW w:w="5000" w:type="pct"/>
        <w:tblBorders>
          <w:top w:val="single" w:sz="4" w:space="0" w:color="1E3A5F"/>
          <w:left w:val="single" w:sz="2" w:space="0" w:color="AAAAAA"/>
          <w:bottom w:val="single" w:sz="4" w:space="0" w:color="1E3A5F"/>
          <w:right w:val="single" w:sz="2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32"/>
        <w:gridCol w:w="2417"/>
        <w:gridCol w:w="4571"/>
      </w:tblGrid>
      <w:tr w:rsidR="009F6568" w14:paraId="5321CF4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9211B" w14:textId="77777777" w:rsidR="009F6568" w:rsidRDefault="00000000">
            <w:pPr>
              <w:spacing w:after="4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Metric</w:t>
            </w:r>
          </w:p>
        </w:tc>
        <w:tc>
          <w:tcPr>
            <w:tcW w:w="0" w:type="auto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7D649" w14:textId="77777777" w:rsidR="009F6568" w:rsidRDefault="00000000">
            <w:pPr>
              <w:spacing w:after="4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Value</w:t>
            </w:r>
          </w:p>
        </w:tc>
        <w:tc>
          <w:tcPr>
            <w:tcW w:w="0" w:type="auto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48152" w14:textId="77777777" w:rsidR="009F6568" w:rsidRDefault="00000000">
            <w:pPr>
              <w:spacing w:after="4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Interpretation</w:t>
            </w:r>
          </w:p>
        </w:tc>
      </w:tr>
      <w:tr w:rsidR="009F6568" w14:paraId="19ED310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8A763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Train R²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A5256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0.48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59120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Model explains 48% of in-sample revenue variance</w:t>
            </w:r>
          </w:p>
        </w:tc>
      </w:tr>
      <w:tr w:rsidR="009F6568" w14:paraId="6D6B4C4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F6A95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Test R²</w:t>
            </w:r>
          </w:p>
        </w:tc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8AC13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0.61</w:t>
            </w:r>
          </w:p>
        </w:tc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E157E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Out-of-sample generalisation is strong — no overfitting</w:t>
            </w:r>
          </w:p>
        </w:tc>
      </w:tr>
      <w:tr w:rsidR="009F6568" w14:paraId="1C66AF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A20E6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Significant channels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D00FB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1 of 5 (Paid Social, p=0.024)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B6677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OLS limitation with unequal spend shares</w:t>
            </w:r>
          </w:p>
        </w:tc>
      </w:tr>
      <w:tr w:rsidR="009F6568" w14:paraId="4B2DCB3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504C0" w14:textId="77777777" w:rsidR="009F6568" w:rsidRDefault="00000000">
            <w:pPr>
              <w:spacing w:after="40"/>
            </w:pPr>
            <w:proofErr w:type="spellStart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promo_flag</w:t>
            </w:r>
            <w:proofErr w:type="spellEnd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 xml:space="preserve"> coefficient</w:t>
            </w:r>
          </w:p>
        </w:tc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401E9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+Rs 142,003/day (p&lt;0.01)</w:t>
            </w:r>
          </w:p>
        </w:tc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9F80B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Largest single revenue driver in the model</w:t>
            </w:r>
          </w:p>
        </w:tc>
      </w:tr>
      <w:tr w:rsidR="009F6568" w14:paraId="109A0D0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AB150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Trend coefficient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10ED8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+Rs 228.7/day (p&lt;0.05)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36AEE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Organic business growth over the period</w:t>
            </w:r>
          </w:p>
        </w:tc>
      </w:tr>
    </w:tbl>
    <w:p w14:paraId="00F33E02" w14:textId="77777777" w:rsidR="009F6568" w:rsidRDefault="009F6568">
      <w:pPr>
        <w:spacing w:after="80"/>
      </w:pPr>
    </w:p>
    <w:p w14:paraId="0E9E927E" w14:textId="77777777" w:rsidR="009F6568" w:rsidRDefault="00000000">
      <w:pPr>
        <w:spacing w:before="240" w:after="160"/>
      </w:pPr>
      <w:r>
        <w:rPr>
          <w:rFonts w:ascii="Calibri" w:eastAsia="Calibri" w:hAnsi="Calibri" w:cs="Calibri"/>
          <w:b/>
          <w:bCs/>
          <w:color w:val="1E3A5F"/>
          <w:sz w:val="26"/>
          <w:szCs w:val="26"/>
        </w:rPr>
        <w:t>5.3 OLS Regression Coefficients</w:t>
      </w:r>
    </w:p>
    <w:tbl>
      <w:tblPr>
        <w:tblW w:w="5000" w:type="pct"/>
        <w:tblBorders>
          <w:top w:val="single" w:sz="4" w:space="0" w:color="1E3A5F"/>
          <w:left w:val="single" w:sz="2" w:space="0" w:color="AAAAAA"/>
          <w:bottom w:val="single" w:sz="4" w:space="0" w:color="1E3A5F"/>
          <w:right w:val="single" w:sz="2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8"/>
        <w:gridCol w:w="1930"/>
        <w:gridCol w:w="772"/>
        <w:gridCol w:w="1104"/>
        <w:gridCol w:w="4226"/>
      </w:tblGrid>
      <w:tr w:rsidR="009F6568" w14:paraId="270B182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6B55A" w14:textId="77777777" w:rsidR="009F6568" w:rsidRDefault="00000000">
            <w:pPr>
              <w:spacing w:after="4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Channel</w:t>
            </w:r>
          </w:p>
        </w:tc>
        <w:tc>
          <w:tcPr>
            <w:tcW w:w="0" w:type="auto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83146" w14:textId="77777777" w:rsidR="009F6568" w:rsidRDefault="00000000">
            <w:pPr>
              <w:spacing w:after="4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Coefficient (Rs/Rs spend)</w:t>
            </w:r>
          </w:p>
        </w:tc>
        <w:tc>
          <w:tcPr>
            <w:tcW w:w="0" w:type="auto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71822" w14:textId="77777777" w:rsidR="009F6568" w:rsidRDefault="00000000">
            <w:pPr>
              <w:spacing w:after="4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p-value</w:t>
            </w:r>
          </w:p>
        </w:tc>
        <w:tc>
          <w:tcPr>
            <w:tcW w:w="0" w:type="auto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591B0" w14:textId="77777777" w:rsidR="009F6568" w:rsidRDefault="00000000">
            <w:pPr>
              <w:spacing w:after="4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Significant?</w:t>
            </w:r>
          </w:p>
        </w:tc>
        <w:tc>
          <w:tcPr>
            <w:tcW w:w="0" w:type="auto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2F5C2" w14:textId="77777777" w:rsidR="009F6568" w:rsidRDefault="00000000">
            <w:pPr>
              <w:spacing w:after="4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Interpretation</w:t>
            </w:r>
          </w:p>
        </w:tc>
      </w:tr>
      <w:tr w:rsidR="009F6568" w14:paraId="052740D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B4432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Paid Social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427CE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+1.17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7C434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0.024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EEBD7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YES **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A4EA1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Only sig. channel — measurable spend-revenue relationship</w:t>
            </w:r>
          </w:p>
        </w:tc>
      </w:tr>
      <w:tr w:rsidR="009F6568" w14:paraId="43CAC07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E72F5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Referral</w:t>
            </w:r>
          </w:p>
        </w:tc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D0376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+2.35</w:t>
            </w:r>
          </w:p>
        </w:tc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A9345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0.270</w:t>
            </w:r>
          </w:p>
        </w:tc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089E4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No</w:t>
            </w:r>
          </w:p>
        </w:tc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6E923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Positive but imprecise — moderate spend share</w:t>
            </w:r>
          </w:p>
        </w:tc>
      </w:tr>
      <w:tr w:rsidR="009F6568" w14:paraId="6797F0E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6DD37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Search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1591A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+0.55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41747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0.187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E0104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No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9EAF7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Positive but collinearity inflates standard error</w:t>
            </w:r>
          </w:p>
        </w:tc>
      </w:tr>
      <w:tr w:rsidR="009F6568" w14:paraId="3CF7B0C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0B7FC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Email</w:t>
            </w:r>
          </w:p>
        </w:tc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F2CFD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-4.09</w:t>
            </w:r>
          </w:p>
        </w:tc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DDC12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0.296</w:t>
            </w:r>
          </w:p>
        </w:tc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0899D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No</w:t>
            </w:r>
          </w:p>
        </w:tc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C153E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Multicollinearity artifact — 5.1% spend share too small for OLS</w:t>
            </w:r>
          </w:p>
        </w:tc>
      </w:tr>
      <w:tr w:rsidR="009F6568" w14:paraId="5E6773D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4D607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Organic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36BF6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-3.04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196A9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0.832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D8027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No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A18D5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Not significant — 1.3% spend share unreliable for OLS</w:t>
            </w:r>
          </w:p>
        </w:tc>
      </w:tr>
    </w:tbl>
    <w:p w14:paraId="41D44F2E" w14:textId="77777777" w:rsidR="009F6568" w:rsidRDefault="009F6568">
      <w:pPr>
        <w:spacing w:after="80"/>
      </w:pPr>
    </w:p>
    <w:p w14:paraId="08EE8183" w14:textId="77777777" w:rsidR="009F6568" w:rsidRDefault="00000000">
      <w:pPr>
        <w:spacing w:before="240" w:after="160"/>
      </w:pPr>
      <w:r>
        <w:rPr>
          <w:rFonts w:ascii="Calibri" w:eastAsia="Calibri" w:hAnsi="Calibri" w:cs="Calibri"/>
          <w:b/>
          <w:bCs/>
          <w:color w:val="1E3A5F"/>
          <w:sz w:val="26"/>
          <w:szCs w:val="26"/>
        </w:rPr>
        <w:lastRenderedPageBreak/>
        <w:t>5.4 Attribution vs Regression — Reconciliation</w:t>
      </w:r>
    </w:p>
    <w:p w14:paraId="40EB4459" w14:textId="77777777" w:rsidR="009F6568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These two methods are complementary and should not be expected to agree. Last-touch attribution ranks Email (ROAS 5.36x) and Organic (ROAS 13.54x) as the most efficient channels, reflecting their precision at the individual session level across 16,193 actual attributed orders.</w:t>
      </w:r>
    </w:p>
    <w:p w14:paraId="1CA9E84B" w14:textId="608376CC" w:rsidR="009F6568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OLS regression finds only Paid Social statistically significant (p=0.024), with Email and Organic showing negative coefficients. This is a well-documented OLS limitation: when channel spend shares are highly unequal (Email 5.1%, Organic 1.3%), the model cannot reliably estimate marginal effects for channels with small spend variation. The regression result for Email/Organic should not be interpreted as evidence those channels are ineffective</w:t>
      </w:r>
      <w:r w:rsidR="001C61A8"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z w:val="22"/>
          <w:szCs w:val="22"/>
        </w:rPr>
        <w:t xml:space="preserve"> it is a data constraint, not a channel verdict.</w:t>
      </w:r>
    </w:p>
    <w:p w14:paraId="3D41568B" w14:textId="77777777" w:rsidR="009F6568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Attribution is the more reliable method for channel-level efficiency ranking. Regression provides complementary portfolio-level evidence that promotional events (Rs 142,003/day) and organic business growth (Rs 228.7/day trend) are the dominant portfolio revenue drivers.</w:t>
      </w:r>
    </w:p>
    <w:p w14:paraId="0EA1EF69" w14:textId="77777777" w:rsidR="009F6568" w:rsidRDefault="00000000">
      <w:pPr>
        <w:spacing w:before="240" w:after="160"/>
      </w:pPr>
      <w:r>
        <w:rPr>
          <w:rFonts w:ascii="Calibri" w:eastAsia="Calibri" w:hAnsi="Calibri" w:cs="Calibri"/>
          <w:b/>
          <w:bCs/>
          <w:color w:val="1E3A5F"/>
          <w:sz w:val="26"/>
          <w:szCs w:val="26"/>
        </w:rPr>
        <w:t>5.5 Regression Limitations</w:t>
      </w:r>
    </w:p>
    <w:p w14:paraId="756A4B9C" w14:textId="61F3D1E8" w:rsidR="009F6568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Correlation vs causation: Regression cannot prove that increasing Search spend causes revenue</w:t>
      </w:r>
      <w:r w:rsidR="001C61A8"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z w:val="22"/>
          <w:szCs w:val="22"/>
        </w:rPr>
        <w:t xml:space="preserve"> both may respond to shared demand drivers (seasonality, economic conditions).</w:t>
      </w:r>
    </w:p>
    <w:p w14:paraId="09E38FEB" w14:textId="77777777" w:rsidR="009F6568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Missing confounders: Customer lifetime value, competitor activity, and off-platform brand investment are not captured.</w:t>
      </w:r>
    </w:p>
    <w:p w14:paraId="7A14E1BD" w14:textId="77777777" w:rsidR="009F6568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Spend share imbalance: OLS requires sufficient variation in each feature; channels with &lt;5% budget share cannot be reliably estimated.</w:t>
      </w:r>
    </w:p>
    <w:p w14:paraId="0E2518C8" w14:textId="77777777" w:rsidR="009F6568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No lag effects: Paid Social spend may influence conversions 1–3 days later; current model assumes same-day response. Adding lagged features (planned Month 3) would improve precision.</w:t>
      </w:r>
    </w:p>
    <w:p w14:paraId="403473B8" w14:textId="77777777" w:rsidR="009F6568" w:rsidRDefault="00000000">
      <w:pPr>
        <w:pageBreakBefore/>
      </w:pPr>
      <w:r>
        <w:lastRenderedPageBreak/>
        <w:br/>
      </w:r>
    </w:p>
    <w:p w14:paraId="37482320" w14:textId="77777777" w:rsidR="009F6568" w:rsidRDefault="00000000">
      <w:pPr>
        <w:spacing w:before="400" w:after="160"/>
      </w:pPr>
      <w:r>
        <w:rPr>
          <w:rFonts w:ascii="Calibri" w:eastAsia="Calibri" w:hAnsi="Calibri" w:cs="Calibri"/>
          <w:b/>
          <w:bCs/>
          <w:color w:val="1E3A5F"/>
          <w:sz w:val="36"/>
          <w:szCs w:val="36"/>
        </w:rPr>
        <w:t>6. Segment Analysis</w:t>
      </w:r>
    </w:p>
    <w:p w14:paraId="65784ED3" w14:textId="77777777" w:rsidR="009F6568" w:rsidRDefault="009F6568">
      <w:pPr>
        <w:pBdr>
          <w:bottom w:val="single" w:sz="6" w:space="0" w:color="1E3A5F"/>
        </w:pBdr>
        <w:spacing w:after="200"/>
      </w:pPr>
    </w:p>
    <w:p w14:paraId="5374EA70" w14:textId="77777777" w:rsidR="009F6568" w:rsidRDefault="00000000">
      <w:pPr>
        <w:spacing w:before="240" w:after="160"/>
      </w:pPr>
      <w:r>
        <w:rPr>
          <w:rFonts w:ascii="Calibri" w:eastAsia="Calibri" w:hAnsi="Calibri" w:cs="Calibri"/>
          <w:b/>
          <w:bCs/>
          <w:color w:val="1E3A5F"/>
          <w:sz w:val="26"/>
          <w:szCs w:val="26"/>
        </w:rPr>
        <w:t>6.1 New vs Returning Users</w:t>
      </w:r>
    </w:p>
    <w:tbl>
      <w:tblPr>
        <w:tblW w:w="5000" w:type="pct"/>
        <w:tblBorders>
          <w:top w:val="single" w:sz="4" w:space="0" w:color="1E3A5F"/>
          <w:left w:val="single" w:sz="2" w:space="0" w:color="AAAAAA"/>
          <w:bottom w:val="single" w:sz="4" w:space="0" w:color="1E3A5F"/>
          <w:right w:val="single" w:sz="2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13"/>
        <w:gridCol w:w="1107"/>
        <w:gridCol w:w="1360"/>
        <w:gridCol w:w="5140"/>
      </w:tblGrid>
      <w:tr w:rsidR="009F6568" w14:paraId="3CC723C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2B935" w14:textId="77777777" w:rsidR="009F6568" w:rsidRDefault="00000000">
            <w:pPr>
              <w:spacing w:after="4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Segment</w:t>
            </w:r>
          </w:p>
        </w:tc>
        <w:tc>
          <w:tcPr>
            <w:tcW w:w="0" w:type="auto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7FD05" w14:textId="77777777" w:rsidR="009F6568" w:rsidRDefault="00000000">
            <w:pPr>
              <w:spacing w:after="4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Revenue</w:t>
            </w:r>
          </w:p>
        </w:tc>
        <w:tc>
          <w:tcPr>
            <w:tcW w:w="0" w:type="auto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28FB2" w14:textId="77777777" w:rsidR="009F6568" w:rsidRDefault="00000000">
            <w:pPr>
              <w:spacing w:after="4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Revenue Share</w:t>
            </w:r>
          </w:p>
        </w:tc>
        <w:tc>
          <w:tcPr>
            <w:tcW w:w="0" w:type="auto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F6233" w14:textId="77777777" w:rsidR="009F6568" w:rsidRDefault="00000000">
            <w:pPr>
              <w:spacing w:after="4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Implication</w:t>
            </w:r>
          </w:p>
        </w:tc>
      </w:tr>
      <w:tr w:rsidR="009F6568" w14:paraId="422E45C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38C2A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Returning Users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4F410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Rs 108.78M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3C443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99.6%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CE587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Retention investment is primary driver of all revenue</w:t>
            </w:r>
          </w:p>
        </w:tc>
      </w:tr>
      <w:tr w:rsidR="009F6568" w14:paraId="36BA5C7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8E0E8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New Users</w:t>
            </w:r>
          </w:p>
        </w:tc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8DB6E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Rs 0.44M</w:t>
            </w:r>
          </w:p>
        </w:tc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6D8CF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0.4%</w:t>
            </w:r>
          </w:p>
        </w:tc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872D7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Current acquisition channels (esp. Paid Social) are highly inefficient</w:t>
            </w:r>
          </w:p>
        </w:tc>
      </w:tr>
    </w:tbl>
    <w:p w14:paraId="267A7AE8" w14:textId="77777777" w:rsidR="009F6568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At a Paid Social CAC of Rs 8,925/order, acquiring new users through the current highest-spend channel is economically unsustainable. Email CAC of Rs 1,270 makes retention campaigns 7x more efficient than Paid Social for acquiring active buyers.</w:t>
      </w:r>
    </w:p>
    <w:p w14:paraId="43C9CDCE" w14:textId="77777777" w:rsidR="009F6568" w:rsidRDefault="009F6568">
      <w:pPr>
        <w:spacing w:after="80"/>
      </w:pPr>
    </w:p>
    <w:p w14:paraId="2FE9222B" w14:textId="77777777" w:rsidR="009F6568" w:rsidRDefault="00000000">
      <w:pPr>
        <w:spacing w:before="240" w:after="160"/>
      </w:pPr>
      <w:r>
        <w:rPr>
          <w:rFonts w:ascii="Calibri" w:eastAsia="Calibri" w:hAnsi="Calibri" w:cs="Calibri"/>
          <w:b/>
          <w:bCs/>
          <w:color w:val="1E3A5F"/>
          <w:sz w:val="26"/>
          <w:szCs w:val="26"/>
        </w:rPr>
        <w:t>6.2 City Tier Performance</w:t>
      </w:r>
    </w:p>
    <w:tbl>
      <w:tblPr>
        <w:tblW w:w="5000" w:type="pct"/>
        <w:tblBorders>
          <w:top w:val="single" w:sz="4" w:space="0" w:color="1E3A5F"/>
          <w:left w:val="single" w:sz="2" w:space="0" w:color="AAAAAA"/>
          <w:bottom w:val="single" w:sz="4" w:space="0" w:color="1E3A5F"/>
          <w:right w:val="single" w:sz="2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36"/>
        <w:gridCol w:w="1329"/>
        <w:gridCol w:w="1417"/>
        <w:gridCol w:w="938"/>
        <w:gridCol w:w="4500"/>
      </w:tblGrid>
      <w:tr w:rsidR="009F6568" w14:paraId="770F123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0864B" w14:textId="77777777" w:rsidR="009F6568" w:rsidRDefault="00000000">
            <w:pPr>
              <w:spacing w:after="4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City Tier</w:t>
            </w:r>
          </w:p>
        </w:tc>
        <w:tc>
          <w:tcPr>
            <w:tcW w:w="0" w:type="auto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CA756" w14:textId="77777777" w:rsidR="009F6568" w:rsidRDefault="00000000">
            <w:pPr>
              <w:spacing w:after="4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Revenue Share</w:t>
            </w:r>
          </w:p>
        </w:tc>
        <w:tc>
          <w:tcPr>
            <w:tcW w:w="0" w:type="auto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C8201" w14:textId="77777777" w:rsidR="009F6568" w:rsidRDefault="00000000">
            <w:pPr>
              <w:spacing w:after="40"/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Avg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 xml:space="preserve"> Order Value</w:t>
            </w:r>
          </w:p>
        </w:tc>
        <w:tc>
          <w:tcPr>
            <w:tcW w:w="0" w:type="auto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4528D" w14:textId="77777777" w:rsidR="009F6568" w:rsidRDefault="00000000">
            <w:pPr>
              <w:spacing w:after="4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Margin %</w:t>
            </w:r>
          </w:p>
        </w:tc>
        <w:tc>
          <w:tcPr>
            <w:tcW w:w="0" w:type="auto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FE489" w14:textId="77777777" w:rsidR="009F6568" w:rsidRDefault="00000000">
            <w:pPr>
              <w:spacing w:after="4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Strategic Recommendation</w:t>
            </w:r>
          </w:p>
        </w:tc>
      </w:tr>
      <w:tr w:rsidR="009F6568" w14:paraId="70EC4A2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BB063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Tier 1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A941D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25.8%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107AE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Rs 6,752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094AC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40.1%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46B11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Premium targeting — test higher AOV campaigns</w:t>
            </w:r>
          </w:p>
        </w:tc>
      </w:tr>
      <w:tr w:rsidR="009F6568" w14:paraId="6945A7A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6D334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Tier 2</w:t>
            </w:r>
          </w:p>
        </w:tc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13B8C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49.5%</w:t>
            </w:r>
          </w:p>
        </w:tc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6328B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Rs 6,797</w:t>
            </w:r>
          </w:p>
        </w:tc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DB951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40.2%</w:t>
            </w:r>
          </w:p>
        </w:tc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B2274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Largest base — protect with retention and loyalty campaigns</w:t>
            </w:r>
          </w:p>
        </w:tc>
      </w:tr>
      <w:tr w:rsidR="009F6568" w14:paraId="6402C25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DF156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Tier 3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03C25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24.7%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0315B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Rs 6,729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248B2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40.1%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BD04B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Stable — maintain current investment</w:t>
            </w:r>
          </w:p>
        </w:tc>
      </w:tr>
    </w:tbl>
    <w:p w14:paraId="58E71997" w14:textId="77777777" w:rsidR="009F6568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City tier performance is remarkably consistent in both AOV and margin. Tier 2 cities represent the largest revenue base and should receive priority in Email retention investments.</w:t>
      </w:r>
    </w:p>
    <w:p w14:paraId="34CD8B5A" w14:textId="77777777" w:rsidR="009F6568" w:rsidRDefault="009F6568">
      <w:pPr>
        <w:spacing w:after="80"/>
      </w:pPr>
    </w:p>
    <w:p w14:paraId="4C67B8D6" w14:textId="77777777" w:rsidR="009F6568" w:rsidRDefault="00000000">
      <w:pPr>
        <w:spacing w:before="240" w:after="160"/>
      </w:pPr>
      <w:r>
        <w:rPr>
          <w:rFonts w:ascii="Calibri" w:eastAsia="Calibri" w:hAnsi="Calibri" w:cs="Calibri"/>
          <w:b/>
          <w:bCs/>
          <w:color w:val="1E3A5F"/>
          <w:sz w:val="26"/>
          <w:szCs w:val="26"/>
        </w:rPr>
        <w:t>6.3 Product Category Performance</w:t>
      </w:r>
    </w:p>
    <w:tbl>
      <w:tblPr>
        <w:tblW w:w="5000" w:type="pct"/>
        <w:tblBorders>
          <w:top w:val="single" w:sz="4" w:space="0" w:color="1E3A5F"/>
          <w:left w:val="single" w:sz="2" w:space="0" w:color="AAAAAA"/>
          <w:bottom w:val="single" w:sz="4" w:space="0" w:color="1E3A5F"/>
          <w:right w:val="single" w:sz="2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36"/>
        <w:gridCol w:w="956"/>
        <w:gridCol w:w="1285"/>
        <w:gridCol w:w="922"/>
        <w:gridCol w:w="811"/>
        <w:gridCol w:w="4010"/>
      </w:tblGrid>
      <w:tr w:rsidR="009F6568" w14:paraId="03F8FD3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ACBF9" w14:textId="77777777" w:rsidR="009F6568" w:rsidRDefault="00000000">
            <w:pPr>
              <w:spacing w:after="4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Category</w:t>
            </w:r>
          </w:p>
        </w:tc>
        <w:tc>
          <w:tcPr>
            <w:tcW w:w="0" w:type="auto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FEE50" w14:textId="77777777" w:rsidR="009F6568" w:rsidRDefault="00000000">
            <w:pPr>
              <w:spacing w:after="4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Revenue</w:t>
            </w:r>
          </w:p>
        </w:tc>
        <w:tc>
          <w:tcPr>
            <w:tcW w:w="0" w:type="auto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6719D" w14:textId="77777777" w:rsidR="009F6568" w:rsidRDefault="00000000">
            <w:pPr>
              <w:spacing w:after="4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Revenue Share</w:t>
            </w:r>
          </w:p>
        </w:tc>
        <w:tc>
          <w:tcPr>
            <w:tcW w:w="0" w:type="auto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18C4C" w14:textId="77777777" w:rsidR="009F6568" w:rsidRDefault="00000000">
            <w:pPr>
              <w:spacing w:after="4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Margin %</w:t>
            </w:r>
          </w:p>
        </w:tc>
        <w:tc>
          <w:tcPr>
            <w:tcW w:w="0" w:type="auto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0079D" w14:textId="77777777" w:rsidR="009F6568" w:rsidRDefault="00000000">
            <w:pPr>
              <w:spacing w:after="4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0" w:type="auto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1013A" w14:textId="77777777" w:rsidR="009F6568" w:rsidRDefault="00000000">
            <w:pPr>
              <w:spacing w:after="4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Campaign Action</w:t>
            </w:r>
          </w:p>
        </w:tc>
      </w:tr>
      <w:tr w:rsidR="009F6568" w14:paraId="7C541EE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60298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Books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E20C4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Rs 2.34 Cr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BC4BE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21.5%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766B8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38.7%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C756F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LOW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2264D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Reduce discounting — lowest margin, avoid over-investing</w:t>
            </w:r>
          </w:p>
        </w:tc>
      </w:tr>
      <w:tr w:rsidR="009F6568" w14:paraId="6D95C0A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36AD3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Fashion</w:t>
            </w:r>
          </w:p>
        </w:tc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5FCE4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Rs 2.18 Cr</w:t>
            </w:r>
          </w:p>
        </w:tc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3814F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19.9%</w:t>
            </w:r>
          </w:p>
        </w:tc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47C4D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42.0%</w:t>
            </w:r>
          </w:p>
        </w:tc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1968D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HIGH ★</w:t>
            </w:r>
          </w:p>
        </w:tc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96D60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Priority for Email/Organic targeting</w:t>
            </w:r>
          </w:p>
        </w:tc>
      </w:tr>
      <w:tr w:rsidR="009F6568" w14:paraId="22DFA1E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CE37F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Home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0395A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Rs 1.96 Cr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53712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18.0%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E6D4E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39.8%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412EB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MED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68315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Maintain current investment</w:t>
            </w:r>
          </w:p>
        </w:tc>
      </w:tr>
      <w:tr w:rsidR="009F6568" w14:paraId="1356953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4177A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Sports</w:t>
            </w:r>
          </w:p>
        </w:tc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5925D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Rs 1.96 Cr</w:t>
            </w:r>
          </w:p>
        </w:tc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CDB1E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18.0%</w:t>
            </w:r>
          </w:p>
        </w:tc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EE5DD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38.7%</w:t>
            </w:r>
          </w:p>
        </w:tc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53291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MED</w:t>
            </w:r>
          </w:p>
        </w:tc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1B201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Review discount strategy before scaling</w:t>
            </w:r>
          </w:p>
        </w:tc>
      </w:tr>
      <w:tr w:rsidR="009F6568" w14:paraId="0A0DE49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782C5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Beauty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0C250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Rs 1.45 Cr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B75EB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13.3%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77FB4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41.6%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AF33C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HIGH ★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20C47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Priority for Email/Organic targeting</w:t>
            </w:r>
          </w:p>
        </w:tc>
      </w:tr>
      <w:tr w:rsidR="009F6568" w14:paraId="052CA47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69AA4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lastRenderedPageBreak/>
              <w:t>Electronics</w:t>
            </w:r>
          </w:p>
        </w:tc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76B1B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Rs 1.03 Cr</w:t>
            </w:r>
          </w:p>
        </w:tc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4C95E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9.4%</w:t>
            </w:r>
          </w:p>
        </w:tc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DFDD4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41.0%</w:t>
            </w:r>
          </w:p>
        </w:tc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F9053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TEST</w:t>
            </w:r>
          </w:p>
        </w:tc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07F9E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High margin — test scaling potential carefully</w:t>
            </w:r>
          </w:p>
        </w:tc>
      </w:tr>
    </w:tbl>
    <w:p w14:paraId="1CAE61CB" w14:textId="77777777" w:rsidR="009F6568" w:rsidRDefault="009F6568">
      <w:pPr>
        <w:spacing w:after="80"/>
      </w:pPr>
    </w:p>
    <w:p w14:paraId="68EA662F" w14:textId="77777777" w:rsidR="009F6568" w:rsidRDefault="00000000">
      <w:pPr>
        <w:spacing w:before="240" w:after="160"/>
      </w:pPr>
      <w:r>
        <w:rPr>
          <w:rFonts w:ascii="Calibri" w:eastAsia="Calibri" w:hAnsi="Calibri" w:cs="Calibri"/>
          <w:b/>
          <w:bCs/>
          <w:color w:val="1E3A5F"/>
          <w:sz w:val="26"/>
          <w:szCs w:val="26"/>
        </w:rPr>
        <w:t>6.4 Channel × Device Segments</w:t>
      </w:r>
    </w:p>
    <w:p w14:paraId="035F172F" w14:textId="77777777" w:rsidR="009F6568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Email performs strongest on desktop (higher AOV, lower bounce rate). Paid Social sessions are predominantly mobile — and mobile CVR is lower across all channels. This compound effect partially explains Paid Social's poor ROAS: high mobile traffic + low mobile CVR + high spend = worst outcome.</w:t>
      </w:r>
    </w:p>
    <w:p w14:paraId="72090E15" w14:textId="77777777" w:rsidR="009F6568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Recommended action: A/B test Paid Social creatives optimised for mobile checkout completion vs current creatives. If CVR does not improve, this reinforces the case for reallocation.</w:t>
      </w:r>
    </w:p>
    <w:p w14:paraId="606E3BAE" w14:textId="77777777" w:rsidR="009F6568" w:rsidRDefault="009F6568">
      <w:pPr>
        <w:spacing w:after="80"/>
      </w:pPr>
    </w:p>
    <w:p w14:paraId="7FF46C61" w14:textId="77777777" w:rsidR="009F6568" w:rsidRDefault="00000000">
      <w:pPr>
        <w:spacing w:before="240" w:after="160"/>
      </w:pPr>
      <w:r>
        <w:rPr>
          <w:rFonts w:ascii="Calibri" w:eastAsia="Calibri" w:hAnsi="Calibri" w:cs="Calibri"/>
          <w:b/>
          <w:bCs/>
          <w:color w:val="1E3A5F"/>
          <w:sz w:val="26"/>
          <w:szCs w:val="26"/>
        </w:rPr>
        <w:t>6.5 Top 3 Segments Where Conversion Differs Most</w:t>
      </w:r>
    </w:p>
    <w:p w14:paraId="5EEED433" w14:textId="77777777" w:rsidR="009F6568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Email on Desktop: CVR significantly above portfolio average — highest quality intent signal.</w:t>
      </w:r>
    </w:p>
    <w:p w14:paraId="0B4F9840" w14:textId="77777777" w:rsidR="009F6568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Paid Social on Mobile: CVR below 1.6% vs Search at 2.9% — structural mobile-social mismatch.</w:t>
      </w:r>
    </w:p>
    <w:p w14:paraId="07907C10" w14:textId="77777777" w:rsidR="009F6568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Returning Users (all channels): CVR approximately 7–8% across segments; new users show &lt;1% — acquisition campaigns are not yet building purchase intent.</w:t>
      </w:r>
    </w:p>
    <w:p w14:paraId="4CF416C0" w14:textId="77777777" w:rsidR="009F6568" w:rsidRDefault="00000000">
      <w:pPr>
        <w:spacing w:before="240" w:after="160"/>
      </w:pPr>
      <w:r>
        <w:rPr>
          <w:rFonts w:ascii="Calibri" w:eastAsia="Calibri" w:hAnsi="Calibri" w:cs="Calibri"/>
          <w:b/>
          <w:bCs/>
          <w:color w:val="1E3A5F"/>
          <w:sz w:val="26"/>
          <w:szCs w:val="26"/>
        </w:rPr>
        <w:t>6.6 Top 3 Segments Where ROAS Differs Most</w:t>
      </w:r>
    </w:p>
    <w:p w14:paraId="4B19B2A5" w14:textId="77777777" w:rsidR="009F6568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Organic: ROAS 13.54x — highest in portfolio by a wide margin.</w:t>
      </w:r>
    </w:p>
    <w:p w14:paraId="33E73730" w14:textId="77777777" w:rsidR="009F6568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Email: ROAS 5.36x — second highest, achievable at scale with controlled list management.</w:t>
      </w:r>
    </w:p>
    <w:p w14:paraId="483CFEB5" w14:textId="77777777" w:rsidR="009F6568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Paid Social: ROAS 0.69x — lowest; only channel below Revenue ROAS of 1.0x.</w:t>
      </w:r>
    </w:p>
    <w:p w14:paraId="67045086" w14:textId="77777777" w:rsidR="009F6568" w:rsidRDefault="00000000">
      <w:pPr>
        <w:pageBreakBefore/>
      </w:pPr>
      <w:r>
        <w:lastRenderedPageBreak/>
        <w:br/>
      </w:r>
    </w:p>
    <w:p w14:paraId="2B921EAA" w14:textId="77777777" w:rsidR="009F6568" w:rsidRDefault="00000000">
      <w:pPr>
        <w:spacing w:before="400" w:after="160"/>
      </w:pPr>
      <w:r>
        <w:rPr>
          <w:rFonts w:ascii="Calibri" w:eastAsia="Calibri" w:hAnsi="Calibri" w:cs="Calibri"/>
          <w:b/>
          <w:bCs/>
          <w:color w:val="1E3A5F"/>
          <w:sz w:val="36"/>
          <w:szCs w:val="36"/>
        </w:rPr>
        <w:t>7. Budget Reallocation Plan &amp; 30-Day Impact Estimate</w:t>
      </w:r>
    </w:p>
    <w:p w14:paraId="1FAF2E82" w14:textId="77777777" w:rsidR="009F6568" w:rsidRDefault="009F6568">
      <w:pPr>
        <w:pBdr>
          <w:bottom w:val="single" w:sz="6" w:space="0" w:color="1E3A5F"/>
        </w:pBdr>
        <w:spacing w:after="200"/>
      </w:pPr>
    </w:p>
    <w:p w14:paraId="1E980765" w14:textId="77777777" w:rsidR="009F6568" w:rsidRDefault="00000000">
      <w:pPr>
        <w:spacing w:before="240" w:after="160"/>
      </w:pPr>
      <w:r>
        <w:rPr>
          <w:rFonts w:ascii="Calibri" w:eastAsia="Calibri" w:hAnsi="Calibri" w:cs="Calibri"/>
          <w:b/>
          <w:bCs/>
          <w:color w:val="1E3A5F"/>
          <w:sz w:val="26"/>
          <w:szCs w:val="26"/>
        </w:rPr>
        <w:t>7.1 Fixed Monthly Budget</w:t>
      </w:r>
    </w:p>
    <w:p w14:paraId="4960832F" w14:textId="77777777" w:rsidR="009F6568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Rs 10,622,971 (total 7-month spend Rs 74,360,800 ÷ 7 months). Budget is held constant — this is a reallocation exercise, not a spend increase request.</w:t>
      </w:r>
    </w:p>
    <w:p w14:paraId="16958595" w14:textId="77777777" w:rsidR="009F6568" w:rsidRDefault="009F6568">
      <w:pPr>
        <w:spacing w:after="80"/>
      </w:pPr>
    </w:p>
    <w:p w14:paraId="01326100" w14:textId="77777777" w:rsidR="009F6568" w:rsidRDefault="00000000">
      <w:pPr>
        <w:spacing w:before="240" w:after="160"/>
      </w:pPr>
      <w:r>
        <w:rPr>
          <w:rFonts w:ascii="Calibri" w:eastAsia="Calibri" w:hAnsi="Calibri" w:cs="Calibri"/>
          <w:b/>
          <w:bCs/>
          <w:color w:val="1E3A5F"/>
          <w:sz w:val="26"/>
          <w:szCs w:val="26"/>
        </w:rPr>
        <w:t>7.2 Proposed Allocation — Current vs Recommended</w:t>
      </w:r>
    </w:p>
    <w:tbl>
      <w:tblPr>
        <w:tblW w:w="5000" w:type="pct"/>
        <w:tblBorders>
          <w:top w:val="single" w:sz="4" w:space="0" w:color="1E3A5F"/>
          <w:left w:val="single" w:sz="2" w:space="0" w:color="AAAAAA"/>
          <w:bottom w:val="single" w:sz="4" w:space="0" w:color="1E3A5F"/>
          <w:right w:val="single" w:sz="2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9"/>
        <w:gridCol w:w="1133"/>
        <w:gridCol w:w="920"/>
        <w:gridCol w:w="1273"/>
        <w:gridCol w:w="1059"/>
        <w:gridCol w:w="871"/>
        <w:gridCol w:w="2805"/>
      </w:tblGrid>
      <w:tr w:rsidR="009F6568" w14:paraId="6F281CB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FF580" w14:textId="77777777" w:rsidR="009F6568" w:rsidRDefault="00000000">
            <w:pPr>
              <w:spacing w:after="4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Channel</w:t>
            </w:r>
          </w:p>
        </w:tc>
        <w:tc>
          <w:tcPr>
            <w:tcW w:w="0" w:type="auto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9E154" w14:textId="77777777" w:rsidR="009F6568" w:rsidRDefault="00000000">
            <w:pPr>
              <w:spacing w:after="4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Current Spend</w:t>
            </w:r>
          </w:p>
        </w:tc>
        <w:tc>
          <w:tcPr>
            <w:tcW w:w="0" w:type="auto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630D5" w14:textId="77777777" w:rsidR="009F6568" w:rsidRDefault="00000000">
            <w:pPr>
              <w:spacing w:after="4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Current %</w:t>
            </w:r>
          </w:p>
        </w:tc>
        <w:tc>
          <w:tcPr>
            <w:tcW w:w="0" w:type="auto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C49C0" w14:textId="77777777" w:rsidR="009F6568" w:rsidRDefault="00000000">
            <w:pPr>
              <w:spacing w:after="4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Proposed Spend</w:t>
            </w:r>
          </w:p>
        </w:tc>
        <w:tc>
          <w:tcPr>
            <w:tcW w:w="0" w:type="auto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613A8" w14:textId="77777777" w:rsidR="009F6568" w:rsidRDefault="00000000">
            <w:pPr>
              <w:spacing w:after="4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Proposed %</w:t>
            </w:r>
          </w:p>
        </w:tc>
        <w:tc>
          <w:tcPr>
            <w:tcW w:w="0" w:type="auto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CE3C2" w14:textId="77777777" w:rsidR="009F6568" w:rsidRDefault="00000000">
            <w:pPr>
              <w:spacing w:after="4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Change</w:t>
            </w:r>
          </w:p>
        </w:tc>
        <w:tc>
          <w:tcPr>
            <w:tcW w:w="0" w:type="auto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A4725" w14:textId="77777777" w:rsidR="009F6568" w:rsidRDefault="00000000">
            <w:pPr>
              <w:spacing w:after="4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Rationale</w:t>
            </w:r>
          </w:p>
        </w:tc>
      </w:tr>
      <w:tr w:rsidR="009F6568" w14:paraId="2CDAB28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2CD94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Email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5A804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Rs 5.4L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B8808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5.1%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E67EF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Rs 21.2L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60B2D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20.0%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77E89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+14.9 pts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E28A9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Margin ROAS 2.18x — highest scalable return</w:t>
            </w:r>
          </w:p>
        </w:tc>
      </w:tr>
      <w:tr w:rsidR="009F6568" w14:paraId="054D0E7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0151F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Organic</w:t>
            </w:r>
          </w:p>
        </w:tc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740EB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Rs 1.4L</w:t>
            </w:r>
          </w:p>
        </w:tc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25E79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1.3%</w:t>
            </w:r>
          </w:p>
        </w:tc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F1F66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Rs 8.5L</w:t>
            </w:r>
          </w:p>
        </w:tc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464EC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8.0%</w:t>
            </w:r>
          </w:p>
        </w:tc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0758B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+6.7 pts</w:t>
            </w:r>
          </w:p>
        </w:tc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A3E19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Margin ROAS 5.15x — invest in SEO and content</w:t>
            </w:r>
          </w:p>
        </w:tc>
      </w:tr>
      <w:tr w:rsidR="009F6568" w14:paraId="023F1E3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FB1DB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Referral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71039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Rs 9.5L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649AC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9.0%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54C10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Rs 12.7L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3CFF7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12.0%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DFB84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+3.0 pts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6C70D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Moderate ROAS — maintain and grow carefully</w:t>
            </w:r>
          </w:p>
        </w:tc>
      </w:tr>
      <w:tr w:rsidR="009F6568" w14:paraId="02E4867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79579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Search</w:t>
            </w:r>
          </w:p>
        </w:tc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E2D35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Rs 49.0L</w:t>
            </w:r>
          </w:p>
        </w:tc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92A75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46.2%</w:t>
            </w:r>
          </w:p>
        </w:tc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ED365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Rs 42.5L</w:t>
            </w:r>
          </w:p>
        </w:tc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0C480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40.0%</w:t>
            </w:r>
          </w:p>
        </w:tc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F312C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-6.2 pts</w:t>
            </w:r>
          </w:p>
        </w:tc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E5A8C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Core channel — reduce slightly, optimise bids</w:t>
            </w:r>
          </w:p>
        </w:tc>
      </w:tr>
      <w:tr w:rsidR="009F6568" w14:paraId="1C310DE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7B317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Paid Social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E38C0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Rs 40.8L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3DB7E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38.4%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83E06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Rs 21.2L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0506F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20.0%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A8D83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-18.4 pts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3B69A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Margin ROAS 0.25x — structural loss-maker</w:t>
            </w:r>
          </w:p>
        </w:tc>
      </w:tr>
      <w:tr w:rsidR="009F6568" w14:paraId="24E1C80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E6C13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TOTAL</w:t>
            </w:r>
          </w:p>
        </w:tc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4C7A0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Rs 106.2L</w:t>
            </w:r>
          </w:p>
        </w:tc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B4434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100%</w:t>
            </w:r>
          </w:p>
        </w:tc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45B20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Rs 106.2L</w:t>
            </w:r>
          </w:p>
        </w:tc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8CB77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100%</w:t>
            </w:r>
          </w:p>
        </w:tc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28334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—</w:t>
            </w:r>
          </w:p>
        </w:tc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015D2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Budget-neutral reallocation</w:t>
            </w:r>
          </w:p>
        </w:tc>
      </w:tr>
    </w:tbl>
    <w:p w14:paraId="04C43507" w14:textId="77777777" w:rsidR="009F6568" w:rsidRDefault="009F6568">
      <w:pPr>
        <w:spacing w:after="80"/>
      </w:pPr>
    </w:p>
    <w:p w14:paraId="7632F7A6" w14:textId="77777777" w:rsidR="009F6568" w:rsidRDefault="00000000">
      <w:pPr>
        <w:spacing w:before="240" w:after="160"/>
      </w:pPr>
      <w:r>
        <w:rPr>
          <w:rFonts w:ascii="Calibri" w:eastAsia="Calibri" w:hAnsi="Calibri" w:cs="Calibri"/>
          <w:b/>
          <w:bCs/>
          <w:color w:val="1E3A5F"/>
          <w:sz w:val="26"/>
          <w:szCs w:val="26"/>
        </w:rPr>
        <w:t>7.3 Budget Constraints &amp; Justification</w:t>
      </w:r>
    </w:p>
    <w:tbl>
      <w:tblPr>
        <w:tblW w:w="5000" w:type="pct"/>
        <w:tblBorders>
          <w:top w:val="single" w:sz="4" w:space="0" w:color="1E3A5F"/>
          <w:left w:val="single" w:sz="2" w:space="0" w:color="AAAAAA"/>
          <w:bottom w:val="single" w:sz="4" w:space="0" w:color="1E3A5F"/>
          <w:right w:val="single" w:sz="2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10"/>
        <w:gridCol w:w="2055"/>
        <w:gridCol w:w="1672"/>
        <w:gridCol w:w="4183"/>
      </w:tblGrid>
      <w:tr w:rsidR="009F6568" w14:paraId="5F17379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39EA8" w14:textId="77777777" w:rsidR="009F6568" w:rsidRDefault="00000000">
            <w:pPr>
              <w:spacing w:after="4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Channel</w:t>
            </w:r>
          </w:p>
        </w:tc>
        <w:tc>
          <w:tcPr>
            <w:tcW w:w="0" w:type="auto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A568B" w14:textId="77777777" w:rsidR="009F6568" w:rsidRDefault="00000000">
            <w:pPr>
              <w:spacing w:after="4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Min Spend</w:t>
            </w:r>
          </w:p>
        </w:tc>
        <w:tc>
          <w:tcPr>
            <w:tcW w:w="0" w:type="auto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6DF38" w14:textId="77777777" w:rsidR="009F6568" w:rsidRDefault="00000000">
            <w:pPr>
              <w:spacing w:after="4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Max Spend</w:t>
            </w:r>
          </w:p>
        </w:tc>
        <w:tc>
          <w:tcPr>
            <w:tcW w:w="0" w:type="auto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E678B" w14:textId="77777777" w:rsidR="009F6568" w:rsidRDefault="00000000">
            <w:pPr>
              <w:spacing w:after="4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Justification</w:t>
            </w:r>
          </w:p>
        </w:tc>
      </w:tr>
      <w:tr w:rsidR="009F6568" w14:paraId="32CFFF3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D15BE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Email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7EB19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Rs 5.4L (current)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2E616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Rs 26.6L (25%)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1C92F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Min = current; max = algorithm stability ceiling</w:t>
            </w:r>
          </w:p>
        </w:tc>
      </w:tr>
      <w:tr w:rsidR="009F6568" w14:paraId="334B3F3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DE306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Organic</w:t>
            </w:r>
          </w:p>
        </w:tc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B506C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Rs 1.4L (current)</w:t>
            </w:r>
          </w:p>
        </w:tc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900CD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Rs 21.2L (20%)</w:t>
            </w:r>
          </w:p>
        </w:tc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0697A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Min = current; max = SEO content scalability limit</w:t>
            </w:r>
          </w:p>
        </w:tc>
      </w:tr>
      <w:tr w:rsidR="009F6568" w14:paraId="6EDAFD9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50F46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Referral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7D8A7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Rs 4.75L (50% current)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F71E8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Rs 21.2L (20%)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1B935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Min = 50% current (partner stability); max = 20%</w:t>
            </w:r>
          </w:p>
        </w:tc>
      </w:tr>
      <w:tr w:rsidR="009F6568" w14:paraId="289A5B8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08EA8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Search</w:t>
            </w:r>
          </w:p>
        </w:tc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DB166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Rs 24.5L (50% current)</w:t>
            </w:r>
          </w:p>
        </w:tc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B853F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Rs 63.7L (60%)</w:t>
            </w:r>
          </w:p>
        </w:tc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3B102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Min = 50% (algorithm stability); max = 60%</w:t>
            </w:r>
          </w:p>
        </w:tc>
      </w:tr>
      <w:tr w:rsidR="009F6568" w14:paraId="768B894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59CDC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Paid Social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F8FD3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Rs 20.4L (50% current)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D3458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Rs 40.8L (current)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DF1A0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Min = 50% (avoid hard reset); max = current</w:t>
            </w:r>
          </w:p>
        </w:tc>
      </w:tr>
    </w:tbl>
    <w:p w14:paraId="621E2FE6" w14:textId="77777777" w:rsidR="009F6568" w:rsidRDefault="009F6568">
      <w:pPr>
        <w:spacing w:after="80"/>
      </w:pPr>
    </w:p>
    <w:p w14:paraId="3B2072EE" w14:textId="77777777" w:rsidR="009F6568" w:rsidRDefault="00000000">
      <w:pPr>
        <w:spacing w:before="240" w:after="160"/>
      </w:pPr>
      <w:r>
        <w:rPr>
          <w:rFonts w:ascii="Calibri" w:eastAsia="Calibri" w:hAnsi="Calibri" w:cs="Calibri"/>
          <w:b/>
          <w:bCs/>
          <w:color w:val="1E3A5F"/>
          <w:sz w:val="26"/>
          <w:szCs w:val="26"/>
        </w:rPr>
        <w:t>7.4 Three-Scenario Impact Estimate</w:t>
      </w:r>
    </w:p>
    <w:tbl>
      <w:tblPr>
        <w:tblW w:w="5000" w:type="pct"/>
        <w:tblBorders>
          <w:top w:val="single" w:sz="4" w:space="0" w:color="1E3A5F"/>
          <w:left w:val="single" w:sz="2" w:space="0" w:color="AAAAAA"/>
          <w:bottom w:val="single" w:sz="4" w:space="0" w:color="1E3A5F"/>
          <w:right w:val="single" w:sz="2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1"/>
        <w:gridCol w:w="1293"/>
        <w:gridCol w:w="985"/>
        <w:gridCol w:w="1220"/>
        <w:gridCol w:w="985"/>
        <w:gridCol w:w="3236"/>
      </w:tblGrid>
      <w:tr w:rsidR="009F6568" w14:paraId="73F49FC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5EF46" w14:textId="77777777" w:rsidR="009F6568" w:rsidRDefault="00000000">
            <w:pPr>
              <w:spacing w:after="4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lastRenderedPageBreak/>
              <w:t>Scenario</w:t>
            </w:r>
          </w:p>
        </w:tc>
        <w:tc>
          <w:tcPr>
            <w:tcW w:w="0" w:type="auto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92FF7" w14:textId="77777777" w:rsidR="009F6568" w:rsidRDefault="00000000">
            <w:pPr>
              <w:spacing w:after="4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Monthly Revenue</w:t>
            </w:r>
          </w:p>
        </w:tc>
        <w:tc>
          <w:tcPr>
            <w:tcW w:w="0" w:type="auto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1E0E9" w14:textId="77777777" w:rsidR="009F6568" w:rsidRDefault="00000000">
            <w:pPr>
              <w:spacing w:after="4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vs Baseline</w:t>
            </w:r>
          </w:p>
        </w:tc>
        <w:tc>
          <w:tcPr>
            <w:tcW w:w="0" w:type="auto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E1DBE" w14:textId="77777777" w:rsidR="009F6568" w:rsidRDefault="00000000">
            <w:pPr>
              <w:spacing w:after="4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Monthly Margin</w:t>
            </w:r>
          </w:p>
        </w:tc>
        <w:tc>
          <w:tcPr>
            <w:tcW w:w="0" w:type="auto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7C65C" w14:textId="77777777" w:rsidR="009F6568" w:rsidRDefault="00000000">
            <w:pPr>
              <w:spacing w:after="4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vs Baseline</w:t>
            </w:r>
          </w:p>
        </w:tc>
        <w:tc>
          <w:tcPr>
            <w:tcW w:w="0" w:type="auto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18413" w14:textId="77777777" w:rsidR="009F6568" w:rsidRDefault="00000000">
            <w:pPr>
              <w:spacing w:after="4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Key Assumption</w:t>
            </w:r>
          </w:p>
        </w:tc>
      </w:tr>
      <w:tr w:rsidR="009F6568" w14:paraId="2D2AEE0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244BA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Baseline (current)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3464D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Rs 1.56 Cr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CAA53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—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F0E64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Rs 62.6L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7DCCF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—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EB9CF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No changes made to allocation</w:t>
            </w:r>
          </w:p>
        </w:tc>
      </w:tr>
      <w:tr w:rsidR="009F6568" w14:paraId="509C70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B36DF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Worst Case (-20%)</w:t>
            </w:r>
          </w:p>
        </w:tc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4F428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Rs 1.82 Cr</w:t>
            </w:r>
          </w:p>
        </w:tc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798FE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+17%</w:t>
            </w:r>
          </w:p>
        </w:tc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528C8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Rs 76.0L</w:t>
            </w:r>
          </w:p>
        </w:tc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A58B3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+15%</w:t>
            </w:r>
          </w:p>
        </w:tc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98EEA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Rapid diminishing returns from Email/Organic scaling</w:t>
            </w:r>
          </w:p>
        </w:tc>
      </w:tr>
      <w:tr w:rsidR="009F6568" w14:paraId="5871C14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9B337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Base Case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D1886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Rs 2.27 Cr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2BAD3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+46%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60AF2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Rs 95.1L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E94AB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+44%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A4B26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Historical ROAS with conservative diminishing returns</w:t>
            </w:r>
          </w:p>
        </w:tc>
      </w:tr>
      <w:tr w:rsidR="009F6568" w14:paraId="51A756E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09DC8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Best Case (+20%)</w:t>
            </w:r>
          </w:p>
        </w:tc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1C517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Rs 2.73 Cr</w:t>
            </w:r>
          </w:p>
        </w:tc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2EF7B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+75%</w:t>
            </w:r>
          </w:p>
        </w:tc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9F949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Rs 1.14 Cr</w:t>
            </w:r>
          </w:p>
        </w:tc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D1075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+73%</w:t>
            </w:r>
          </w:p>
        </w:tc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D0F0D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Improved creative lifts Email/Organic above historical ROAS</w:t>
            </w:r>
          </w:p>
        </w:tc>
      </w:tr>
    </w:tbl>
    <w:p w14:paraId="1BBE68B0" w14:textId="77777777" w:rsidR="009F6568" w:rsidRDefault="009F6568">
      <w:pPr>
        <w:spacing w:after="80"/>
      </w:pPr>
    </w:p>
    <w:p w14:paraId="72C2F051" w14:textId="77777777" w:rsidR="009F6568" w:rsidRDefault="00000000">
      <w:pPr>
        <w:spacing w:before="240" w:after="160"/>
      </w:pPr>
      <w:r>
        <w:rPr>
          <w:rFonts w:ascii="Calibri" w:eastAsia="Calibri" w:hAnsi="Calibri" w:cs="Calibri"/>
          <w:b/>
          <w:bCs/>
          <w:color w:val="1E3A5F"/>
          <w:sz w:val="26"/>
          <w:szCs w:val="26"/>
        </w:rPr>
        <w:t>7.5 Assumptions &amp; Sensitivity Analysis</w:t>
      </w:r>
    </w:p>
    <w:p w14:paraId="3B8A3F19" w14:textId="77777777" w:rsidR="009F6568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Email ROAS discounted 30% from historical — scaling 4x increases audience saturation risk.</w:t>
      </w:r>
    </w:p>
    <w:p w14:paraId="41A37CAC" w14:textId="77777777" w:rsidR="009F6568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Organic ROAS discounted 50% from historical — scaling 6x; SEO and content investments take 3+ months to compound.</w:t>
      </w:r>
    </w:p>
    <w:p w14:paraId="37F29D1D" w14:textId="77777777" w:rsidR="009F6568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Paid Social, Referral, and Search held at historical ROAS — moderate spend changes imply less severe diminishing returns.</w:t>
      </w:r>
    </w:p>
    <w:p w14:paraId="71823813" w14:textId="77777777" w:rsidR="009F6568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Sensitivity check 1: If Email CVR drops 10% due to list fatigue, base case revenue decreases ~Rs 80,000/month — manageable risk.</w:t>
      </w:r>
    </w:p>
    <w:p w14:paraId="2BAE293D" w14:textId="77777777" w:rsidR="009F6568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Sensitivity check 2: If Paid Social CPC rises 10%, minimal total portfolio impact given Paid Social's already sub-1.0 ROAS.</w:t>
      </w:r>
    </w:p>
    <w:p w14:paraId="5370D835" w14:textId="77777777" w:rsidR="009F6568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Sensitivity check 3: If Organic sessions do not grow after content investment, base case drops approximately 5% toward worst case.</w:t>
      </w:r>
    </w:p>
    <w:p w14:paraId="2B235B4C" w14:textId="77777777" w:rsidR="009F6568" w:rsidRDefault="00000000">
      <w:pPr>
        <w:pageBreakBefore/>
      </w:pPr>
      <w:r>
        <w:lastRenderedPageBreak/>
        <w:br/>
      </w:r>
    </w:p>
    <w:p w14:paraId="0672379F" w14:textId="77777777" w:rsidR="009F6568" w:rsidRDefault="00000000">
      <w:pPr>
        <w:spacing w:before="400" w:after="160"/>
      </w:pPr>
      <w:r>
        <w:rPr>
          <w:rFonts w:ascii="Calibri" w:eastAsia="Calibri" w:hAnsi="Calibri" w:cs="Calibri"/>
          <w:b/>
          <w:bCs/>
          <w:color w:val="1E3A5F"/>
          <w:sz w:val="36"/>
          <w:szCs w:val="36"/>
        </w:rPr>
        <w:t>8. Marketing Investigation — Top 2 Spend Inefficiencies</w:t>
      </w:r>
    </w:p>
    <w:p w14:paraId="66CC8D66" w14:textId="77777777" w:rsidR="009F6568" w:rsidRDefault="009F6568">
      <w:pPr>
        <w:pBdr>
          <w:bottom w:val="single" w:sz="6" w:space="0" w:color="1E3A5F"/>
        </w:pBdr>
        <w:spacing w:after="200"/>
      </w:pPr>
    </w:p>
    <w:p w14:paraId="50597C90" w14:textId="77777777" w:rsidR="009F6568" w:rsidRDefault="00000000">
      <w:pPr>
        <w:spacing w:before="240" w:after="160"/>
      </w:pPr>
      <w:r>
        <w:rPr>
          <w:rFonts w:ascii="Calibri" w:eastAsia="Calibri" w:hAnsi="Calibri" w:cs="Calibri"/>
          <w:b/>
          <w:bCs/>
          <w:color w:val="1E3A5F"/>
          <w:sz w:val="26"/>
          <w:szCs w:val="26"/>
        </w:rPr>
        <w:t>8.1 Inefficiency Identification Criteria</w:t>
      </w:r>
    </w:p>
    <w:p w14:paraId="140C797B" w14:textId="6F3C6845" w:rsidR="009F6568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Campaigns in the top 25% of spend with Revenue ROAS below 1.0 are flagged as value-destructive. Two campaigns meet this criteria</w:t>
      </w:r>
      <w:r w:rsidR="001C61A8">
        <w:rPr>
          <w:rFonts w:ascii="Calibri" w:eastAsia="Calibri" w:hAnsi="Calibri" w:cs="Calibri"/>
          <w:sz w:val="22"/>
          <w:szCs w:val="22"/>
        </w:rPr>
        <w:t xml:space="preserve">, </w:t>
      </w:r>
      <w:r>
        <w:rPr>
          <w:rFonts w:ascii="Calibri" w:eastAsia="Calibri" w:hAnsi="Calibri" w:cs="Calibri"/>
          <w:sz w:val="22"/>
          <w:szCs w:val="22"/>
        </w:rPr>
        <w:t xml:space="preserve">both in Paid Social </w:t>
      </w:r>
      <w:r w:rsidR="001C61A8">
        <w:rPr>
          <w:rFonts w:ascii="Calibri" w:eastAsia="Calibri" w:hAnsi="Calibri" w:cs="Calibri"/>
          <w:sz w:val="22"/>
          <w:szCs w:val="22"/>
        </w:rPr>
        <w:t>-</w:t>
      </w:r>
      <w:r>
        <w:rPr>
          <w:rFonts w:ascii="Calibri" w:eastAsia="Calibri" w:hAnsi="Calibri" w:cs="Calibri"/>
          <w:sz w:val="22"/>
          <w:szCs w:val="22"/>
        </w:rPr>
        <w:t xml:space="preserve"> accounting for 9.7% of total spend and only 4.4% of attributed revenue.</w:t>
      </w:r>
    </w:p>
    <w:p w14:paraId="3D9D1D01" w14:textId="77777777" w:rsidR="009F6568" w:rsidRDefault="009F6568">
      <w:pPr>
        <w:spacing w:after="80"/>
      </w:pPr>
    </w:p>
    <w:p w14:paraId="4F6E877A" w14:textId="77777777" w:rsidR="009F6568" w:rsidRDefault="00000000">
      <w:pPr>
        <w:spacing w:before="240" w:after="160"/>
      </w:pPr>
      <w:r>
        <w:rPr>
          <w:rFonts w:ascii="Calibri" w:eastAsia="Calibri" w:hAnsi="Calibri" w:cs="Calibri"/>
          <w:b/>
          <w:bCs/>
          <w:color w:val="1E3A5F"/>
          <w:sz w:val="26"/>
          <w:szCs w:val="26"/>
        </w:rPr>
        <w:t>8.2 Investigation Table</w:t>
      </w:r>
    </w:p>
    <w:tbl>
      <w:tblPr>
        <w:tblW w:w="5000" w:type="pct"/>
        <w:tblBorders>
          <w:top w:val="single" w:sz="4" w:space="0" w:color="1E3A5F"/>
          <w:left w:val="single" w:sz="2" w:space="0" w:color="AAAAAA"/>
          <w:bottom w:val="single" w:sz="4" w:space="0" w:color="1E3A5F"/>
          <w:right w:val="single" w:sz="2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2"/>
        <w:gridCol w:w="3796"/>
        <w:gridCol w:w="3782"/>
      </w:tblGrid>
      <w:tr w:rsidR="009F6568" w14:paraId="7AD2E4A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04489" w14:textId="77777777" w:rsidR="009F6568" w:rsidRDefault="00000000">
            <w:pPr>
              <w:spacing w:after="4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Metric</w:t>
            </w:r>
          </w:p>
        </w:tc>
        <w:tc>
          <w:tcPr>
            <w:tcW w:w="0" w:type="auto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22737" w14:textId="77777777" w:rsidR="009F6568" w:rsidRDefault="00000000">
            <w:pPr>
              <w:spacing w:after="4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C016 — Paid Social</w:t>
            </w:r>
          </w:p>
        </w:tc>
        <w:tc>
          <w:tcPr>
            <w:tcW w:w="0" w:type="auto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754F3" w14:textId="77777777" w:rsidR="009F6568" w:rsidRDefault="00000000">
            <w:pPr>
              <w:spacing w:after="4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C011 — Paid Social</w:t>
            </w:r>
          </w:p>
        </w:tc>
      </w:tr>
      <w:tr w:rsidR="009F6568" w14:paraId="6354B2A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B274D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Spend Share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F6AD8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4.9%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2D150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4.9%</w:t>
            </w:r>
          </w:p>
        </w:tc>
      </w:tr>
      <w:tr w:rsidR="009F6568" w14:paraId="7738B06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72456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Revenue Share</w:t>
            </w:r>
          </w:p>
        </w:tc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9C566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2.2%</w:t>
            </w:r>
          </w:p>
        </w:tc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6787A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2.2%</w:t>
            </w:r>
          </w:p>
        </w:tc>
      </w:tr>
      <w:tr w:rsidR="009F6568" w14:paraId="035FC4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4E4D8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Revenue ROAS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C0292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0.675x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B5530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0.673x</w:t>
            </w:r>
          </w:p>
        </w:tc>
      </w:tr>
      <w:tr w:rsidR="009F6568" w14:paraId="6D51D7E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376C9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CAC Proxy</w:t>
            </w:r>
          </w:p>
        </w:tc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0C63A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Rs 9,177/order</w:t>
            </w:r>
          </w:p>
        </w:tc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1644F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Rs 9,061/order</w:t>
            </w:r>
          </w:p>
        </w:tc>
      </w:tr>
      <w:tr w:rsidR="009F6568" w14:paraId="64A267A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3C0E2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CPC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B8F79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Rs 10.87 (highest in portfolio)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BC1B1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Rs 10.42</w:t>
            </w:r>
          </w:p>
        </w:tc>
      </w:tr>
      <w:tr w:rsidR="009F6568" w14:paraId="518482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EA4DE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CVR</w:t>
            </w:r>
          </w:p>
        </w:tc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7AB85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1.6% (vs Search 2.9%)</w:t>
            </w:r>
          </w:p>
        </w:tc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BE31C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1.6%</w:t>
            </w:r>
          </w:p>
        </w:tc>
      </w:tr>
      <w:tr w:rsidR="009F6568" w14:paraId="5F30381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3D2F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Inefficiency Location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F146F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Paid Social channel, mobile-heavy, broad audience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FB06D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Paid Social channel — all 8 campaigns show ROAS &lt;0.75</w:t>
            </w:r>
          </w:p>
        </w:tc>
      </w:tr>
      <w:tr w:rsidR="009F6568" w14:paraId="5DF8D19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492CF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Hypothesis 1</w:t>
            </w:r>
          </w:p>
        </w:tc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101D6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Poor audience targeting — reaching low-intent users unlikely to convert</w:t>
            </w:r>
          </w:p>
        </w:tc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06B80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Structural channel problem — all Paid Social campaigns underperform</w:t>
            </w:r>
          </w:p>
        </w:tc>
      </w:tr>
      <w:tr w:rsidR="009F6568" w14:paraId="39C934B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E2BC9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Hypothesis 2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276E4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Creative fatigue — highest CPC signals declining CTR engagement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7DD80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Attribution gap — last-touch may under-credit assist conversions</w:t>
            </w:r>
          </w:p>
        </w:tc>
      </w:tr>
      <w:tr w:rsidR="009F6568" w14:paraId="67CB38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839AD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Hypothesis 3</w:t>
            </w:r>
          </w:p>
        </w:tc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9A2F3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Product mismatch — high AOV (Rs 6,195) unsuited to impulse social purchases</w:t>
            </w:r>
          </w:p>
        </w:tc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D1CEA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Over-funded — 38% budget far exceeds Paid Social's efficient spend level</w:t>
            </w:r>
          </w:p>
        </w:tc>
      </w:tr>
      <w:tr w:rsidR="009F6568" w14:paraId="66ED106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8BA53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Experiment 1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0FEAF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A/B test: narrow vs broad audience targeting for 2 weeks same budget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75538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Holdout test: pause Paid Social in one city tier for 4 weeks</w:t>
            </w:r>
          </w:p>
        </w:tc>
      </w:tr>
      <w:tr w:rsidR="009F6568" w14:paraId="5B10F16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BD939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Experiment 2</w:t>
            </w:r>
          </w:p>
        </w:tc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93F52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Rotate ad creative every 2 weeks — track CTR recovery</w:t>
            </w:r>
          </w:p>
        </w:tc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ED792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Implement multi-touch attribution to measure assist value</w:t>
            </w:r>
          </w:p>
        </w:tc>
      </w:tr>
      <w:tr w:rsidR="009F6568" w14:paraId="0AEDD33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8DB19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Experiment 3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A2526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Test lower-price product bundles designed for social audiences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FFF31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Cut budget 50% for one month — reallocate to Email, measure delta revenue</w:t>
            </w:r>
          </w:p>
        </w:tc>
      </w:tr>
      <w:tr w:rsidR="009F6568" w14:paraId="059CE89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CCBB5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Evidence</w:t>
            </w:r>
          </w:p>
        </w:tc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FB9B8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CPC 10.87, CVR 1.6%, CAC Rs 9,177 — campaign performance table</w:t>
            </w:r>
          </w:p>
        </w:tc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48EF4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All 8 Paid Social campaigns show ROAS &lt;0.75 — channel attribution table</w:t>
            </w:r>
          </w:p>
        </w:tc>
      </w:tr>
    </w:tbl>
    <w:p w14:paraId="6F93499C" w14:textId="77777777" w:rsidR="009F6568" w:rsidRDefault="00000000">
      <w:pPr>
        <w:pageBreakBefore/>
      </w:pPr>
      <w:r>
        <w:lastRenderedPageBreak/>
        <w:br/>
      </w:r>
    </w:p>
    <w:p w14:paraId="007BC955" w14:textId="77777777" w:rsidR="009F6568" w:rsidRDefault="00000000">
      <w:pPr>
        <w:spacing w:before="400" w:after="160"/>
      </w:pPr>
      <w:r>
        <w:rPr>
          <w:rFonts w:ascii="Calibri" w:eastAsia="Calibri" w:hAnsi="Calibri" w:cs="Calibri"/>
          <w:b/>
          <w:bCs/>
          <w:color w:val="1E3A5F"/>
          <w:sz w:val="36"/>
          <w:szCs w:val="36"/>
        </w:rPr>
        <w:t>9. Risks, Limitations &amp; Next Steps</w:t>
      </w:r>
    </w:p>
    <w:p w14:paraId="27E76579" w14:textId="77777777" w:rsidR="009F6568" w:rsidRDefault="009F6568">
      <w:pPr>
        <w:pBdr>
          <w:bottom w:val="single" w:sz="6" w:space="0" w:color="1E3A5F"/>
        </w:pBdr>
        <w:spacing w:after="200"/>
      </w:pPr>
    </w:p>
    <w:p w14:paraId="732C9125" w14:textId="77777777" w:rsidR="009F6568" w:rsidRDefault="00000000">
      <w:pPr>
        <w:spacing w:before="240" w:after="160"/>
      </w:pPr>
      <w:r>
        <w:rPr>
          <w:rFonts w:ascii="Calibri" w:eastAsia="Calibri" w:hAnsi="Calibri" w:cs="Calibri"/>
          <w:b/>
          <w:bCs/>
          <w:color w:val="1E3A5F"/>
          <w:sz w:val="26"/>
          <w:szCs w:val="26"/>
        </w:rPr>
        <w:t>9.1 Risks &amp; Limitations</w:t>
      </w:r>
    </w:p>
    <w:tbl>
      <w:tblPr>
        <w:tblW w:w="5000" w:type="pct"/>
        <w:tblBorders>
          <w:top w:val="single" w:sz="4" w:space="0" w:color="1E3A5F"/>
          <w:left w:val="single" w:sz="2" w:space="0" w:color="AAAAAA"/>
          <w:bottom w:val="single" w:sz="4" w:space="0" w:color="1E3A5F"/>
          <w:right w:val="single" w:sz="2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73"/>
        <w:gridCol w:w="892"/>
        <w:gridCol w:w="4155"/>
      </w:tblGrid>
      <w:tr w:rsidR="009F6568" w14:paraId="12A8BC0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93B02" w14:textId="77777777" w:rsidR="009F6568" w:rsidRDefault="00000000">
            <w:pPr>
              <w:spacing w:after="4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Risk / Limitation</w:t>
            </w:r>
          </w:p>
        </w:tc>
        <w:tc>
          <w:tcPr>
            <w:tcW w:w="0" w:type="auto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6FA7" w14:textId="77777777" w:rsidR="009F6568" w:rsidRDefault="00000000">
            <w:pPr>
              <w:spacing w:after="4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Severity</w:t>
            </w:r>
          </w:p>
        </w:tc>
        <w:tc>
          <w:tcPr>
            <w:tcW w:w="0" w:type="auto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D2EC9" w14:textId="77777777" w:rsidR="009F6568" w:rsidRDefault="00000000">
            <w:pPr>
              <w:spacing w:after="4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Mitigation</w:t>
            </w:r>
          </w:p>
        </w:tc>
      </w:tr>
      <w:tr w:rsidR="009F6568" w14:paraId="327C851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2E8D4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Last-touch attribution bias — upper-funnel channels under-credited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B105E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Medium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FA9A9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Implement time-decay multi-touch model (Month 2)</w:t>
            </w:r>
          </w:p>
        </w:tc>
      </w:tr>
      <w:tr w:rsidR="009F6568" w14:paraId="74705BD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BD019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OLS multicollinearity — Email/Organic coefficients unreliable due to low spend share</w:t>
            </w:r>
          </w:p>
        </w:tc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B471E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Medium</w:t>
            </w:r>
          </w:p>
        </w:tc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42370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Attribution data used as primary efficiency signal; regression used for portfolio-level sensitivity only</w:t>
            </w:r>
          </w:p>
        </w:tc>
      </w:tr>
      <w:tr w:rsidR="009F6568" w14:paraId="3C33353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07DB5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Diminishing returns on Email scaling — ROAS may compress from 5.36x as volume increases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3558D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High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60964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ROAS discounted 30% in projections; monitor CVR and unsubscribe rate weekly</w:t>
            </w:r>
          </w:p>
        </w:tc>
      </w:tr>
      <w:tr w:rsidR="009F6568" w14:paraId="5B808E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E654A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Organic investment lag — SEO and content take 3+ months to compound</w:t>
            </w:r>
          </w:p>
        </w:tc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09296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Medium</w:t>
            </w:r>
          </w:p>
        </w:tc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46200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ROAS discounted 50%; treat Organic as 60–90 day investment horizon</w:t>
            </w:r>
          </w:p>
        </w:tc>
      </w:tr>
      <w:tr w:rsidR="009F6568" w14:paraId="2E5963F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CA341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Paid Social algorithm disruption — reducing budget below 50% may cause performance cliff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FD532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Low-Med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2BE40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Budget constraint: no channel below 50% of current spend</w:t>
            </w:r>
          </w:p>
        </w:tc>
      </w:tr>
      <w:tr w:rsidR="009F6568" w14:paraId="7272426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D8002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Correlation vs causation — regression cannot prove spend causes revenue</w:t>
            </w:r>
          </w:p>
        </w:tc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48ED0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Medium</w:t>
            </w:r>
          </w:p>
        </w:tc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7A359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Holdout experiment planned for Month 1 to isolate true incrementality</w:t>
            </w:r>
          </w:p>
        </w:tc>
      </w:tr>
    </w:tbl>
    <w:p w14:paraId="24697428" w14:textId="77777777" w:rsidR="009F6568" w:rsidRDefault="009F6568">
      <w:pPr>
        <w:spacing w:after="80"/>
      </w:pPr>
    </w:p>
    <w:p w14:paraId="7C99F22D" w14:textId="77777777" w:rsidR="009F6568" w:rsidRDefault="00000000">
      <w:pPr>
        <w:spacing w:before="240" w:after="160"/>
      </w:pPr>
      <w:r>
        <w:rPr>
          <w:rFonts w:ascii="Calibri" w:eastAsia="Calibri" w:hAnsi="Calibri" w:cs="Calibri"/>
          <w:b/>
          <w:bCs/>
          <w:color w:val="1E3A5F"/>
          <w:sz w:val="26"/>
          <w:szCs w:val="26"/>
        </w:rPr>
        <w:t>9.2 Prioritised Next Steps</w:t>
      </w:r>
    </w:p>
    <w:tbl>
      <w:tblPr>
        <w:tblW w:w="5000" w:type="pct"/>
        <w:tblBorders>
          <w:top w:val="single" w:sz="4" w:space="0" w:color="1E3A5F"/>
          <w:left w:val="single" w:sz="2" w:space="0" w:color="AAAAAA"/>
          <w:bottom w:val="single" w:sz="4" w:space="0" w:color="1E3A5F"/>
          <w:right w:val="single" w:sz="2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3"/>
        <w:gridCol w:w="1527"/>
        <w:gridCol w:w="797"/>
        <w:gridCol w:w="968"/>
        <w:gridCol w:w="5305"/>
      </w:tblGrid>
      <w:tr w:rsidR="009F6568" w14:paraId="6F80774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CABC6" w14:textId="77777777" w:rsidR="009F6568" w:rsidRDefault="00000000">
            <w:pPr>
              <w:spacing w:after="4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6957B" w14:textId="77777777" w:rsidR="009F6568" w:rsidRDefault="00000000">
            <w:pPr>
              <w:spacing w:after="4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Action</w:t>
            </w:r>
          </w:p>
        </w:tc>
        <w:tc>
          <w:tcPr>
            <w:tcW w:w="0" w:type="auto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1859F" w14:textId="77777777" w:rsidR="009F6568" w:rsidRDefault="00000000">
            <w:pPr>
              <w:spacing w:after="4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0" w:type="auto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FFADB" w14:textId="77777777" w:rsidR="009F6568" w:rsidRDefault="00000000">
            <w:pPr>
              <w:spacing w:after="4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Timeline</w:t>
            </w:r>
          </w:p>
        </w:tc>
        <w:tc>
          <w:tcPr>
            <w:tcW w:w="0" w:type="auto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77216" w14:textId="77777777" w:rsidR="009F6568" w:rsidRDefault="00000000">
            <w:pPr>
              <w:spacing w:after="4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Detail</w:t>
            </w:r>
          </w:p>
        </w:tc>
      </w:tr>
      <w:tr w:rsidR="009F6568" w14:paraId="311F73E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BDA79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01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9101F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Holdout Experiment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C6FFF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HIGH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1517F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Month 1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03008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Pause Paid Social in one city tier for 4 weeks — measure true revenue incrementality before full reallocation</w:t>
            </w:r>
          </w:p>
        </w:tc>
      </w:tr>
      <w:tr w:rsidR="009F6568" w14:paraId="54EBD4A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E4C52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02</w:t>
            </w:r>
          </w:p>
        </w:tc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2B2BE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Scale Email to 20%</w:t>
            </w:r>
          </w:p>
        </w:tc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FEB68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HIGH</w:t>
            </w:r>
          </w:p>
        </w:tc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6BA17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Month 1–2</w:t>
            </w:r>
          </w:p>
        </w:tc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DDEDE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Increase Email budget from 5.1% to 20%. Track CVR and unsubscribe rates weekly. If CVR holds above 2.0%, scale toward 25%</w:t>
            </w:r>
          </w:p>
        </w:tc>
      </w:tr>
      <w:tr w:rsidR="009F6568" w14:paraId="143E3A1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AA525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03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E7467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Category Targeting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465EA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HIGH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69B52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Month 1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18668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Direct Email and Organic campaigns toward Fashion (42.0% margin) and Beauty (41.6%) rather than Books (38.7%)</w:t>
            </w:r>
          </w:p>
        </w:tc>
      </w:tr>
      <w:tr w:rsidR="009F6568" w14:paraId="1F0CE42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77D5E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04</w:t>
            </w:r>
          </w:p>
        </w:tc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14008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Optimise Within Search</w:t>
            </w:r>
          </w:p>
        </w:tc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27EA5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MED</w:t>
            </w:r>
          </w:p>
        </w:tc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17700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Month 1</w:t>
            </w:r>
          </w:p>
        </w:tc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F2CF7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Shift budget from C004 (weakest Search ROAS) toward C002 and C007 (best ROAS within Search)</w:t>
            </w:r>
          </w:p>
        </w:tc>
      </w:tr>
      <w:tr w:rsidR="009F6568" w14:paraId="5022BD5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8D57A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05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27D18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Multi-Touch Attribution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5B80A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MED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24BEB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Month 2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772FA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Last-touch under-credits upper-funnel channels. Implement time-decay model to quantify Paid Social assist value</w:t>
            </w:r>
          </w:p>
        </w:tc>
      </w:tr>
      <w:tr w:rsidR="009F6568" w14:paraId="2B98987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73269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06</w:t>
            </w:r>
          </w:p>
        </w:tc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5C4A0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Lag-Effect Regression</w:t>
            </w:r>
          </w:p>
        </w:tc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53033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LOW</w:t>
            </w:r>
          </w:p>
        </w:tc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6FAF4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Month 3</w:t>
            </w:r>
          </w:p>
        </w:tc>
        <w:tc>
          <w:tcPr>
            <w:tcW w:w="0" w:type="auto"/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64819" w14:textId="77777777" w:rsidR="009F65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Add 1–3 day lagged spend features to capture delayed revenue impact and improve projection accuracy</w:t>
            </w:r>
          </w:p>
        </w:tc>
      </w:tr>
    </w:tbl>
    <w:p w14:paraId="181DB53F" w14:textId="77777777" w:rsidR="009F6568" w:rsidRDefault="009F6568">
      <w:pPr>
        <w:spacing w:after="80"/>
      </w:pPr>
    </w:p>
    <w:p w14:paraId="46BEE536" w14:textId="77777777" w:rsidR="009F6568" w:rsidRDefault="009F6568">
      <w:pPr>
        <w:spacing w:after="80"/>
      </w:pPr>
    </w:p>
    <w:p w14:paraId="246C32B8" w14:textId="77777777" w:rsidR="009F6568" w:rsidRDefault="00000000">
      <w:pPr>
        <w:jc w:val="center"/>
      </w:pPr>
      <w:r>
        <w:rPr>
          <w:rFonts w:ascii="Calibri" w:eastAsia="Calibri" w:hAnsi="Calibri" w:cs="Calibri"/>
          <w:i/>
          <w:iCs/>
          <w:color w:val="888888"/>
          <w:sz w:val="16"/>
          <w:szCs w:val="16"/>
        </w:rPr>
        <w:t>All figures derived from provided dataset using last-touch attribution and OLS regression. Projections are estimates based on historical performance with conservative diminishing-return adjustments. Prepared as part of a Marketing Analytics Capstone Project — Sarbani Karmakar.</w:t>
      </w:r>
    </w:p>
    <w:sectPr w:rsidR="009F6568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8C5D58" w14:textId="77777777" w:rsidR="00A35F5D" w:rsidRDefault="00A35F5D">
      <w:r>
        <w:separator/>
      </w:r>
    </w:p>
  </w:endnote>
  <w:endnote w:type="continuationSeparator" w:id="0">
    <w:p w14:paraId="4FFB01B8" w14:textId="77777777" w:rsidR="00A35F5D" w:rsidRDefault="00A35F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081143" w14:textId="77777777" w:rsidR="009F6568" w:rsidRDefault="00000000">
    <w:pPr>
      <w:jc w:val="center"/>
    </w:pPr>
    <w:r>
      <w:rPr>
        <w:rFonts w:ascii="Calibri" w:eastAsia="Calibri" w:hAnsi="Calibri" w:cs="Calibri"/>
        <w:color w:val="888888"/>
        <w:sz w:val="16"/>
        <w:szCs w:val="16"/>
      </w:rPr>
      <w:t>Confidential — Capstone Project | Marketing ROI Analysis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A91024" w14:textId="77777777" w:rsidR="00A35F5D" w:rsidRDefault="00A35F5D">
      <w:r>
        <w:separator/>
      </w:r>
    </w:p>
  </w:footnote>
  <w:footnote w:type="continuationSeparator" w:id="0">
    <w:p w14:paraId="3AC073FF" w14:textId="77777777" w:rsidR="00A35F5D" w:rsidRDefault="00A35F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9E15BB" w14:textId="77777777" w:rsidR="009F6568" w:rsidRDefault="00000000">
    <w:pPr>
      <w:jc w:val="right"/>
    </w:pPr>
    <w:r>
      <w:rPr>
        <w:rFonts w:ascii="Calibri" w:eastAsia="Calibri" w:hAnsi="Calibri" w:cs="Calibri"/>
        <w:color w:val="888888"/>
        <w:sz w:val="16"/>
        <w:szCs w:val="16"/>
      </w:rPr>
      <w:t>Marketing ROI &amp; Budget Reallocation  |  Sarbani Karmakar  |  Capstone Project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3D786C"/>
    <w:multiLevelType w:val="hybridMultilevel"/>
    <w:tmpl w:val="4C921560"/>
    <w:lvl w:ilvl="0" w:tplc="59965148">
      <w:start w:val="1"/>
      <w:numFmt w:val="bullet"/>
      <w:lvlText w:val="●"/>
      <w:lvlJc w:val="left"/>
      <w:pPr>
        <w:ind w:left="720" w:hanging="360"/>
      </w:pPr>
    </w:lvl>
    <w:lvl w:ilvl="1" w:tplc="B2EC9274">
      <w:start w:val="1"/>
      <w:numFmt w:val="bullet"/>
      <w:lvlText w:val="○"/>
      <w:lvlJc w:val="left"/>
      <w:pPr>
        <w:ind w:left="1440" w:hanging="360"/>
      </w:pPr>
    </w:lvl>
    <w:lvl w:ilvl="2" w:tplc="F93C2786">
      <w:start w:val="1"/>
      <w:numFmt w:val="bullet"/>
      <w:lvlText w:val="■"/>
      <w:lvlJc w:val="left"/>
      <w:pPr>
        <w:ind w:left="2160" w:hanging="360"/>
      </w:pPr>
    </w:lvl>
    <w:lvl w:ilvl="3" w:tplc="AA0E84A6">
      <w:start w:val="1"/>
      <w:numFmt w:val="bullet"/>
      <w:lvlText w:val="●"/>
      <w:lvlJc w:val="left"/>
      <w:pPr>
        <w:ind w:left="2880" w:hanging="360"/>
      </w:pPr>
    </w:lvl>
    <w:lvl w:ilvl="4" w:tplc="4DFADE26">
      <w:start w:val="1"/>
      <w:numFmt w:val="bullet"/>
      <w:lvlText w:val="○"/>
      <w:lvlJc w:val="left"/>
      <w:pPr>
        <w:ind w:left="3600" w:hanging="360"/>
      </w:pPr>
    </w:lvl>
    <w:lvl w:ilvl="5" w:tplc="FE3E5DF0">
      <w:start w:val="1"/>
      <w:numFmt w:val="bullet"/>
      <w:lvlText w:val="■"/>
      <w:lvlJc w:val="left"/>
      <w:pPr>
        <w:ind w:left="4320" w:hanging="360"/>
      </w:pPr>
    </w:lvl>
    <w:lvl w:ilvl="6" w:tplc="4C68BC28">
      <w:start w:val="1"/>
      <w:numFmt w:val="bullet"/>
      <w:lvlText w:val="●"/>
      <w:lvlJc w:val="left"/>
      <w:pPr>
        <w:ind w:left="5040" w:hanging="360"/>
      </w:pPr>
    </w:lvl>
    <w:lvl w:ilvl="7" w:tplc="D2C4320E">
      <w:start w:val="1"/>
      <w:numFmt w:val="bullet"/>
      <w:lvlText w:val="●"/>
      <w:lvlJc w:val="left"/>
      <w:pPr>
        <w:ind w:left="5760" w:hanging="360"/>
      </w:pPr>
    </w:lvl>
    <w:lvl w:ilvl="8" w:tplc="CE88D332">
      <w:start w:val="1"/>
      <w:numFmt w:val="bullet"/>
      <w:lvlText w:val="●"/>
      <w:lvlJc w:val="left"/>
      <w:pPr>
        <w:ind w:left="6480" w:hanging="360"/>
      </w:pPr>
    </w:lvl>
  </w:abstractNum>
  <w:num w:numId="1" w16cid:durableId="20240139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6568"/>
    <w:rsid w:val="001C61A8"/>
    <w:rsid w:val="00873D86"/>
    <w:rsid w:val="009F6568"/>
    <w:rsid w:val="00A35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4DA9A"/>
  <w15:docId w15:val="{F3A93B73-3F2F-4285-8CF9-D9B64298D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3378</Words>
  <Characters>19259</Characters>
  <Application>Microsoft Office Word</Application>
  <DocSecurity>0</DocSecurity>
  <Lines>160</Lines>
  <Paragraphs>45</Paragraphs>
  <ScaleCrop>false</ScaleCrop>
  <Company/>
  <LinksUpToDate>false</LinksUpToDate>
  <CharactersWithSpaces>22592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Marketing ROI &amp; Budget Reallocation — Decision Memo</dc:title>
  <dc:creator>Sarbani Karmakar</dc:creator>
  <dc:description>Capstone Project — End-to-end Marketing Analytics</dc:description>
  <cp:lastModifiedBy>sarbani karmakar</cp:lastModifiedBy>
  <cp:revision>3</cp:revision>
  <dcterms:created xsi:type="dcterms:W3CDTF">2026-03-09T17:10:00Z</dcterms:created>
  <dcterms:modified xsi:type="dcterms:W3CDTF">2026-03-09T17:21:00Z</dcterms:modified>
</cp:coreProperties>
</file>