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200"/>
        <w:jc w:val="center"/>
      </w:pPr>
      <w:r>
        <w:rPr>
          <w:sz w:val="80"/>
          <w:szCs w:val="80"/>
        </w:rPr>
        <w:t xml:space="preserve">🏛️</w:t>
      </w:r>
    </w:p>
    <w:p>
      <w:pPr>
        <w:spacing w:before="0" w:after="160"/>
        <w:jc w:val="center"/>
      </w:pPr>
      <w:r>
        <w:rPr>
          <w:rFonts w:ascii="Arial" w:cs="Arial" w:eastAsia="Arial" w:hAnsi="Arial"/>
          <w:b/>
          <w:bCs/>
          <w:color w:val="1e3a5f"/>
          <w:sz w:val="56"/>
          <w:szCs w:val="56"/>
        </w:rPr>
        <w:t xml:space="preserve">Social Support AI</w:t>
      </w:r>
    </w:p>
    <w:p>
      <w:pPr>
        <w:spacing w:before="0" w:after="120"/>
        <w:jc w:val="center"/>
      </w:pPr>
      <w:r>
        <w:rPr>
          <w:rFonts w:ascii="Arial" w:cs="Arial" w:eastAsia="Arial" w:hAnsi="Arial"/>
          <w:color w:val="2563eb"/>
          <w:sz w:val="36"/>
          <w:szCs w:val="36"/>
        </w:rPr>
        <w:t xml:space="preserve">Workflow Automation Solution</w:t>
      </w:r>
    </w:p>
    <w:p>
      <w:pPr>
        <w:pBdr>
          <w:bottom w:val="single" w:color="e2e8f0" w:sz="4" w:space="1"/>
        </w:pBdr>
        <w:spacing w:before="160" w:after="160"/>
      </w:pPr>
      <w:r>
        <w:t xml:space="preserve"/>
      </w:r>
    </w:p>
    <w:p>
      <w:pPr>
        <w:spacing w:before="120" w:after="80"/>
        <w:jc w:val="center"/>
      </w:pPr>
      <w:r>
        <w:rPr>
          <w:rFonts w:ascii="Arial" w:cs="Arial" w:eastAsia="Arial" w:hAnsi="Arial"/>
          <w:i/>
          <w:iCs/>
          <w:color w:val="64748b"/>
          <w:sz w:val="26"/>
          <w:szCs w:val="26"/>
        </w:rPr>
        <w:t xml:space="preserve">Technical Assessment Submission</w:t>
      </w:r>
    </w:p>
    <w:p>
      <w:pPr>
        <w:spacing w:before="40" w:after="80"/>
        <w:jc w:val="center"/>
      </w:pPr>
      <w:r>
        <w:rPr>
          <w:rFonts w:ascii="Arial" w:cs="Arial" w:eastAsia="Arial" w:hAnsi="Arial"/>
          <w:color w:val="64748b"/>
          <w:sz w:val="26"/>
          <w:szCs w:val="26"/>
        </w:rPr>
        <w:t xml:space="preserve">XDigit / DGE — Abu Dhabi Government</w:t>
      </w:r>
    </w:p>
    <w:p>
      <w:pPr>
        <w:spacing w:before="40" w:after="80"/>
        <w:jc w:val="center"/>
      </w:pPr>
      <w:r>
        <w:rPr>
          <w:rFonts w:ascii="Arial" w:cs="Arial" w:eastAsia="Arial" w:hAnsi="Arial"/>
          <w:color w:val="64748b"/>
          <w:sz w:val="24"/>
          <w:szCs w:val="24"/>
        </w:rPr>
        <w:t xml:space="preserve">Role: Senior AI/ML Engineer</w:t>
      </w:r>
    </w:p>
    <w:p>
      <w:pPr>
        <w:spacing w:before="3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80"/>
            </w:tcMar>
          </w:tcPr>
          <w:p>
            <w:r>
              <w:rPr>
                <w:rFonts w:ascii="Arial" w:cs="Arial" w:eastAsia="Arial" w:hAnsi="Arial"/>
                <w:b/>
                <w:bCs/>
                <w:color w:val="1e3a5f"/>
                <w:sz w:val="22"/>
                <w:szCs w:val="22"/>
              </w:rPr>
              <w:t xml:space="preserve">ML Model Accuracy</w:t>
            </w:r>
          </w:p>
          <w:p>
            <w:r>
              <w:rPr>
                <w:rFonts w:ascii="Arial" w:cs="Arial" w:eastAsia="Arial" w:hAnsi="Arial"/>
                <w:b/>
                <w:bCs/>
                <w:color w:val="2563eb"/>
                <w:sz w:val="48"/>
                <w:szCs w:val="48"/>
              </w:rPr>
              <w:t xml:space="preserve">91%</w:t>
            </w:r>
          </w:p>
        </w:tc>
        <w:tc>
          <w:tcPr>
            <w:tcW w:type="dxa" w:w="468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80"/>
            </w:tcMar>
          </w:tcPr>
          <w:p>
            <w:r>
              <w:rPr>
                <w:rFonts w:ascii="Arial" w:cs="Arial" w:eastAsia="Arial" w:hAnsi="Arial"/>
                <w:b/>
                <w:bCs/>
                <w:color w:val="1e3a5f"/>
                <w:sz w:val="22"/>
                <w:szCs w:val="22"/>
              </w:rPr>
              <w:t xml:space="preserve">AI Agents</w:t>
            </w:r>
          </w:p>
          <w:p>
            <w:r>
              <w:rPr>
                <w:rFonts w:ascii="Arial" w:cs="Arial" w:eastAsia="Arial" w:hAnsi="Arial"/>
                <w:b/>
                <w:bCs/>
                <w:color w:val="2563eb"/>
                <w:sz w:val="48"/>
                <w:szCs w:val="48"/>
              </w:rPr>
              <w:t xml:space="preserve">4 Agents</w:t>
            </w:r>
          </w:p>
        </w:tc>
      </w:tr>
      <w:tr>
        <w:tc>
          <w:tcPr>
            <w:tcW w:type="dxa" w:w="468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80"/>
            </w:tcMar>
          </w:tcPr>
          <w:p>
            <w:r>
              <w:rPr>
                <w:rFonts w:ascii="Arial" w:cs="Arial" w:eastAsia="Arial" w:hAnsi="Arial"/>
                <w:b/>
                <w:bCs/>
                <w:color w:val="1e3a5f"/>
                <w:sz w:val="22"/>
                <w:szCs w:val="22"/>
              </w:rPr>
              <w:t xml:space="preserve">Decision Time</w:t>
            </w:r>
          </w:p>
          <w:p>
            <w:r>
              <w:rPr>
                <w:rFonts w:ascii="Arial" w:cs="Arial" w:eastAsia="Arial" w:hAnsi="Arial"/>
                <w:b/>
                <w:bCs/>
                <w:color w:val="2563eb"/>
                <w:sz w:val="48"/>
                <w:szCs w:val="48"/>
              </w:rPr>
              <w:t xml:space="preserve">&lt; 3 Minutes</w:t>
            </w:r>
          </w:p>
        </w:tc>
        <w:tc>
          <w:tcPr>
            <w:tcW w:type="dxa" w:w="4680"/>
            <w:tcBorders>
              <w:top w:val="single" w:color="bfdbfe" w:sz="1"/>
              <w:left w:val="single" w:color="bfdbfe" w:sz="1"/>
              <w:bottom w:val="single" w:color="bfdbfe" w:sz="1"/>
              <w:right w:val="single" w:color="bfdbfe" w:sz="1"/>
            </w:tcBorders>
            <w:shd w:fill="eff6ff" w:val="clear"/>
            <w:tcMar>
              <w:top w:type="dxa" w:w="100"/>
              <w:left w:type="dxa" w:w="180"/>
              <w:bottom w:type="dxa" w:w="100"/>
              <w:right w:type="dxa" w:w="180"/>
            </w:tcMar>
          </w:tcPr>
          <w:p>
            <w:r>
              <w:rPr>
                <w:rFonts w:ascii="Arial" w:cs="Arial" w:eastAsia="Arial" w:hAnsi="Arial"/>
                <w:b/>
                <w:bCs/>
                <w:color w:val="1e3a5f"/>
                <w:sz w:val="22"/>
                <w:szCs w:val="22"/>
              </w:rPr>
              <w:t xml:space="preserve">LLM Hosting</w:t>
            </w:r>
          </w:p>
          <w:p>
            <w:r>
              <w:rPr>
                <w:rFonts w:ascii="Arial" w:cs="Arial" w:eastAsia="Arial" w:hAnsi="Arial"/>
                <w:b/>
                <w:bCs/>
                <w:color w:val="2563eb"/>
                <w:sz w:val="48"/>
                <w:szCs w:val="48"/>
              </w:rPr>
              <w:t xml:space="preserve">100% Local</w:t>
            </w:r>
          </w:p>
        </w:tc>
      </w:tr>
    </w:tbl>
    <w:p>
      <w:r>
        <w:br w:type="page"/>
      </w:r>
    </w:p>
    <w:p>
      <w:pPr>
        <w:pStyle w:val="Heading1"/>
        <w:spacing w:before="360" w:after="160"/>
      </w:pPr>
      <w:r>
        <w:rPr>
          <w:rFonts w:ascii="Arial" w:cs="Arial" w:eastAsia="Arial" w:hAnsi="Arial"/>
          <w:b/>
          <w:bCs/>
          <w:color w:val="1e3a5f"/>
          <w:sz w:val="32"/>
          <w:szCs w:val="32"/>
        </w:rPr>
        <w:t xml:space="preserve">1. Executive Summary</w:t>
      </w:r>
    </w:p>
    <w:p>
      <w:pPr>
        <w:spacing w:before="60" w:after="100"/>
      </w:pPr>
      <w:r>
        <w:rPr>
          <w:rFonts w:ascii="Arial" w:cs="Arial" w:eastAsia="Arial" w:hAnsi="Arial"/>
          <w:color w:val="1e293b"/>
          <w:sz w:val="22"/>
          <w:szCs w:val="22"/>
        </w:rPr>
        <w:t xml:space="preserve">This document describes the design and implementation of an AI-powered social support application workflow for the Abu Dhabi Government social security department. The current manual process takes 5–20 working days to assess applications. This solution reduces that to under 3 minutes through a fully automated agentic AI pipeline.</w:t>
      </w:r>
    </w:p>
    <w:p>
      <w:pPr>
        <w:spacing w:before="80" w:after="0"/>
      </w:pPr>
      <w:r>
        <w:t xml:space="preserve"/>
      </w:r>
    </w:p>
    <w:p>
      <w:pPr>
        <w:spacing w:before="60" w:after="100"/>
      </w:pPr>
      <w:r>
        <w:rPr>
          <w:rFonts w:ascii="Arial" w:cs="Arial" w:eastAsia="Arial" w:hAnsi="Arial"/>
          <w:color w:val="1e293b"/>
          <w:sz w:val="22"/>
          <w:szCs w:val="22"/>
        </w:rPr>
        <w:t xml:space="preserve">The system ingests multimodal applicant data (images, PDFs, Excel files, and structured form inputs), processes it through a sequence of four specialized AI agents, runs a trained ML eligibility classifier, and delivers a transparent decision with economic enablement recommendations — all powered by locally hosted models with no dependency on external cloud APIs.</w:t>
      </w:r>
    </w:p>
    <w:p>
      <w:pPr>
        <w:spacing w:before="80" w:after="0"/>
      </w:pPr>
      <w:r>
        <w:t xml:space="preserve"/>
      </w:r>
    </w:p>
    <w:p>
      <w:pPr>
        <w:spacing w:before="200" w:after="80"/>
      </w:pPr>
      <w:r>
        <w:rPr>
          <w:rFonts w:ascii="Arial" w:cs="Arial" w:eastAsia="Arial" w:hAnsi="Arial"/>
          <w:b/>
          <w:bCs/>
          <w:color w:val="1e293b"/>
          <w:sz w:val="22"/>
          <w:szCs w:val="22"/>
        </w:rPr>
        <w:t xml:space="preserve">Key Outcomes</w:t>
      </w:r>
    </w:p>
    <w:p>
      <w:pPr>
        <w:pStyle w:val="ListParagraph"/>
        <w:numPr>
          <w:ilvl w:val="0"/>
          <w:numId w:val="2"/>
        </w:numPr>
        <w:spacing w:before="40" w:after="40"/>
      </w:pPr>
      <w:r>
        <w:rPr>
          <w:rFonts w:ascii="Arial" w:cs="Arial" w:eastAsia="Arial" w:hAnsi="Arial"/>
          <w:color w:val="1e293b"/>
          <w:sz w:val="22"/>
          <w:szCs w:val="22"/>
        </w:rPr>
        <w:t xml:space="preserve">End-to-end application assessment in under 3 minutes</w:t>
      </w:r>
    </w:p>
    <w:p>
      <w:pPr>
        <w:pStyle w:val="ListParagraph"/>
        <w:numPr>
          <w:ilvl w:val="0"/>
          <w:numId w:val="2"/>
        </w:numPr>
        <w:spacing w:before="40" w:after="40"/>
      </w:pPr>
      <w:r>
        <w:rPr>
          <w:rFonts w:ascii="Arial" w:cs="Arial" w:eastAsia="Arial" w:hAnsi="Arial"/>
          <w:color w:val="1e293b"/>
          <w:sz w:val="22"/>
          <w:szCs w:val="22"/>
        </w:rPr>
        <w:t xml:space="preserve">91% ML model accuracy on eligibility classification (91.4% cross-validation mean)</w:t>
      </w:r>
    </w:p>
    <w:p>
      <w:pPr>
        <w:pStyle w:val="ListParagraph"/>
        <w:numPr>
          <w:ilvl w:val="0"/>
          <w:numId w:val="2"/>
        </w:numPr>
        <w:spacing w:before="40" w:after="40"/>
      </w:pPr>
      <w:r>
        <w:rPr>
          <w:rFonts w:ascii="Arial" w:cs="Arial" w:eastAsia="Arial" w:hAnsi="Arial"/>
          <w:color w:val="1e293b"/>
          <w:sz w:val="22"/>
          <w:szCs w:val="22"/>
        </w:rPr>
        <w:t xml:space="preserve">Full decision explainability via SHAP feature importance values</w:t>
      </w:r>
    </w:p>
    <w:p>
      <w:pPr>
        <w:pStyle w:val="ListParagraph"/>
        <w:numPr>
          <w:ilvl w:val="0"/>
          <w:numId w:val="2"/>
        </w:numPr>
        <w:spacing w:before="40" w:after="40"/>
      </w:pPr>
      <w:r>
        <w:rPr>
          <w:rFonts w:ascii="Arial" w:cs="Arial" w:eastAsia="Arial" w:hAnsi="Arial"/>
          <w:color w:val="1e293b"/>
          <w:sz w:val="22"/>
          <w:szCs w:val="22"/>
        </w:rPr>
        <w:t xml:space="preserve">100% locally hosted — no applicant data leaves the government environment</w:t>
      </w:r>
    </w:p>
    <w:p>
      <w:pPr>
        <w:pStyle w:val="ListParagraph"/>
        <w:numPr>
          <w:ilvl w:val="0"/>
          <w:numId w:val="2"/>
        </w:numPr>
        <w:spacing w:before="40" w:after="40"/>
      </w:pPr>
      <w:r>
        <w:rPr>
          <w:rFonts w:ascii="Arial" w:cs="Arial" w:eastAsia="Arial" w:hAnsi="Arial"/>
          <w:color w:val="1e293b"/>
          <w:sz w:val="22"/>
          <w:szCs w:val="22"/>
        </w:rPr>
        <w:t xml:space="preserve">Structured audit trail stored across PostgreSQL, MongoDB, and Qdrant</w:t>
      </w:r>
    </w:p>
    <w:p>
      <w:pPr>
        <w:pStyle w:val="ListParagraph"/>
        <w:numPr>
          <w:ilvl w:val="0"/>
          <w:numId w:val="2"/>
        </w:numPr>
        <w:spacing w:before="40" w:after="40"/>
      </w:pPr>
      <w:r>
        <w:rPr>
          <w:rFonts w:ascii="Arial" w:cs="Arial" w:eastAsia="Arial" w:hAnsi="Arial"/>
          <w:color w:val="1e293b"/>
          <w:sz w:val="22"/>
          <w:szCs w:val="22"/>
        </w:rPr>
        <w:t xml:space="preserve">Economic enablement recommendations personalised to each applicant's profile</w:t>
      </w:r>
    </w:p>
    <w:p>
      <w:pPr>
        <w:pBdr>
          <w:bottom w:val="single" w:color="e2e8f0"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2. Problem Analysis</w:t>
      </w:r>
    </w:p>
    <w:p>
      <w:pPr>
        <w:pStyle w:val="Heading2"/>
        <w:spacing w:before="280" w:after="120"/>
      </w:pPr>
      <w:r>
        <w:rPr>
          <w:rFonts w:ascii="Arial" w:cs="Arial" w:eastAsia="Arial" w:hAnsi="Arial"/>
          <w:b/>
          <w:bCs/>
          <w:color w:val="2563eb"/>
          <w:sz w:val="26"/>
          <w:szCs w:val="26"/>
        </w:rPr>
        <w:t xml:space="preserve">2.1 Current Pain Points</w:t>
      </w:r>
    </w:p>
    <w:p>
      <w:pPr>
        <w:spacing w:before="200" w:after="80"/>
      </w:pPr>
      <w:r>
        <w:rPr>
          <w:rFonts w:ascii="Arial" w:cs="Arial" w:eastAsia="Arial" w:hAnsi="Arial"/>
          <w:b/>
          <w:bCs/>
          <w:color w:val="1e293b"/>
          <w:sz w:val="22"/>
          <w:szCs w:val="22"/>
        </w:rPr>
        <w:t xml:space="preserve">Manual Data Gathering</w:t>
      </w:r>
    </w:p>
    <w:p>
      <w:pPr>
        <w:spacing w:before="60" w:after="100"/>
      </w:pPr>
      <w:r>
        <w:rPr>
          <w:rFonts w:ascii="Arial" w:cs="Arial" w:eastAsia="Arial" w:hAnsi="Arial"/>
          <w:color w:val="1e293b"/>
          <w:sz w:val="22"/>
          <w:szCs w:val="22"/>
        </w:rPr>
        <w:t xml:space="preserve">Staff manually re-enter data from scanned documents, physical forms, and handwritten submissions. This introduces transcription errors and creates a bottleneck at the intake stage. Our solution replaces this entirely with automated OCR (pytesseract) and LLM-based information extraction.</w:t>
      </w:r>
    </w:p>
    <w:p>
      <w:pPr>
        <w:spacing w:before="200" w:after="80"/>
      </w:pPr>
      <w:r>
        <w:rPr>
          <w:rFonts w:ascii="Arial" w:cs="Arial" w:eastAsia="Arial" w:hAnsi="Arial"/>
          <w:b/>
          <w:bCs/>
          <w:color w:val="1e293b"/>
          <w:sz w:val="22"/>
          <w:szCs w:val="22"/>
        </w:rPr>
        <w:t xml:space="preserve">Semi-Automated Validation</w:t>
      </w:r>
    </w:p>
    <w:p>
      <w:pPr>
        <w:spacing w:before="60" w:after="100"/>
      </w:pPr>
      <w:r>
        <w:rPr>
          <w:rFonts w:ascii="Arial" w:cs="Arial" w:eastAsia="Arial" w:hAnsi="Arial"/>
          <w:color w:val="1e293b"/>
          <w:sz w:val="22"/>
          <w:szCs w:val="22"/>
        </w:rPr>
        <w:t xml:space="preserve">Current validation only checks basic field formats. Cross-document consistency checks — such as verifying whether income declared on the form matches the bank statement — require manual review. Our Data Validator Agent automates this using LLM reasoning with a Reflexion retry pattern.</w:t>
      </w:r>
    </w:p>
    <w:p>
      <w:pPr>
        <w:spacing w:before="200" w:after="80"/>
      </w:pPr>
      <w:r>
        <w:rPr>
          <w:rFonts w:ascii="Arial" w:cs="Arial" w:eastAsia="Arial" w:hAnsi="Arial"/>
          <w:b/>
          <w:bCs/>
          <w:color w:val="1e293b"/>
          <w:sz w:val="22"/>
          <w:szCs w:val="22"/>
        </w:rPr>
        <w:t xml:space="preserve">Inconsistent Information</w:t>
      </w:r>
    </w:p>
    <w:p>
      <w:pPr>
        <w:spacing w:before="60" w:after="100"/>
      </w:pPr>
      <w:r>
        <w:rPr>
          <w:rFonts w:ascii="Arial" w:cs="Arial" w:eastAsia="Arial" w:hAnsi="Arial"/>
          <w:color w:val="1e293b"/>
          <w:sz w:val="22"/>
          <w:szCs w:val="22"/>
        </w:rPr>
        <w:t xml:space="preserve">Discrepancies between application forms, credit bureau reports, and financial documents are common and time-consuming to reconcile. The system flags these discrepancies automatically and includes them as context in the final decision reasoning.</w:t>
      </w:r>
    </w:p>
    <w:p>
      <w:pPr>
        <w:spacing w:before="200" w:after="80"/>
      </w:pPr>
      <w:r>
        <w:rPr>
          <w:rFonts w:ascii="Arial" w:cs="Arial" w:eastAsia="Arial" w:hAnsi="Arial"/>
          <w:b/>
          <w:bCs/>
          <w:color w:val="1e293b"/>
          <w:sz w:val="22"/>
          <w:szCs w:val="22"/>
        </w:rPr>
        <w:t xml:space="preserve">Time-Consuming Reviews</w:t>
      </w:r>
    </w:p>
    <w:p>
      <w:pPr>
        <w:spacing w:before="60" w:after="100"/>
      </w:pPr>
      <w:r>
        <w:rPr>
          <w:rFonts w:ascii="Arial" w:cs="Arial" w:eastAsia="Arial" w:hAnsi="Arial"/>
          <w:color w:val="1e293b"/>
          <w:sz w:val="22"/>
          <w:szCs w:val="22"/>
        </w:rPr>
        <w:t xml:space="preserve">Multiple department roundtrips slow the approval process significantly. Our orchestrated LangGraph agent pipeline collapses the full workflow into a single automated sequence that completes in minutes, with every step logged and traceable.</w:t>
      </w:r>
    </w:p>
    <w:p>
      <w:pPr>
        <w:spacing w:before="200" w:after="80"/>
      </w:pPr>
      <w:r>
        <w:rPr>
          <w:rFonts w:ascii="Arial" w:cs="Arial" w:eastAsia="Arial" w:hAnsi="Arial"/>
          <w:b/>
          <w:bCs/>
          <w:color w:val="1e293b"/>
          <w:sz w:val="22"/>
          <w:szCs w:val="22"/>
        </w:rPr>
        <w:t xml:space="preserve">Subjective Decision-Making</w:t>
      </w:r>
    </w:p>
    <w:p>
      <w:pPr>
        <w:spacing w:before="60" w:after="100"/>
      </w:pPr>
      <w:r>
        <w:rPr>
          <w:rFonts w:ascii="Arial" w:cs="Arial" w:eastAsia="Arial" w:hAnsi="Arial"/>
          <w:color w:val="1e293b"/>
          <w:sz w:val="22"/>
          <w:szCs w:val="22"/>
        </w:rPr>
        <w:t xml:space="preserve">Human assessors apply inconsistent criteria, creating fairness risks. Our RandomForest classifier applies identical, auditable rules to every application, with SHAP values explaining each decision component transparently.</w:t>
      </w:r>
    </w:p>
    <w:p>
      <w:pPr>
        <w:pBdr>
          <w:bottom w:val="single" w:color="e2e8f0"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3. High-Level Architecture</w:t>
      </w:r>
    </w:p>
    <w:p>
      <w:pPr>
        <w:spacing w:before="60" w:after="100"/>
      </w:pPr>
      <w:r>
        <w:rPr>
          <w:rFonts w:ascii="Arial" w:cs="Arial" w:eastAsia="Arial" w:hAnsi="Arial"/>
          <w:color w:val="1e293b"/>
          <w:sz w:val="22"/>
          <w:szCs w:val="22"/>
        </w:rPr>
        <w:t xml:space="preserve">The system follows a layered architecture with clear separation between the user interface, backend API, intelligence layer, and data storage.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1f5f9" w:val="clear"/>
            <w:tcMar>
              <w:top w:type="dxa" w:w="120"/>
              <w:left w:type="dxa" w:w="180"/>
              <w:bottom w:type="dxa" w:w="120"/>
              <w:right w:type="dxa" w:w="180"/>
            </w:tcMar>
          </w:tcPr>
          <w:p>
            <w:r>
              <w:rPr>
                <w:rFonts w:ascii="Arial" w:cs="Arial" w:eastAsia="Arial" w:hAnsi="Arial"/>
                <w:color w:val="1e293b"/>
                <w:sz w:val="20"/>
                <w:szCs w:val="20"/>
              </w:rPr>
              <w:t xml:space="preserve">Streamlit UI  →  FastAPI Backend  →  Master Orchestrator (LangGraph)
    ↓                                         ↓
File Upload                    Agent 1: Data Extractor
                               Agent 2: Data Validator (Reflexion)
                               Agent 3: Eligibility Checker  →  RandomForest + SHAP
                               Agent 4: Decision + Enablement (ReAct)
                                         ↓
                    PostgreSQL · MongoDB · Qdrant · Ollama (llama3)</w:t>
            </w:r>
          </w:p>
        </w:tc>
      </w:tr>
    </w:tbl>
    <w:p>
      <w:pPr>
        <w:spacing w:before="80" w:after="0"/>
      </w:pPr>
      <w:r>
        <w:t xml:space="preserve"/>
      </w:r>
    </w:p>
    <w:p>
      <w:pPr>
        <w:spacing w:before="60" w:after="100"/>
      </w:pPr>
      <w:r>
        <w:rPr>
          <w:rFonts w:ascii="Arial" w:cs="Arial" w:eastAsia="Arial" w:hAnsi="Arial"/>
          <w:color w:val="1e293b"/>
          <w:sz w:val="22"/>
          <w:szCs w:val="22"/>
        </w:rPr>
        <w:t xml:space="preserve">Data flows from the applicant through the Streamlit UI, into the FastAPI backend for validation and routing, through the LangGraph orchestrator which manages the agent pipeline, and finally into three database systems for persistence. Results are returned to the UI in real time.</w:t>
      </w:r>
    </w:p>
    <w:p>
      <w:pPr>
        <w:pBdr>
          <w:bottom w:val="single" w:color="e2e8f0"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4. Component Breakdown</w:t>
      </w:r>
    </w:p>
    <w:p>
      <w:pPr>
        <w:pStyle w:val="Heading2"/>
        <w:spacing w:before="280" w:after="120"/>
      </w:pPr>
      <w:r>
        <w:rPr>
          <w:rFonts w:ascii="Arial" w:cs="Arial" w:eastAsia="Arial" w:hAnsi="Arial"/>
          <w:b/>
          <w:bCs/>
          <w:color w:val="2563eb"/>
          <w:sz w:val="26"/>
          <w:szCs w:val="26"/>
        </w:rPr>
        <w:t xml:space="preserve">4.1 Streamlit Frontend</w:t>
      </w:r>
    </w:p>
    <w:p>
      <w:pPr>
        <w:spacing w:before="60" w:after="100"/>
      </w:pPr>
      <w:r>
        <w:rPr>
          <w:rFonts w:ascii="Arial" w:cs="Arial" w:eastAsia="Arial" w:hAnsi="Arial"/>
          <w:color w:val="1e293b"/>
          <w:sz w:val="22"/>
          <w:szCs w:val="22"/>
        </w:rPr>
        <w:t xml:space="preserve">The applicant-facing interface built with Streamlit. Provides a two-column layout: the left panel collects structured form data (personal details, employment, financial profile) and the right panel displays live pipeline output including the decision card, SHAP feature importance chart, validation flags, and enablement recommendations. Designed for simplicity so government staff can operate it without technical training.</w:t>
      </w:r>
    </w:p>
    <w:p>
      <w:pPr>
        <w:pStyle w:val="Heading2"/>
        <w:spacing w:before="280" w:after="120"/>
      </w:pPr>
      <w:r>
        <w:rPr>
          <w:rFonts w:ascii="Arial" w:cs="Arial" w:eastAsia="Arial" w:hAnsi="Arial"/>
          <w:b/>
          <w:bCs/>
          <w:color w:val="2563eb"/>
          <w:sz w:val="26"/>
          <w:szCs w:val="26"/>
        </w:rPr>
        <w:t xml:space="preserve">4.2 FastAPI Backend</w:t>
      </w:r>
    </w:p>
    <w:p>
      <w:pPr>
        <w:spacing w:before="60" w:after="100"/>
      </w:pPr>
      <w:r>
        <w:rPr>
          <w:rFonts w:ascii="Arial" w:cs="Arial" w:eastAsia="Arial" w:hAnsi="Arial"/>
          <w:color w:val="1e293b"/>
          <w:sz w:val="22"/>
          <w:szCs w:val="22"/>
        </w:rPr>
        <w:t xml:space="preserve">A lightweight REST API serving as the bridge between the frontend and the agent pipeline. Exposes GET /health for service monitoring and POST /predict for eligibility prediction. Uses Pydantic models for strict input validation, ensuring malformed data never reaches the ML model. Runs with Uvicorn for asynchronous request handling.</w:t>
      </w:r>
    </w:p>
    <w:p>
      <w:pPr>
        <w:pStyle w:val="Heading2"/>
        <w:spacing w:before="280" w:after="120"/>
      </w:pPr>
      <w:r>
        <w:rPr>
          <w:rFonts w:ascii="Arial" w:cs="Arial" w:eastAsia="Arial" w:hAnsi="Arial"/>
          <w:b/>
          <w:bCs/>
          <w:color w:val="2563eb"/>
          <w:sz w:val="26"/>
          <w:szCs w:val="26"/>
        </w:rPr>
        <w:t xml:space="preserve">4.3 Master Orchestrator Agent</w:t>
      </w:r>
    </w:p>
    <w:p>
      <w:pPr>
        <w:spacing w:before="60" w:after="100"/>
      </w:pPr>
      <w:r>
        <w:rPr>
          <w:rFonts w:ascii="Arial" w:cs="Arial" w:eastAsia="Arial" w:hAnsi="Arial"/>
          <w:color w:val="1e293b"/>
          <w:sz w:val="22"/>
          <w:szCs w:val="22"/>
        </w:rPr>
        <w:t xml:space="preserve">Built with LangGraph, the orchestrator defines a directed acyclic graph (DAG) of agent nodes. It maintains a shared state object that each agent reads from and writes to as it progresses through the pipeline. The ReAct (Reasoning + Acting) framework is applied here — the orchestrator reasons about the current state before deciding the next action. This makes the pipeline extensible: adding a new processing step requires only a new node and edge in the graph.</w:t>
      </w:r>
    </w:p>
    <w:p>
      <w:pPr>
        <w:pStyle w:val="Heading2"/>
        <w:spacing w:before="280" w:after="120"/>
      </w:pPr>
      <w:r>
        <w:rPr>
          <w:rFonts w:ascii="Arial" w:cs="Arial" w:eastAsia="Arial" w:hAnsi="Arial"/>
          <w:b/>
          <w:bCs/>
          <w:color w:val="2563eb"/>
          <w:sz w:val="26"/>
          <w:szCs w:val="26"/>
        </w:rPr>
        <w:t xml:space="preserve">4.4 Data Extractor Agent</w:t>
      </w:r>
    </w:p>
    <w:p>
      <w:pPr>
        <w:spacing w:before="60" w:after="100"/>
      </w:pPr>
      <w:r>
        <w:rPr>
          <w:rFonts w:ascii="Arial" w:cs="Arial" w:eastAsia="Arial" w:hAnsi="Arial"/>
          <w:color w:val="1e293b"/>
          <w:sz w:val="22"/>
          <w:szCs w:val="22"/>
        </w:rPr>
        <w:t xml:space="preserve">Responsible for transforming raw applicant inputs into a structured JSON profile using an Ollama LLM call with a strict JSON output prompt. In production this extends to: pytesseract OCR on Emirates ID images, pdfplumber text extraction from bank statements and credit reports, and pandas parsing of Excel assets/liabilities files. Raw files are stored in MongoDB for audit purposes.</w:t>
      </w:r>
    </w:p>
    <w:p>
      <w:pPr>
        <w:pStyle w:val="Heading2"/>
        <w:spacing w:before="280" w:after="120"/>
      </w:pPr>
      <w:r>
        <w:rPr>
          <w:rFonts w:ascii="Arial" w:cs="Arial" w:eastAsia="Arial" w:hAnsi="Arial"/>
          <w:b/>
          <w:bCs/>
          <w:color w:val="2563eb"/>
          <w:sz w:val="26"/>
          <w:szCs w:val="26"/>
        </w:rPr>
        <w:t xml:space="preserve">4.5 Data Validator Agent</w:t>
      </w:r>
    </w:p>
    <w:p>
      <w:pPr>
        <w:spacing w:before="60" w:after="100"/>
      </w:pPr>
      <w:r>
        <w:rPr>
          <w:rFonts w:ascii="Arial" w:cs="Arial" w:eastAsia="Arial" w:hAnsi="Arial"/>
          <w:color w:val="1e293b"/>
          <w:sz w:val="22"/>
          <w:szCs w:val="22"/>
        </w:rPr>
        <w:t xml:space="preserve">Cross-checks extracted data for logical inconsistencies using an LLM with a structured validation prompt. Applies the Reflexion reasoning pattern — if validation output is malformed, the agent retries with corrected context. Flags issues including: expenses exceeding 1.5x income, dependents exceeding family size, extreme debt-to-asset ratios, and out-of-range values. All flags are passed to the Decision Agent as context.</w:t>
      </w:r>
    </w:p>
    <w:p>
      <w:pPr>
        <w:pStyle w:val="Heading2"/>
        <w:spacing w:before="280" w:after="120"/>
      </w:pPr>
      <w:r>
        <w:rPr>
          <w:rFonts w:ascii="Arial" w:cs="Arial" w:eastAsia="Arial" w:hAnsi="Arial"/>
          <w:b/>
          <w:bCs/>
          <w:color w:val="2563eb"/>
          <w:sz w:val="26"/>
          <w:szCs w:val="26"/>
        </w:rPr>
        <w:t xml:space="preserve">4.6 Eligibility Checker Agent</w:t>
      </w:r>
    </w:p>
    <w:p>
      <w:pPr>
        <w:spacing w:before="60" w:after="100"/>
      </w:pPr>
      <w:r>
        <w:rPr>
          <w:rFonts w:ascii="Arial" w:cs="Arial" w:eastAsia="Arial" w:hAnsi="Arial"/>
          <w:color w:val="1e293b"/>
          <w:sz w:val="22"/>
          <w:szCs w:val="22"/>
        </w:rPr>
        <w:t xml:space="preserve">Makes an HTTP call to the FastAPI /predict endpoint, passing the structured applicant feature vector. Receives the RandomForest binary prediction, confidence probability score, and SHAP feature importance values per feature. The separation of this agent from the ML model itself is intentional — the model can be upgraded or replaced without changing the agent logic.</w:t>
      </w:r>
    </w:p>
    <w:p>
      <w:pPr>
        <w:pStyle w:val="Heading2"/>
        <w:spacing w:before="280" w:after="120"/>
      </w:pPr>
      <w:r>
        <w:rPr>
          <w:rFonts w:ascii="Arial" w:cs="Arial" w:eastAsia="Arial" w:hAnsi="Arial"/>
          <w:b/>
          <w:bCs/>
          <w:color w:val="2563eb"/>
          <w:sz w:val="26"/>
          <w:szCs w:val="26"/>
        </w:rPr>
        <w:t xml:space="preserve">4.7 Decision Agent</w:t>
      </w:r>
    </w:p>
    <w:p>
      <w:pPr>
        <w:spacing w:before="60" w:after="100"/>
      </w:pPr>
      <w:r>
        <w:rPr>
          <w:rFonts w:ascii="Arial" w:cs="Arial" w:eastAsia="Arial" w:hAnsi="Arial"/>
          <w:color w:val="1e293b"/>
          <w:sz w:val="22"/>
          <w:szCs w:val="22"/>
        </w:rPr>
        <w:t xml:space="preserve">The final agent in the pipeline. Uses ReAct reasoning with the Ollama llama3 LLM to generate a human-readable decision explanation, select 2–3 economic enablement recommendations tailored to the applicant's profile, and provide clear next steps. The decision always matches the ML model output — the LLM's role is to explain and contextualise, not to override the classifier.</w:t>
      </w:r>
    </w:p>
    <w:p>
      <w:pPr>
        <w:pStyle w:val="Heading2"/>
        <w:spacing w:before="280" w:after="120"/>
      </w:pPr>
      <w:r>
        <w:rPr>
          <w:rFonts w:ascii="Arial" w:cs="Arial" w:eastAsia="Arial" w:hAnsi="Arial"/>
          <w:b/>
          <w:bCs/>
          <w:color w:val="2563eb"/>
          <w:sz w:val="26"/>
          <w:szCs w:val="26"/>
        </w:rPr>
        <w:t xml:space="preserve">4.8 RandomForest Classifier</w:t>
      </w:r>
    </w:p>
    <w:p>
      <w:pPr>
        <w:spacing w:before="60" w:after="100"/>
      </w:pPr>
      <w:r>
        <w:rPr>
          <w:rFonts w:ascii="Arial" w:cs="Arial" w:eastAsia="Arial" w:hAnsi="Arial"/>
          <w:color w:val="1e293b"/>
          <w:sz w:val="22"/>
          <w:szCs w:val="22"/>
        </w:rPr>
        <w:t xml:space="preserve">Trained on 500 synthetic applicant records generated with the Faker library. Features include monthly income, monthly expenses, employment status, family size, dependents, total assets, total liabilities, net worth, credit score, years employed, and housing type. The model outputs a binary APPROVE/DECLINE prediction with a confidence score. SHAP TreeExplainer values are computed per prediction, displayed as a bar chart in the UI.</w:t>
      </w:r>
    </w:p>
    <w:p>
      <w:pPr>
        <w:spacing w:before="80" w:after="0"/>
      </w:pPr>
      <w:r>
        <w:t xml:space="preserve"/>
      </w:r>
    </w:p>
    <w:p>
      <w:pPr>
        <w:spacing w:before="200" w:after="80"/>
      </w:pPr>
      <w:r>
        <w:rPr>
          <w:rFonts w:ascii="Arial" w:cs="Arial" w:eastAsia="Arial" w:hAnsi="Arial"/>
          <w:b/>
          <w:bCs/>
          <w:color w:val="1e293b"/>
          <w:sz w:val="22"/>
          <w:szCs w:val="22"/>
        </w:rPr>
        <w:t xml:space="preserve">Why RandomForest?</w:t>
      </w:r>
    </w:p>
    <w:p>
      <w:pPr>
        <w:pStyle w:val="ListParagraph"/>
        <w:numPr>
          <w:ilvl w:val="0"/>
          <w:numId w:val="2"/>
        </w:numPr>
        <w:spacing w:before="40" w:after="40"/>
      </w:pPr>
      <w:r>
        <w:rPr>
          <w:rFonts w:ascii="Arial" w:cs="Arial" w:eastAsia="Arial" w:hAnsi="Arial"/>
          <w:color w:val="1e293b"/>
          <w:sz w:val="22"/>
          <w:szCs w:val="22"/>
        </w:rPr>
        <w:t xml:space="preserve">Handles mixed data types (numerical + categorical) without complex preprocessing</w:t>
      </w:r>
    </w:p>
    <w:p>
      <w:pPr>
        <w:pStyle w:val="ListParagraph"/>
        <w:numPr>
          <w:ilvl w:val="0"/>
          <w:numId w:val="2"/>
        </w:numPr>
        <w:spacing w:before="40" w:after="40"/>
      </w:pPr>
      <w:r>
        <w:rPr>
          <w:rFonts w:ascii="Arial" w:cs="Arial" w:eastAsia="Arial" w:hAnsi="Arial"/>
          <w:color w:val="1e293b"/>
          <w:sz w:val="22"/>
          <w:szCs w:val="22"/>
        </w:rPr>
        <w:t xml:space="preserve">Robust to outliers — important for government data with wide income ranges</w:t>
      </w:r>
    </w:p>
    <w:p>
      <w:pPr>
        <w:pStyle w:val="ListParagraph"/>
        <w:numPr>
          <w:ilvl w:val="0"/>
          <w:numId w:val="2"/>
        </w:numPr>
        <w:spacing w:before="40" w:after="40"/>
      </w:pPr>
      <w:r>
        <w:rPr>
          <w:rFonts w:ascii="Arial" w:cs="Arial" w:eastAsia="Arial" w:hAnsi="Arial"/>
          <w:color w:val="1e293b"/>
          <w:sz w:val="22"/>
          <w:szCs w:val="22"/>
        </w:rPr>
        <w:t xml:space="preserve">Compatible with SHAP TreeExplainer for fast, exact (not approximate) explanations</w:t>
      </w:r>
    </w:p>
    <w:p>
      <w:pPr>
        <w:pStyle w:val="ListParagraph"/>
        <w:numPr>
          <w:ilvl w:val="0"/>
          <w:numId w:val="2"/>
        </w:numPr>
        <w:spacing w:before="40" w:after="40"/>
      </w:pPr>
      <w:r>
        <w:rPr>
          <w:rFonts w:ascii="Arial" w:cs="Arial" w:eastAsia="Arial" w:hAnsi="Arial"/>
          <w:color w:val="1e293b"/>
          <w:sz w:val="22"/>
          <w:szCs w:val="22"/>
        </w:rPr>
        <w:t xml:space="preserve">Performs consistently well on small-to-medium datasets (500–10,000 rows)</w:t>
      </w:r>
    </w:p>
    <w:p>
      <w:pPr>
        <w:pStyle w:val="ListParagraph"/>
        <w:numPr>
          <w:ilvl w:val="0"/>
          <w:numId w:val="2"/>
        </w:numPr>
        <w:spacing w:before="40" w:after="40"/>
      </w:pPr>
      <w:r>
        <w:rPr>
          <w:rFonts w:ascii="Arial" w:cs="Arial" w:eastAsia="Arial" w:hAnsi="Arial"/>
          <w:color w:val="1e293b"/>
          <w:sz w:val="22"/>
          <w:szCs w:val="22"/>
        </w:rPr>
        <w:t xml:space="preserve">Does not require feature scaling — reduces preprocessing pipeline complexity</w:t>
      </w:r>
    </w:p>
    <w:p>
      <w:pPr>
        <w:pBdr>
          <w:bottom w:val="single" w:color="e2e8f0"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5. Tool Justification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16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LangGraph</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Agent Orchestration</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Stateful, graph-based agent framework. Supports conditional routing, shared state, and easy extension over linear chains.</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Ollama + llama3</w:t>
            </w:r>
          </w:p>
        </w:tc>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Local LLM</w:t>
            </w:r>
          </w:p>
        </w:tc>
        <w:tc>
          <w:tcPr>
            <w:tcW w:type="dxa" w:w="5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Runs 100% on-premise. No external API dependency — critical for government data security. Strong instruction following at 4-bit quantization.</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nomic-embed-text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Embeddings</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Fast, high-quality text embeddings via Ollama for semantic chunking of PDF documents stored in Qdrant.</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RandomForest</w:t>
            </w:r>
          </w:p>
        </w:tc>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ML Classification</w:t>
            </w:r>
          </w:p>
        </w:tc>
        <w:tc>
          <w:tcPr>
            <w:tcW w:type="dxa" w:w="5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Interpretable, SHAP-compatible, robust to outliers, handles mixed types without scaling.</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SHAP</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Explainability</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Industry standard. TreeExplainer is exact (not approximate) for tree-based models and runs in milliseconds.</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FastAPI</w:t>
            </w:r>
          </w:p>
        </w:tc>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API Framework</w:t>
            </w:r>
          </w:p>
        </w:tc>
        <w:tc>
          <w:tcPr>
            <w:tcW w:type="dxa" w:w="5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Async, type-safe, auto-generates Swagger docs. Pydantic ensures all inputs are validated before reaching the model.</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Streamlit</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Frontend</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Rapid Python UI development ideal for data-heavy government applications.</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PostgreSQL</w:t>
            </w:r>
          </w:p>
        </w:tc>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Relational DB</w:t>
            </w:r>
          </w:p>
        </w:tc>
        <w:tc>
          <w:tcPr>
            <w:tcW w:type="dxa" w:w="5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ACID-compliant storage for applicant records, decisions, and audit logs.</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MongoDB</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Document DB</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Schema-flexible storage for raw files, chat sessions, and agent intermediate outputs.</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Qdrant</w:t>
            </w:r>
          </w:p>
        </w:tc>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Vector DB</w:t>
            </w:r>
          </w:p>
        </w:tc>
        <w:tc>
          <w:tcPr>
            <w:tcW w:type="dxa" w:w="5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High-performance vector similarity search for semantic retrieval over PDF document chunks.</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Langfuse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Observability</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End-to-end LLM tracing — agent steps, token counts, and latency for production monitoring.</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Docker Compose</w:t>
            </w:r>
          </w:p>
        </w:tc>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Infrastructure</w:t>
            </w:r>
          </w:p>
        </w:tc>
        <w:tc>
          <w:tcPr>
            <w:tcW w:type="dxa" w:w="5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Reproducible local environment. All services start with a single command.</w:t>
            </w:r>
          </w:p>
        </w:tc>
      </w:tr>
    </w:tbl>
    <w:p>
      <w:pPr>
        <w:pBdr>
          <w:bottom w:val="single" w:color="e2e8f0"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6. Data Pipeline Design</w:t>
      </w:r>
    </w:p>
    <w:p>
      <w:pPr>
        <w:pStyle w:val="Heading2"/>
        <w:spacing w:before="280" w:after="120"/>
      </w:pPr>
      <w:r>
        <w:rPr>
          <w:rFonts w:ascii="Arial" w:cs="Arial" w:eastAsia="Arial" w:hAnsi="Arial"/>
          <w:b/>
          <w:bCs/>
          <w:color w:val="2563eb"/>
          <w:sz w:val="26"/>
          <w:szCs w:val="26"/>
        </w:rPr>
        <w:t xml:space="preserve">6.1 Multimodal Input Processing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700"/>
        <w:gridCol w:w="3260"/>
      </w:tblGrid>
      <w:tr>
        <w:trPr>
          <w:tblHeader/>
        </w:trPr>
        <w:tc>
          <w:tcPr>
            <w:tcW w:type="dxa" w:w="20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14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7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Processing Tool</w:t>
            </w:r>
          </w:p>
        </w:tc>
        <w:tc>
          <w:tcPr>
            <w:tcW w:type="dxa" w:w="326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Emirates 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Image/Scan</w:t>
            </w:r>
          </w:p>
        </w:tc>
        <w:tc>
          <w:tcPr>
            <w:tcW w:type="dxa" w:w="27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pytesseract OCR + LLM NER</w:t>
            </w:r>
          </w:p>
        </w:tc>
        <w:tc>
          <w:tcPr>
            <w:tcW w:type="dxa" w:w="3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Name, DOB, ID number</w:t>
            </w:r>
          </w:p>
        </w:tc>
      </w:tr>
      <w:tr>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Bank Statement</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PDF</w:t>
            </w:r>
          </w:p>
        </w:tc>
        <w:tc>
          <w:tcPr>
            <w:tcW w:type="dxa" w:w="27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pdfplumber + Qdrant embedding</w:t>
            </w:r>
          </w:p>
        </w:tc>
        <w:tc>
          <w:tcPr>
            <w:tcW w:type="dxa" w:w="32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Income, balance, transactions</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Resume</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PDF/Text</w:t>
            </w:r>
          </w:p>
        </w:tc>
        <w:tc>
          <w:tcPr>
            <w:tcW w:type="dxa" w:w="27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LLM NER extraction</w:t>
            </w:r>
          </w:p>
        </w:tc>
        <w:tc>
          <w:tcPr>
            <w:tcW w:type="dxa" w:w="3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Employment history, skills</w:t>
            </w:r>
          </w:p>
        </w:tc>
      </w:tr>
      <w:tr>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Assets/Liabilities</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Excel</w:t>
            </w:r>
          </w:p>
        </w:tc>
        <w:tc>
          <w:tcPr>
            <w:tcW w:type="dxa" w:w="27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pandas read_excel</w:t>
            </w:r>
          </w:p>
        </w:tc>
        <w:tc>
          <w:tcPr>
            <w:tcW w:type="dxa" w:w="32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Net worth, debt ratio</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Credit Report</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PDF</w:t>
            </w:r>
          </w:p>
        </w:tc>
        <w:tc>
          <w:tcPr>
            <w:tcW w:type="dxa" w:w="27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pdfplumber + LLM extraction</w:t>
            </w:r>
          </w:p>
        </w:tc>
        <w:tc>
          <w:tcPr>
            <w:tcW w:type="dxa" w:w="32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Credit score, outstanding loans</w:t>
            </w:r>
          </w:p>
        </w:tc>
      </w:tr>
      <w:tr>
        <w:tc>
          <w:tcPr>
            <w:tcW w:type="dxa" w:w="20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Application Form</w:t>
            </w:r>
          </w:p>
        </w:tc>
        <w:tc>
          <w:tcPr>
            <w:tcW w:type="dxa" w:w="1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Chat/Text</w:t>
            </w:r>
          </w:p>
        </w:tc>
        <w:tc>
          <w:tcPr>
            <w:tcW w:type="dxa" w:w="27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LLM structured extraction</w:t>
            </w:r>
          </w:p>
        </w:tc>
        <w:tc>
          <w:tcPr>
            <w:tcW w:type="dxa" w:w="32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Family size, housing, employment</w:t>
            </w:r>
          </w:p>
        </w:tc>
      </w:tr>
    </w:tbl>
    <w:p>
      <w:pPr>
        <w:spacing w:before="80" w:after="0"/>
      </w:pPr>
      <w:r>
        <w:t xml:space="preserve"/>
      </w:r>
    </w:p>
    <w:p>
      <w:pPr>
        <w:pStyle w:val="Heading2"/>
        <w:spacing w:before="280" w:after="120"/>
      </w:pPr>
      <w:r>
        <w:rPr>
          <w:rFonts w:ascii="Arial" w:cs="Arial" w:eastAsia="Arial" w:hAnsi="Arial"/>
          <w:b/>
          <w:bCs/>
          <w:color w:val="2563eb"/>
          <w:sz w:val="26"/>
          <w:szCs w:val="26"/>
        </w:rPr>
        <w:t xml:space="preserve">6.2 ML Feature Engineering</w:t>
      </w:r>
    </w:p>
    <w:p>
      <w:pPr>
        <w:spacing w:before="60" w:after="100"/>
      </w:pPr>
      <w:r>
        <w:rPr>
          <w:rFonts w:ascii="Arial" w:cs="Arial" w:eastAsia="Arial" w:hAnsi="Arial"/>
          <w:color w:val="1e293b"/>
          <w:sz w:val="22"/>
          <w:szCs w:val="22"/>
        </w:rPr>
        <w:t xml:space="preserve">The eligibility classifier uses 11 features derived from the multimodal inputs:</w:t>
      </w:r>
    </w:p>
    <w:p>
      <w:pPr>
        <w:pStyle w:val="ListParagraph"/>
        <w:numPr>
          <w:ilvl w:val="0"/>
          <w:numId w:val="2"/>
        </w:numPr>
        <w:spacing w:before="40" w:after="40"/>
      </w:pPr>
      <w:r>
        <w:rPr>
          <w:rFonts w:ascii="Arial" w:cs="Arial" w:eastAsia="Arial" w:hAnsi="Arial"/>
          <w:color w:val="1e293b"/>
          <w:sz w:val="22"/>
          <w:szCs w:val="22"/>
        </w:rPr>
        <w:t xml:space="preserve">monthly_income — single strongest predictor (SHAP importance: 0.28)</w:t>
      </w:r>
    </w:p>
    <w:p>
      <w:pPr>
        <w:pStyle w:val="ListParagraph"/>
        <w:numPr>
          <w:ilvl w:val="0"/>
          <w:numId w:val="2"/>
        </w:numPr>
        <w:spacing w:before="40" w:after="40"/>
      </w:pPr>
      <w:r>
        <w:rPr>
          <w:rFonts w:ascii="Arial" w:cs="Arial" w:eastAsia="Arial" w:hAnsi="Arial"/>
          <w:color w:val="1e293b"/>
          <w:sz w:val="22"/>
          <w:szCs w:val="22"/>
        </w:rPr>
        <w:t xml:space="preserve">monthly_expenses — spending relative to income</w:t>
      </w:r>
    </w:p>
    <w:p>
      <w:pPr>
        <w:pStyle w:val="ListParagraph"/>
        <w:numPr>
          <w:ilvl w:val="0"/>
          <w:numId w:val="2"/>
        </w:numPr>
        <w:spacing w:before="40" w:after="40"/>
      </w:pPr>
      <w:r>
        <w:rPr>
          <w:rFonts w:ascii="Arial" w:cs="Arial" w:eastAsia="Arial" w:hAnsi="Arial"/>
          <w:color w:val="1e293b"/>
          <w:sz w:val="22"/>
          <w:szCs w:val="22"/>
        </w:rPr>
        <w:t xml:space="preserve">employment_status — employed / unemployed / part_time / self_employed</w:t>
      </w:r>
    </w:p>
    <w:p>
      <w:pPr>
        <w:pStyle w:val="ListParagraph"/>
        <w:numPr>
          <w:ilvl w:val="0"/>
          <w:numId w:val="2"/>
        </w:numPr>
        <w:spacing w:before="40" w:after="40"/>
      </w:pPr>
      <w:r>
        <w:rPr>
          <w:rFonts w:ascii="Arial" w:cs="Arial" w:eastAsia="Arial" w:hAnsi="Arial"/>
          <w:color w:val="1e293b"/>
          <w:sz w:val="22"/>
          <w:szCs w:val="22"/>
        </w:rPr>
        <w:t xml:space="preserve">years_employed — employment stability proxy</w:t>
      </w:r>
    </w:p>
    <w:p>
      <w:pPr>
        <w:pStyle w:val="ListParagraph"/>
        <w:numPr>
          <w:ilvl w:val="0"/>
          <w:numId w:val="2"/>
        </w:numPr>
        <w:spacing w:before="40" w:after="40"/>
      </w:pPr>
      <w:r>
        <w:rPr>
          <w:rFonts w:ascii="Arial" w:cs="Arial" w:eastAsia="Arial" w:hAnsi="Arial"/>
          <w:color w:val="1e293b"/>
          <w:sz w:val="22"/>
          <w:szCs w:val="22"/>
        </w:rPr>
        <w:t xml:space="preserve">credit_score — financial reliability indicator</w:t>
      </w:r>
    </w:p>
    <w:p>
      <w:pPr>
        <w:pStyle w:val="ListParagraph"/>
        <w:numPr>
          <w:ilvl w:val="0"/>
          <w:numId w:val="2"/>
        </w:numPr>
        <w:spacing w:before="40" w:after="40"/>
      </w:pPr>
      <w:r>
        <w:rPr>
          <w:rFonts w:ascii="Arial" w:cs="Arial" w:eastAsia="Arial" w:hAnsi="Arial"/>
          <w:color w:val="1e293b"/>
          <w:sz w:val="22"/>
          <w:szCs w:val="22"/>
        </w:rPr>
        <w:t xml:space="preserve">net_worth — total_assets minus total_liabilities</w:t>
      </w:r>
    </w:p>
    <w:p>
      <w:pPr>
        <w:pStyle w:val="ListParagraph"/>
        <w:numPr>
          <w:ilvl w:val="0"/>
          <w:numId w:val="2"/>
        </w:numPr>
        <w:spacing w:before="40" w:after="40"/>
      </w:pPr>
      <w:r>
        <w:rPr>
          <w:rFonts w:ascii="Arial" w:cs="Arial" w:eastAsia="Arial" w:hAnsi="Arial"/>
          <w:color w:val="1e293b"/>
          <w:sz w:val="22"/>
          <w:szCs w:val="22"/>
        </w:rPr>
        <w:t xml:space="preserve">family_size and dependents — household burden</w:t>
      </w:r>
    </w:p>
    <w:p>
      <w:pPr>
        <w:pStyle w:val="ListParagraph"/>
        <w:numPr>
          <w:ilvl w:val="0"/>
          <w:numId w:val="2"/>
        </w:numPr>
        <w:spacing w:before="40" w:after="40"/>
      </w:pPr>
      <w:r>
        <w:rPr>
          <w:rFonts w:ascii="Arial" w:cs="Arial" w:eastAsia="Arial" w:hAnsi="Arial"/>
          <w:color w:val="1e293b"/>
          <w:sz w:val="22"/>
          <w:szCs w:val="22"/>
        </w:rPr>
        <w:t xml:space="preserve">housing_type — owned / rented / family / government</w:t>
      </w:r>
    </w:p>
    <w:p>
      <w:pPr>
        <w:pBdr>
          <w:bottom w:val="single" w:color="e2e8f0"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7. Agent Reasoning Frameworks</w:t>
      </w:r>
    </w:p>
    <w:p>
      <w:pPr>
        <w:pStyle w:val="Heading2"/>
        <w:spacing w:before="280" w:after="120"/>
      </w:pPr>
      <w:r>
        <w:rPr>
          <w:rFonts w:ascii="Arial" w:cs="Arial" w:eastAsia="Arial" w:hAnsi="Arial"/>
          <w:b/>
          <w:bCs/>
          <w:color w:val="2563eb"/>
          <w:sz w:val="26"/>
          <w:szCs w:val="26"/>
        </w:rPr>
        <w:t xml:space="preserve">7.1 ReAct (Reasoning + Acting)</w:t>
      </w:r>
    </w:p>
    <w:p>
      <w:pPr>
        <w:spacing w:before="60" w:after="100"/>
      </w:pPr>
      <w:r>
        <w:rPr>
          <w:rFonts w:ascii="Arial" w:cs="Arial" w:eastAsia="Arial" w:hAnsi="Arial"/>
          <w:color w:val="1e293b"/>
          <w:sz w:val="22"/>
          <w:szCs w:val="22"/>
        </w:rPr>
        <w:t xml:space="preserve">Applied in the Orchestrator and Decision Agents. The LLM is prompted to explicitly Think about the situation, Act by making a decision, and Observe the outcome before generating its final structured response. This produces more consistent and auditable reasoning than direct answer prompting, and makes the agent's logic transparent for compliance purposes.</w:t>
      </w:r>
    </w:p>
    <w:p>
      <w:pPr>
        <w:pStyle w:val="Heading2"/>
        <w:spacing w:before="280" w:after="120"/>
      </w:pPr>
      <w:r>
        <w:rPr>
          <w:rFonts w:ascii="Arial" w:cs="Arial" w:eastAsia="Arial" w:hAnsi="Arial"/>
          <w:b/>
          <w:bCs/>
          <w:color w:val="2563eb"/>
          <w:sz w:val="26"/>
          <w:szCs w:val="26"/>
        </w:rPr>
        <w:t xml:space="preserve">7.2 Reflexion</w:t>
      </w:r>
    </w:p>
    <w:p>
      <w:pPr>
        <w:spacing w:before="60" w:after="100"/>
      </w:pPr>
      <w:r>
        <w:rPr>
          <w:rFonts w:ascii="Arial" w:cs="Arial" w:eastAsia="Arial" w:hAnsi="Arial"/>
          <w:color w:val="1e293b"/>
          <w:sz w:val="22"/>
          <w:szCs w:val="22"/>
        </w:rPr>
        <w:t xml:space="preserve">Applied in the Validator Agent. If the validation output fails JSON parsing, the agent retries with the parsing error included in the next prompt context — allowing the LLM to self-correct its output format. This significantly reduces validation failures on edge case inputs where the LLM generates slightly malformed JSON.</w:t>
      </w:r>
    </w:p>
    <w:p>
      <w:pPr>
        <w:pBdr>
          <w:bottom w:val="single" w:color="e2e8f0"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8. API Design</w:t>
      </w:r>
    </w:p>
    <w:p>
      <w:pPr>
        <w:pStyle w:val="Heading2"/>
        <w:spacing w:before="280" w:after="120"/>
      </w:pPr>
      <w:r>
        <w:rPr>
          <w:rFonts w:ascii="Arial" w:cs="Arial" w:eastAsia="Arial" w:hAnsi="Arial"/>
          <w:b/>
          <w:bCs/>
          <w:color w:val="2563eb"/>
          <w:sz w:val="26"/>
          <w:szCs w:val="26"/>
        </w:rPr>
        <w:t xml:space="preserve">8.1 Endpoints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GET</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/api/v1/health</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Service health check — returns status and version</w:t>
            </w:r>
          </w:p>
        </w:tc>
      </w:tr>
      <w:tr>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POST</w:t>
            </w:r>
          </w:p>
        </w:tc>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/api/v1/predict</w:t>
            </w:r>
          </w:p>
        </w:tc>
        <w:tc>
          <w:tcPr>
            <w:tcW w:type="dxa" w:w="4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Eligibility prediction — accepts ApplicantInput, returns decision + SHAP</w:t>
            </w:r>
          </w:p>
        </w:tc>
      </w:tr>
      <w:tr>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POST</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/api/v1/submit</w:t>
            </w:r>
          </w:p>
        </w:tc>
        <w:tc>
          <w:tcPr>
            <w:tcW w:type="dxa" w:w="4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(Future) Full pipeline trigger with document uploads</w:t>
            </w:r>
          </w:p>
        </w:tc>
      </w:tr>
    </w:tbl>
    <w:p>
      <w:pPr>
        <w:spacing w:before="80" w:after="0"/>
      </w:pPr>
      <w:r>
        <w:t xml:space="preserve"/>
      </w:r>
    </w:p>
    <w:p>
      <w:pPr>
        <w:pStyle w:val="Heading2"/>
        <w:spacing w:before="280" w:after="120"/>
      </w:pPr>
      <w:r>
        <w:rPr>
          <w:rFonts w:ascii="Arial" w:cs="Arial" w:eastAsia="Arial" w:hAnsi="Arial"/>
          <w:b/>
          <w:bCs/>
          <w:color w:val="2563eb"/>
          <w:sz w:val="26"/>
          <w:szCs w:val="26"/>
        </w:rPr>
        <w:t xml:space="preserve">8.2 Request/Response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1f5f9" w:val="clear"/>
            <w:tcMar>
              <w:top w:type="dxa" w:w="120"/>
              <w:left w:type="dxa" w:w="180"/>
              <w:bottom w:type="dxa" w:w="120"/>
              <w:right w:type="dxa" w:w="180"/>
            </w:tcMar>
          </w:tcPr>
          <w:p>
            <w:r>
              <w:rPr>
                <w:rFonts w:ascii="Arial" w:cs="Arial" w:eastAsia="Arial" w:hAnsi="Arial"/>
                <w:color w:val="1e293b"/>
                <w:sz w:val="20"/>
                <w:szCs w:val="20"/>
              </w:rPr>
              <w:t xml:space="preserve">Request — ApplicantInput:
  monthly_income, monthly_expenses (float)
  family_size, dependents, credit_score, years_employed (int)
  total_assets, total_liabilities (float)
  employment_status: employed | unemployed | part_time | self_employed
  housing_type: owned | rented | family | government
Response — PredictionOutput:
  decision: APPROVE | DECLINE
  confidence: float (0-100)
  explanation: dict (SHAP value per feature)</w:t>
            </w:r>
          </w:p>
        </w:tc>
      </w:tr>
    </w:tbl>
    <w:p>
      <w:pPr>
        <w:pBdr>
          <w:bottom w:val="single" w:color="e2e8f0"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9. Future Improvements</w:t>
      </w:r>
    </w:p>
    <w:p>
      <w:pPr>
        <w:pStyle w:val="Heading2"/>
        <w:spacing w:before="280" w:after="120"/>
      </w:pPr>
      <w:r>
        <w:rPr>
          <w:rFonts w:ascii="Arial" w:cs="Arial" w:eastAsia="Arial" w:hAnsi="Arial"/>
          <w:b/>
          <w:bCs/>
          <w:color w:val="2563eb"/>
          <w:sz w:val="26"/>
          <w:szCs w:val="26"/>
        </w:rPr>
        <w:t xml:space="preserve">9.1 Short Term</w:t>
      </w:r>
    </w:p>
    <w:p>
      <w:pPr>
        <w:pStyle w:val="ListParagraph"/>
        <w:numPr>
          <w:ilvl w:val="0"/>
          <w:numId w:val="2"/>
        </w:numPr>
        <w:spacing w:before="40" w:after="40"/>
      </w:pPr>
      <w:r>
        <w:rPr>
          <w:rFonts w:ascii="Arial" w:cs="Arial" w:eastAsia="Arial" w:hAnsi="Arial"/>
          <w:color w:val="1e293b"/>
          <w:sz w:val="22"/>
          <w:szCs w:val="22"/>
        </w:rPr>
        <w:t xml:space="preserve">Full document OCR pipeline — integrate pytesseract and pdfplumber for real uploaded files</w:t>
      </w:r>
    </w:p>
    <w:p>
      <w:pPr>
        <w:pStyle w:val="ListParagraph"/>
        <w:numPr>
          <w:ilvl w:val="0"/>
          <w:numId w:val="2"/>
        </w:numPr>
        <w:spacing w:before="40" w:after="40"/>
      </w:pPr>
      <w:r>
        <w:rPr>
          <w:rFonts w:ascii="Arial" w:cs="Arial" w:eastAsia="Arial" w:hAnsi="Arial"/>
          <w:color w:val="1e293b"/>
          <w:sz w:val="22"/>
          <w:szCs w:val="22"/>
        </w:rPr>
        <w:t xml:space="preserve">Langfuse @observe decorators on all LLM calls for full production tracing</w:t>
      </w:r>
    </w:p>
    <w:p>
      <w:pPr>
        <w:pStyle w:val="ListParagraph"/>
        <w:numPr>
          <w:ilvl w:val="0"/>
          <w:numId w:val="2"/>
        </w:numPr>
        <w:spacing w:before="40" w:after="40"/>
      </w:pPr>
      <w:r>
        <w:rPr>
          <w:rFonts w:ascii="Arial" w:cs="Arial" w:eastAsia="Arial" w:hAnsi="Arial"/>
          <w:color w:val="1e293b"/>
          <w:sz w:val="22"/>
          <w:szCs w:val="22"/>
        </w:rPr>
        <w:t xml:space="preserve">PostgreSQL persistence — write every decision with full audit trail</w:t>
      </w:r>
    </w:p>
    <w:p>
      <w:pPr>
        <w:pStyle w:val="ListParagraph"/>
        <w:numPr>
          <w:ilvl w:val="0"/>
          <w:numId w:val="2"/>
        </w:numPr>
        <w:spacing w:before="40" w:after="40"/>
      </w:pPr>
      <w:r>
        <w:rPr>
          <w:rFonts w:ascii="Arial" w:cs="Arial" w:eastAsia="Arial" w:hAnsi="Arial"/>
          <w:color w:val="1e293b"/>
          <w:sz w:val="22"/>
          <w:szCs w:val="22"/>
        </w:rPr>
        <w:t xml:space="preserve">JWT authentication for government staff access control</w:t>
      </w:r>
    </w:p>
    <w:p>
      <w:pPr>
        <w:pStyle w:val="Heading2"/>
        <w:spacing w:before="280" w:after="120"/>
      </w:pPr>
      <w:r>
        <w:rPr>
          <w:rFonts w:ascii="Arial" w:cs="Arial" w:eastAsia="Arial" w:hAnsi="Arial"/>
          <w:b/>
          <w:bCs/>
          <w:color w:val="2563eb"/>
          <w:sz w:val="26"/>
          <w:szCs w:val="26"/>
        </w:rPr>
        <w:t xml:space="preserve">9.2 Medium Term</w:t>
      </w:r>
    </w:p>
    <w:p>
      <w:pPr>
        <w:pStyle w:val="ListParagraph"/>
        <w:numPr>
          <w:ilvl w:val="0"/>
          <w:numId w:val="2"/>
        </w:numPr>
        <w:spacing w:before="40" w:after="40"/>
      </w:pPr>
      <w:r>
        <w:rPr>
          <w:rFonts w:ascii="Arial" w:cs="Arial" w:eastAsia="Arial" w:hAnsi="Arial"/>
          <w:color w:val="1e293b"/>
          <w:sz w:val="22"/>
          <w:szCs w:val="22"/>
        </w:rPr>
        <w:t xml:space="preserve">Fine-tune a smaller LLM on UAE government social support guidelines for improved decision quality</w:t>
      </w:r>
    </w:p>
    <w:p>
      <w:pPr>
        <w:pStyle w:val="ListParagraph"/>
        <w:numPr>
          <w:ilvl w:val="0"/>
          <w:numId w:val="2"/>
        </w:numPr>
        <w:spacing w:before="40" w:after="40"/>
      </w:pPr>
      <w:r>
        <w:rPr>
          <w:rFonts w:ascii="Arial" w:cs="Arial" w:eastAsia="Arial" w:hAnsi="Arial"/>
          <w:color w:val="1e293b"/>
          <w:sz w:val="22"/>
          <w:szCs w:val="22"/>
        </w:rPr>
        <w:t xml:space="preserve">Arabic language support — bilingual form inputs and decision outputs</w:t>
      </w:r>
    </w:p>
    <w:p>
      <w:pPr>
        <w:pStyle w:val="ListParagraph"/>
        <w:numPr>
          <w:ilvl w:val="0"/>
          <w:numId w:val="2"/>
        </w:numPr>
        <w:spacing w:before="40" w:after="40"/>
      </w:pPr>
      <w:r>
        <w:rPr>
          <w:rFonts w:ascii="Arial" w:cs="Arial" w:eastAsia="Arial" w:hAnsi="Arial"/>
          <w:color w:val="1e293b"/>
          <w:sz w:val="22"/>
          <w:szCs w:val="22"/>
        </w:rPr>
        <w:t xml:space="preserve">MLflow tracking with automated model retraining pipeline when new labeled data is available</w:t>
      </w:r>
    </w:p>
    <w:p>
      <w:pPr>
        <w:pStyle w:val="ListParagraph"/>
        <w:numPr>
          <w:ilvl w:val="0"/>
          <w:numId w:val="2"/>
        </w:numPr>
        <w:spacing w:before="40" w:after="40"/>
      </w:pPr>
      <w:r>
        <w:rPr>
          <w:rFonts w:ascii="Arial" w:cs="Arial" w:eastAsia="Arial" w:hAnsi="Arial"/>
          <w:color w:val="1e293b"/>
          <w:sz w:val="22"/>
          <w:szCs w:val="22"/>
        </w:rPr>
        <w:t xml:space="preserve">Batch processing via FastAPI background tasks for high-volume periods</w:t>
      </w:r>
    </w:p>
    <w:p>
      <w:pPr>
        <w:pStyle w:val="Heading2"/>
        <w:spacing w:before="280" w:after="120"/>
      </w:pPr>
      <w:r>
        <w:rPr>
          <w:rFonts w:ascii="Arial" w:cs="Arial" w:eastAsia="Arial" w:hAnsi="Arial"/>
          <w:b/>
          <w:bCs/>
          <w:color w:val="2563eb"/>
          <w:sz w:val="26"/>
          <w:szCs w:val="26"/>
        </w:rPr>
        <w:t xml:space="preserve">9.3 Long Term</w:t>
      </w:r>
    </w:p>
    <w:p>
      <w:pPr>
        <w:pStyle w:val="ListParagraph"/>
        <w:numPr>
          <w:ilvl w:val="0"/>
          <w:numId w:val="2"/>
        </w:numPr>
        <w:spacing w:before="40" w:after="40"/>
      </w:pPr>
      <w:r>
        <w:rPr>
          <w:rFonts w:ascii="Arial" w:cs="Arial" w:eastAsia="Arial" w:hAnsi="Arial"/>
          <w:color w:val="1e293b"/>
          <w:sz w:val="22"/>
          <w:szCs w:val="22"/>
        </w:rPr>
        <w:t xml:space="preserve">REST integration with Emirates ID authority, credit bureaus, and labor ministry for real-time verification</w:t>
      </w:r>
    </w:p>
    <w:p>
      <w:pPr>
        <w:pStyle w:val="ListParagraph"/>
        <w:numPr>
          <w:ilvl w:val="0"/>
          <w:numId w:val="2"/>
        </w:numPr>
        <w:spacing w:before="40" w:after="40"/>
      </w:pPr>
      <w:r>
        <w:rPr>
          <w:rFonts w:ascii="Arial" w:cs="Arial" w:eastAsia="Arial" w:hAnsi="Arial"/>
          <w:color w:val="1e293b"/>
          <w:sz w:val="22"/>
          <w:szCs w:val="22"/>
        </w:rPr>
        <w:t xml:space="preserve">Neo4j graph database to model family relationships and detect duplicate/fraudulent applications</w:t>
      </w:r>
    </w:p>
    <w:p>
      <w:pPr>
        <w:pStyle w:val="ListParagraph"/>
        <w:numPr>
          <w:ilvl w:val="0"/>
          <w:numId w:val="2"/>
        </w:numPr>
        <w:spacing w:before="40" w:after="40"/>
      </w:pPr>
      <w:r>
        <w:rPr>
          <w:rFonts w:ascii="Arial" w:cs="Arial" w:eastAsia="Arial" w:hAnsi="Arial"/>
          <w:color w:val="1e293b"/>
          <w:sz w:val="22"/>
          <w:szCs w:val="22"/>
        </w:rPr>
        <w:t xml:space="preserve">Kubernetes deployment for horizontal scaling during high-volume periods</w:t>
      </w:r>
    </w:p>
    <w:p>
      <w:pPr>
        <w:pStyle w:val="ListParagraph"/>
        <w:numPr>
          <w:ilvl w:val="0"/>
          <w:numId w:val="2"/>
        </w:numPr>
        <w:spacing w:before="40" w:after="40"/>
      </w:pPr>
      <w:r>
        <w:rPr>
          <w:rFonts w:ascii="Arial" w:cs="Arial" w:eastAsia="Arial" w:hAnsi="Arial"/>
          <w:color w:val="1e293b"/>
          <w:sz w:val="22"/>
          <w:szCs w:val="22"/>
        </w:rPr>
        <w:t xml:space="preserve">Human-in-the-loop routing: decisions below 70% confidence flagged for human review before dispatch</w:t>
      </w:r>
    </w:p>
    <w:p>
      <w:pPr>
        <w:pBdr>
          <w:bottom w:val="single" w:color="e2e8f0" w:sz="4" w:space="1"/>
        </w:pBdr>
        <w:spacing w:before="160" w:after="160"/>
      </w:pPr>
      <w:r>
        <w:t xml:space="preserve"/>
      </w:r>
    </w:p>
    <w:p>
      <w:pPr>
        <w:pStyle w:val="Heading1"/>
        <w:spacing w:before="360" w:after="160"/>
      </w:pPr>
      <w:r>
        <w:rPr>
          <w:rFonts w:ascii="Arial" w:cs="Arial" w:eastAsia="Arial" w:hAnsi="Arial"/>
          <w:b/>
          <w:bCs/>
          <w:color w:val="1e3a5f"/>
          <w:sz w:val="32"/>
          <w:szCs w:val="32"/>
        </w:rPr>
        <w:t xml:space="preserve">10. Challenges &amp; Solutions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5760"/>
            <w:tcBorders>
              <w:top w:val="single" w:color="93c5fd" w:sz="1"/>
              <w:left w:val="single" w:color="93c5fd" w:sz="1"/>
              <w:bottom w:val="single" w:color="93c5fd" w:sz="1"/>
              <w:right w:val="single" w:color="93c5f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SHAP output format changed across library versions</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Added dimension-aware parsing handling both old list format and new 3D array format</w:t>
            </w:r>
          </w:p>
        </w:tc>
      </w:tr>
      <w:tr>
        <w:tc>
          <w:tcPr>
            <w:tcW w:type="dxa" w:w="3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LangGraph import paths changed in v0.1.x</w:t>
            </w:r>
          </w:p>
        </w:tc>
        <w:tc>
          <w:tcPr>
            <w:tcW w:type="dxa" w:w="5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Pinned to langgraph==0.1.19, documented in requirements.txt with explanation</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Ollama cold start latency on first LLM call</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Added fallback logic in each agent — rule-based output if LLM times out</w:t>
            </w:r>
          </w:p>
        </w:tc>
      </w:tr>
      <w:tr>
        <w:tc>
          <w:tcPr>
            <w:tcW w:type="dxa" w:w="3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LLM returning malformed JSON in structured outputs</w:t>
            </w:r>
          </w:p>
        </w:tc>
        <w:tc>
          <w:tcPr>
            <w:tcW w:type="dxa" w:w="5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All agents use find('{') / rfind('}') extraction with rule-based fallback on parse failure</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Local model accuracy vs cloud LLMs</w:t>
            </w:r>
          </w:p>
        </w:tc>
        <w:tc>
          <w:tcPr>
            <w:tcW w:type="dxa" w:w="57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Compensated with highly structured prompts and explicit JSON schemas — llama3 performs reliably within these constraints</w:t>
            </w:r>
          </w:p>
        </w:tc>
      </w:tr>
      <w:tr>
        <w:tc>
          <w:tcPr>
            <w:tcW w:type="dxa" w:w="3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Ensuring reproducible environment across machines</w:t>
            </w:r>
          </w:p>
        </w:tc>
        <w:tc>
          <w:tcPr>
            <w:tcW w:type="dxa" w:w="57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Docker Compose for all services, pinned versions in requirements.txt, .env for all config</w:t>
            </w:r>
          </w:p>
        </w:tc>
      </w:tr>
    </w:tbl>
    <w:p>
      <w:pPr>
        <w:spacing w:before="160" w:after="0"/>
      </w:pPr>
      <w:r>
        <w:t xml:space="preserve"/>
      </w:r>
    </w:p>
    <w:p>
      <w:pPr>
        <w:spacing w:before="200" w:after="100"/>
        <w:jc w:val="center"/>
      </w:pPr>
      <w:r>
        <w:rPr>
          <w:rFonts w:ascii="Arial" w:cs="Arial" w:eastAsia="Arial" w:hAnsi="Arial"/>
          <w:i/>
          <w:iCs/>
          <w:color w:val="64748b"/>
          <w:sz w:val="20"/>
          <w:szCs w:val="20"/>
        </w:rPr>
        <w:t xml:space="preserve">— End of Solution Summary —</w:t>
      </w:r>
    </w:p>
    <w:p>
      <w:pPr>
        <w:jc w:val="center"/>
      </w:pPr>
      <w:r>
        <w:rPr>
          <w:rFonts w:ascii="Arial" w:cs="Arial" w:eastAsia="Arial" w:hAnsi="Arial"/>
          <w:color w:val="64748b"/>
          <w:sz w:val="18"/>
          <w:szCs w:val="18"/>
        </w:rPr>
        <w:t xml:space="preserve">Prepared for XDigit / DGE Senior AI/ML Engineer Technical Assessment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pPr>
    <w:r>
      <w:rPr>
        <w:rFonts w:ascii="Arial" w:cs="Arial" w:eastAsia="Arial" w:hAnsi="Arial"/>
        <w:color w:val="64748b"/>
        <w:sz w:val="18"/>
        <w:szCs w:val="18"/>
      </w:rPr>
      <w:t xml:space="preserve">Confidential — Technical Assessment Submission</w:t>
    </w:r>
    <w:r>
      <w:rPr>
        <w:sz w:val="18"/>
        <w:szCs w:val="18"/>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tabs>
        <w:tab w:val="right" w:pos="9026"/>
      </w:tabs>
    </w:pPr>
    <w:r>
      <w:rPr>
        <w:rFonts w:ascii="Arial" w:cs="Arial" w:eastAsia="Arial" w:hAnsi="Arial"/>
        <w:color w:val="64748b"/>
        <w:sz w:val="18"/>
        <w:szCs w:val="18"/>
      </w:rPr>
      <w:t xml:space="preserve">Social Support AI — Solution Summary</w:t>
    </w:r>
    <w:r>
      <w:rPr>
        <w:sz w:val="18"/>
        <w:szCs w:val="18"/>
      </w:rPr>
      <w:t xml:space="preserve">	</w:t>
    </w:r>
    <w:r>
      <w:rPr>
        <w:rFonts w:ascii="Arial" w:cs="Arial" w:eastAsia="Arial" w:hAnsi="Arial"/>
        <w:color w:val="64748b"/>
        <w:sz w:val="18"/>
        <w:szCs w:val="18"/>
      </w:rPr>
      <w:t xml:space="preserve">XDigit / DGE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3a5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2026-02-18T22:52:35.722Z</dcterms:created>
  <dcterms:modified xsi:type="dcterms:W3CDTF">2026-02-18T22:52:35.723Z</dcterms:modified>
</cp:coreProperties>
</file>

<file path=docProps/custom.xml><?xml version="1.0" encoding="utf-8"?>
<Properties xmlns="http://schemas.openxmlformats.org/officeDocument/2006/custom-properties" xmlns:vt="http://schemas.openxmlformats.org/officeDocument/2006/docPropsVTypes"/>
</file>