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Carlos 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[</w:t>
      </w:r>
      <w:r>
        <w:rPr>
          <w:rFonts w:ascii="Tahoma" w:eastAsia="Tahoma" w:hAnsi="Tahoma" w:cs="Tahoma"/>
          <w:i/>
          <w:sz w:val="36"/>
          <w:szCs w:val="36"/>
        </w:rPr>
        <w:t>Acá deben colocar la tabla de contenido correspondiente</w:t>
      </w:r>
      <w:r>
        <w:rPr>
          <w:rFonts w:ascii="Tahoma" w:eastAsia="Tahoma" w:hAnsi="Tahoma" w:cs="Tahoma"/>
          <w:sz w:val="36"/>
          <w:szCs w:val="36"/>
        </w:rPr>
        <w:t>]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bookmarkStart w:id="0" w:name="_gjdgxs" w:colFirst="0" w:colLast="0"/>
      <w:bookmarkEnd w:id="0"/>
      <w:r>
        <w:rPr>
          <w:rFonts w:ascii="Tahoma" w:eastAsia="Tahoma" w:hAnsi="Tahoma" w:cs="Tahoma"/>
          <w:b/>
          <w:sz w:val="60"/>
          <w:szCs w:val="60"/>
        </w:rPr>
        <w:lastRenderedPageBreak/>
        <w:t>Entregable No. 1</w:t>
      </w:r>
    </w:p>
    <w:p w:rsidR="002C7ED5" w:rsidRPr="00B7453E" w:rsidRDefault="00A444A1">
      <w:pPr>
        <w:numPr>
          <w:ilvl w:val="0"/>
          <w:numId w:val="1"/>
        </w:numPr>
        <w:spacing w:line="360" w:lineRule="auto"/>
        <w:ind w:left="425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MODELO VERBAL DEFINITIVO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La Universidad Nacional de Colombia sede Medellín desea sistematizar y registrar las convocatorias para monitores, auxiliares y demás contrataciones que se llevan a cabo dentro del campus. Para ello, requiere una plataforma donde haya 3 tipos de usuarios: Administrador, Contratante y Estudiante. Un usuario debe contar con la siguiente información: identificación, Nombre completo, correo institucional, tipo de vinculación con la universidad (profesor, estudiante o administrativo), dependencia a la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Un usuario solo se puede registrar una vez en el sistema. Para su registro debe ingresar su correo institucional, nombre completo, su tipo de vinculación, dependencia, títulos obtenidos o en curso (si es estudiante), fecha de nacimiento, celular y contraseña.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 xml:space="preserve">Para entrar a </w:t>
      </w:r>
      <w:proofErr w:type="spellStart"/>
      <w:r w:rsidRPr="00B7453E">
        <w:rPr>
          <w:rFonts w:ascii="Arial" w:hAnsi="Arial" w:cs="Arial"/>
          <w:sz w:val="24"/>
        </w:rPr>
        <w:t>LinkedUN</w:t>
      </w:r>
      <w:proofErr w:type="spellEnd"/>
      <w:r w:rsidRPr="00B7453E">
        <w:rPr>
          <w:rFonts w:ascii="Arial" w:hAnsi="Arial" w:cs="Arial"/>
          <w:sz w:val="24"/>
        </w:rPr>
        <w:t xml:space="preserve">, un usuario debe iniciar sesión con su correo institucional y contraseña. Una vez adentro del sistema puede: si es un contratante, publicar una convocatoria. Si es administrador, validar una convocatoria. Si es Estudiante, buscar convocatorias que le interesen y postularse a las convocatorias existentes (siempre y cuando no esté actualmente contratado en otra convocatoria). 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Una convocatoria debe tener la siguiente información: Dependencia, nombre del proyecto o actividad, carreras relacionadas, plazas disponibles, intensidad horaria, tiempo de vinculación, remuneración, porcentaje de avance mínimo del estudiante, actividades a desarrollar, lugar, horario.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Un administrador puede aceptar a uno o varios Estudiantes postulados en una convocatoria validada por él.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 xml:space="preserve">Luego del proceso de validación realizado por el administrador, este le notificará vía correo electrónico al Estudiante si fue o no seleccionado para el puesto y las razones de la decisión. 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El administrador deberá dejar algunos Estudiantes como pendientes por si el estudiante seleccionado no acepta la convocatoria.</w:t>
      </w:r>
    </w:p>
    <w:p w:rsidR="00B7453E" w:rsidRDefault="00B7453E" w:rsidP="00B7453E">
      <w:pPr>
        <w:spacing w:line="360" w:lineRule="auto"/>
        <w:ind w:left="785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lastRenderedPageBreak/>
        <w:t>MODELO DEL DOMINIO</w:t>
      </w:r>
    </w:p>
    <w:p w:rsidR="002C7ED5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DIAGRAMA COMPLETO DE CASOS DE USO [</w:t>
      </w:r>
      <w:r>
        <w:rPr>
          <w:b/>
          <w:i/>
          <w:sz w:val="24"/>
          <w:szCs w:val="24"/>
        </w:rPr>
        <w:t>Acá va el diagrama completo</w:t>
      </w:r>
      <w:r>
        <w:rPr>
          <w:b/>
          <w:sz w:val="24"/>
          <w:szCs w:val="24"/>
        </w:rPr>
        <w:t>]</w:t>
      </w:r>
    </w:p>
    <w:p w:rsidR="002C7ED5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DIAGRAMA DE PAQUETES DE LOS CASOS DE USO (de manera opcional se puede dividir en paquetes el diagrama anterior).</w:t>
      </w:r>
    </w:p>
    <w:p w:rsidR="002C7ED5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ESPECIFICACIONES DE LOS CASOS DE USO A NIVEL DE DISEÑO. (SOLO PARA UN PAQUETE ESCOGIDO DE CASOS DE USO) (Tomar como referencia el capítulo 3 del libro</w:t>
      </w:r>
      <w:r>
        <w:rPr>
          <w:b/>
          <w:i/>
          <w:sz w:val="24"/>
          <w:szCs w:val="24"/>
        </w:rPr>
        <w:t xml:space="preserve"> Use Case </w:t>
      </w:r>
      <w:proofErr w:type="spellStart"/>
      <w:r>
        <w:rPr>
          <w:b/>
          <w:i/>
          <w:sz w:val="24"/>
          <w:szCs w:val="24"/>
        </w:rPr>
        <w:t>Driven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Object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Modeling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with</w:t>
      </w:r>
      <w:proofErr w:type="spellEnd"/>
      <w:r>
        <w:rPr>
          <w:b/>
          <w:i/>
          <w:sz w:val="24"/>
          <w:szCs w:val="24"/>
        </w:rPr>
        <w:t xml:space="preserve"> UML</w:t>
      </w:r>
      <w:r>
        <w:rPr>
          <w:b/>
          <w:sz w:val="24"/>
          <w:szCs w:val="24"/>
        </w:rPr>
        <w:t>)</w:t>
      </w:r>
    </w:p>
    <w:p w:rsidR="002C7ED5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Especificación del caso</w:t>
      </w:r>
      <w:r w:rsidR="00A77500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[</w:t>
      </w:r>
      <w:r>
        <w:rPr>
          <w:b/>
          <w:i/>
          <w:sz w:val="24"/>
          <w:szCs w:val="24"/>
        </w:rPr>
        <w:t xml:space="preserve">acá va el nombre del caso de uso] 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Secuencia básica: [</w:t>
      </w:r>
      <w:r>
        <w:rPr>
          <w:b/>
          <w:i/>
          <w:sz w:val="24"/>
          <w:szCs w:val="24"/>
        </w:rPr>
        <w:t>Acá va el texto</w:t>
      </w:r>
      <w:r>
        <w:rPr>
          <w:b/>
          <w:sz w:val="24"/>
          <w:szCs w:val="24"/>
        </w:rPr>
        <w:t>]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Secuencia alternativa: [</w:t>
      </w:r>
      <w:r>
        <w:rPr>
          <w:b/>
          <w:i/>
          <w:sz w:val="24"/>
          <w:szCs w:val="24"/>
        </w:rPr>
        <w:t>Acá va el texto</w:t>
      </w:r>
      <w:r>
        <w:rPr>
          <w:b/>
          <w:sz w:val="24"/>
          <w:szCs w:val="24"/>
        </w:rPr>
        <w:t>]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Interfaces gráficas: [</w:t>
      </w:r>
      <w:r>
        <w:rPr>
          <w:b/>
          <w:i/>
          <w:sz w:val="24"/>
          <w:szCs w:val="24"/>
        </w:rPr>
        <w:t>Acá van las GUI</w:t>
      </w:r>
      <w:r>
        <w:rPr>
          <w:b/>
          <w:sz w:val="24"/>
          <w:szCs w:val="24"/>
        </w:rPr>
        <w:t>]</w:t>
      </w:r>
      <w:bookmarkStart w:id="1" w:name="_GoBack"/>
      <w:bookmarkEnd w:id="1"/>
    </w:p>
    <w:p w:rsidR="002C7ED5" w:rsidRDefault="00A77500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Especificación del caso de uso</w:t>
      </w:r>
      <w:r w:rsidR="00A444A1">
        <w:rPr>
          <w:b/>
          <w:sz w:val="24"/>
          <w:szCs w:val="24"/>
        </w:rPr>
        <w:t>: [</w:t>
      </w:r>
      <w:r w:rsidR="00A444A1">
        <w:rPr>
          <w:b/>
          <w:i/>
          <w:sz w:val="24"/>
          <w:szCs w:val="24"/>
        </w:rPr>
        <w:t xml:space="preserve">acá va el nombre del caso de uso] 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Secuencia básica: [</w:t>
      </w:r>
      <w:r>
        <w:rPr>
          <w:b/>
          <w:i/>
          <w:sz w:val="24"/>
          <w:szCs w:val="24"/>
        </w:rPr>
        <w:t>Acá va el texto</w:t>
      </w:r>
      <w:r>
        <w:rPr>
          <w:b/>
          <w:sz w:val="24"/>
          <w:szCs w:val="24"/>
        </w:rPr>
        <w:t>]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Secuencia alternativa: [</w:t>
      </w:r>
      <w:r>
        <w:rPr>
          <w:b/>
          <w:i/>
          <w:sz w:val="24"/>
          <w:szCs w:val="24"/>
        </w:rPr>
        <w:t>Acá va el texto</w:t>
      </w:r>
      <w:r>
        <w:rPr>
          <w:b/>
          <w:sz w:val="24"/>
          <w:szCs w:val="24"/>
        </w:rPr>
        <w:t>]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Interfaces gráficas: [</w:t>
      </w:r>
      <w:r>
        <w:rPr>
          <w:b/>
          <w:i/>
          <w:sz w:val="24"/>
          <w:szCs w:val="24"/>
        </w:rPr>
        <w:t>Acá van las GUI</w:t>
      </w:r>
      <w:r>
        <w:rPr>
          <w:b/>
          <w:sz w:val="24"/>
          <w:szCs w:val="24"/>
        </w:rPr>
        <w:t>]</w:t>
      </w:r>
    </w:p>
    <w:p w:rsidR="002C7ED5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Especificación del caso de uso: [</w:t>
      </w:r>
      <w:r>
        <w:rPr>
          <w:b/>
          <w:i/>
          <w:sz w:val="24"/>
          <w:szCs w:val="24"/>
        </w:rPr>
        <w:t xml:space="preserve">acá va el nombre del caso de uso] 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Secuencia básica: [</w:t>
      </w:r>
      <w:r>
        <w:rPr>
          <w:b/>
          <w:i/>
          <w:sz w:val="24"/>
          <w:szCs w:val="24"/>
        </w:rPr>
        <w:t>Acá va el texto</w:t>
      </w:r>
      <w:r>
        <w:rPr>
          <w:b/>
          <w:sz w:val="24"/>
          <w:szCs w:val="24"/>
        </w:rPr>
        <w:t>]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Secuencia alternativa: [</w:t>
      </w:r>
      <w:r>
        <w:rPr>
          <w:b/>
          <w:i/>
          <w:sz w:val="24"/>
          <w:szCs w:val="24"/>
        </w:rPr>
        <w:t>Acá va el texto</w:t>
      </w:r>
      <w:r>
        <w:rPr>
          <w:b/>
          <w:sz w:val="24"/>
          <w:szCs w:val="24"/>
        </w:rPr>
        <w:t>]</w:t>
      </w:r>
    </w:p>
    <w:p w:rsidR="002C7ED5" w:rsidRDefault="00A444A1">
      <w:pPr>
        <w:spacing w:line="360" w:lineRule="auto"/>
        <w:ind w:left="1065"/>
        <w:jc w:val="both"/>
      </w:pPr>
      <w:r>
        <w:rPr>
          <w:b/>
          <w:sz w:val="24"/>
          <w:szCs w:val="24"/>
        </w:rPr>
        <w:t>Interfaces gráficas: [</w:t>
      </w:r>
      <w:r>
        <w:rPr>
          <w:b/>
          <w:i/>
          <w:sz w:val="24"/>
          <w:szCs w:val="24"/>
        </w:rPr>
        <w:t>Acá van las GUI</w:t>
      </w:r>
      <w:r>
        <w:rPr>
          <w:b/>
          <w:sz w:val="24"/>
          <w:szCs w:val="24"/>
        </w:rPr>
        <w:t>]</w:t>
      </w:r>
    </w:p>
    <w:p w:rsidR="002C7ED5" w:rsidRDefault="00A444A1">
      <w:pPr>
        <w:spacing w:line="360" w:lineRule="auto"/>
        <w:jc w:val="both"/>
      </w:pPr>
      <w:r>
        <w:rPr>
          <w:b/>
          <w:sz w:val="24"/>
          <w:szCs w:val="24"/>
        </w:rPr>
        <w:t>ETC…</w:t>
      </w:r>
    </w:p>
    <w:p w:rsidR="002C7ED5" w:rsidRDefault="002C7ED5" w:rsidP="00193B67"/>
    <w:sectPr w:rsidR="002C7ED5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652" w:rsidRDefault="00877652">
      <w:pPr>
        <w:spacing w:after="0" w:line="240" w:lineRule="auto"/>
      </w:pPr>
      <w:r>
        <w:separator/>
      </w:r>
    </w:p>
  </w:endnote>
  <w:endnote w:type="continuationSeparator" w:id="0">
    <w:p w:rsidR="00877652" w:rsidRDefault="0087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652" w:rsidRDefault="00877652">
      <w:pPr>
        <w:spacing w:after="0" w:line="240" w:lineRule="auto"/>
      </w:pPr>
      <w:r>
        <w:separator/>
      </w:r>
    </w:p>
  </w:footnote>
  <w:footnote w:type="continuationSeparator" w:id="0">
    <w:p w:rsidR="00877652" w:rsidRDefault="00877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ED5" w:rsidRDefault="00A444A1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ED5"/>
    <w:rsid w:val="00083D13"/>
    <w:rsid w:val="00193B67"/>
    <w:rsid w:val="002A3C20"/>
    <w:rsid w:val="002C7ED5"/>
    <w:rsid w:val="003B43EB"/>
    <w:rsid w:val="005D0CAB"/>
    <w:rsid w:val="006D0597"/>
    <w:rsid w:val="007224B7"/>
    <w:rsid w:val="007C723D"/>
    <w:rsid w:val="00877652"/>
    <w:rsid w:val="00941656"/>
    <w:rsid w:val="00A444A1"/>
    <w:rsid w:val="00A77500"/>
    <w:rsid w:val="00B7453E"/>
    <w:rsid w:val="00C504C7"/>
    <w:rsid w:val="00D1171E"/>
    <w:rsid w:val="00DB3555"/>
    <w:rsid w:val="00F30A0A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BF31"/>
  <w15:docId w15:val="{6A9A51BF-8354-4FEA-B26D-DB07EDF8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Santiago Arbelaez</cp:lastModifiedBy>
  <cp:revision>3</cp:revision>
  <dcterms:created xsi:type="dcterms:W3CDTF">2018-02-23T15:55:00Z</dcterms:created>
  <dcterms:modified xsi:type="dcterms:W3CDTF">2018-02-23T16:27:00Z</dcterms:modified>
</cp:coreProperties>
</file>