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C7ED5" w:rsidRDefault="002C7ED5">
      <w:pPr>
        <w:widowControl w:val="0"/>
        <w:spacing w:after="200"/>
      </w:pPr>
    </w:p>
    <w:tbl>
      <w:tblPr>
        <w:tblStyle w:val="a"/>
        <w:tblW w:w="92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89"/>
        <w:gridCol w:w="5812"/>
        <w:gridCol w:w="1984"/>
      </w:tblGrid>
      <w:tr w:rsidR="002C7ED5">
        <w:tc>
          <w:tcPr>
            <w:tcW w:w="1489" w:type="dxa"/>
          </w:tcPr>
          <w:p w:rsidR="002C7ED5" w:rsidRDefault="00A444A1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both"/>
            </w:pPr>
            <w:r>
              <w:rPr>
                <w:noProof/>
              </w:rPr>
              <w:drawing>
                <wp:inline distT="0" distB="0" distL="114300" distR="114300">
                  <wp:extent cx="818515" cy="1122045"/>
                  <wp:effectExtent l="0" t="0" r="0" b="0"/>
                  <wp:docPr id="1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515" cy="11220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:rsidR="002C7ED5" w:rsidRDefault="00A444A1">
            <w:pPr>
              <w:tabs>
                <w:tab w:val="left" w:pos="2977"/>
              </w:tabs>
              <w:spacing w:before="120" w:line="240" w:lineRule="auto"/>
              <w:ind w:left="426" w:right="57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>UNIVERSIDAD NACIONAL DE COLOMBIA</w:t>
            </w:r>
          </w:p>
          <w:p w:rsidR="002C7ED5" w:rsidRDefault="00A444A1">
            <w:pPr>
              <w:tabs>
                <w:tab w:val="left" w:pos="2977"/>
              </w:tabs>
              <w:spacing w:before="120" w:line="240" w:lineRule="auto"/>
              <w:ind w:left="426" w:right="57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>SEDE MEDELLÍN</w:t>
            </w:r>
          </w:p>
          <w:p w:rsidR="002C7ED5" w:rsidRDefault="00A444A1">
            <w:pPr>
              <w:tabs>
                <w:tab w:val="left" w:pos="2977"/>
              </w:tabs>
              <w:spacing w:before="12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 xml:space="preserve">    FACULTAD DE MINAS</w:t>
            </w:r>
          </w:p>
          <w:p w:rsidR="002C7ED5" w:rsidRDefault="002C7ED5">
            <w:pPr>
              <w:tabs>
                <w:tab w:val="left" w:pos="2977"/>
              </w:tabs>
              <w:spacing w:before="120" w:line="240" w:lineRule="auto"/>
              <w:jc w:val="center"/>
            </w:pPr>
          </w:p>
          <w:p w:rsidR="002C7ED5" w:rsidRDefault="00A444A1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center"/>
            </w:pPr>
            <w:r>
              <w:rPr>
                <w:rFonts w:ascii="Tahoma" w:eastAsia="Tahoma" w:hAnsi="Tahoma" w:cs="Tahoma"/>
                <w:sz w:val="26"/>
                <w:szCs w:val="26"/>
              </w:rPr>
              <w:t>DEPARTAMENTO DE CIENCIAS DE LA COMPUTACIÓN Y DE LA DECISIÓN</w:t>
            </w:r>
          </w:p>
          <w:p w:rsidR="002C7ED5" w:rsidRDefault="002C7ED5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both"/>
            </w:pPr>
          </w:p>
        </w:tc>
        <w:tc>
          <w:tcPr>
            <w:tcW w:w="1984" w:type="dxa"/>
          </w:tcPr>
          <w:p w:rsidR="002C7ED5" w:rsidRDefault="00A444A1">
            <w:pPr>
              <w:tabs>
                <w:tab w:val="left" w:pos="2977"/>
              </w:tabs>
              <w:spacing w:before="120" w:line="240" w:lineRule="auto"/>
              <w:ind w:left="-71" w:right="57"/>
              <w:jc w:val="center"/>
            </w:pPr>
            <w:r>
              <w:rPr>
                <w:noProof/>
              </w:rPr>
              <w:drawing>
                <wp:inline distT="0" distB="0" distL="114300" distR="114300">
                  <wp:extent cx="1716656" cy="1104265"/>
                  <wp:effectExtent l="0" t="0" r="0" b="635"/>
                  <wp:docPr id="2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780" cy="11069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7ED5" w:rsidRDefault="00A444A1">
      <w:pPr>
        <w:spacing w:before="120" w:line="240" w:lineRule="auto"/>
        <w:jc w:val="center"/>
      </w:pPr>
      <w:r>
        <w:rPr>
          <w:rFonts w:ascii="Tahoma" w:eastAsia="Tahoma" w:hAnsi="Tahoma" w:cs="Tahoma"/>
          <w:b/>
          <w:sz w:val="56"/>
          <w:szCs w:val="56"/>
        </w:rPr>
        <w:t>Nombre del Software:</w:t>
      </w:r>
      <w:r w:rsidR="00B7453E">
        <w:rPr>
          <w:rFonts w:ascii="Tahoma" w:eastAsia="Tahoma" w:hAnsi="Tahoma" w:cs="Tahoma"/>
          <w:b/>
          <w:sz w:val="56"/>
          <w:szCs w:val="56"/>
        </w:rPr>
        <w:t xml:space="preserve"> </w:t>
      </w:r>
      <w:proofErr w:type="spellStart"/>
      <w:r w:rsidR="00B7453E">
        <w:rPr>
          <w:rFonts w:ascii="Tahoma" w:eastAsia="Tahoma" w:hAnsi="Tahoma" w:cs="Tahoma"/>
          <w:b/>
          <w:sz w:val="56"/>
          <w:szCs w:val="56"/>
        </w:rPr>
        <w:t>LinkedUN</w:t>
      </w:r>
      <w:proofErr w:type="spellEnd"/>
    </w:p>
    <w:p w:rsidR="002C7ED5" w:rsidRDefault="002C7ED5">
      <w:pPr>
        <w:spacing w:before="120" w:line="240" w:lineRule="auto"/>
        <w:jc w:val="center"/>
      </w:pPr>
    </w:p>
    <w:p w:rsidR="002C7ED5" w:rsidRDefault="002C7ED5">
      <w:pPr>
        <w:spacing w:before="120" w:line="240" w:lineRule="auto"/>
        <w:jc w:val="center"/>
      </w:pPr>
    </w:p>
    <w:p w:rsidR="002C7ED5" w:rsidRDefault="002C7ED5">
      <w:pPr>
        <w:spacing w:before="120" w:line="240" w:lineRule="auto"/>
        <w:jc w:val="center"/>
      </w:pPr>
    </w:p>
    <w:p w:rsidR="002C7ED5" w:rsidRDefault="00A444A1">
      <w:pPr>
        <w:spacing w:line="240" w:lineRule="auto"/>
        <w:jc w:val="center"/>
      </w:pPr>
      <w:r>
        <w:rPr>
          <w:rFonts w:ascii="Tahoma" w:eastAsia="Tahoma" w:hAnsi="Tahoma" w:cs="Tahoma"/>
          <w:b/>
          <w:sz w:val="48"/>
          <w:szCs w:val="48"/>
        </w:rPr>
        <w:t>Documentación Técnica Fase Diseño</w:t>
      </w:r>
    </w:p>
    <w:p w:rsidR="002C7ED5" w:rsidRDefault="00A444A1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EQUIPO # </w:t>
      </w:r>
      <w:r w:rsidR="007224B7">
        <w:rPr>
          <w:rFonts w:ascii="Tahoma" w:eastAsia="Tahoma" w:hAnsi="Tahoma" w:cs="Tahoma"/>
          <w:sz w:val="40"/>
          <w:szCs w:val="40"/>
        </w:rPr>
        <w:t>5</w:t>
      </w:r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>Santiago Arbeláez Cataño</w:t>
      </w:r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José Francisco Miguel Díaz </w:t>
      </w:r>
      <w:proofErr w:type="spellStart"/>
      <w:r>
        <w:rPr>
          <w:rFonts w:ascii="Tahoma" w:eastAsia="Tahoma" w:hAnsi="Tahoma" w:cs="Tahoma"/>
          <w:sz w:val="40"/>
          <w:szCs w:val="40"/>
        </w:rPr>
        <w:t>Díaz</w:t>
      </w:r>
      <w:proofErr w:type="spellEnd"/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Juan Esteban López </w:t>
      </w:r>
      <w:proofErr w:type="spellStart"/>
      <w:r>
        <w:rPr>
          <w:rFonts w:ascii="Tahoma" w:eastAsia="Tahoma" w:hAnsi="Tahoma" w:cs="Tahoma"/>
          <w:sz w:val="40"/>
          <w:szCs w:val="40"/>
        </w:rPr>
        <w:t>López</w:t>
      </w:r>
      <w:proofErr w:type="spellEnd"/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>Carlos Oliva Paredes</w:t>
      </w:r>
    </w:p>
    <w:p w:rsidR="002C7ED5" w:rsidRDefault="002C7ED5">
      <w:pPr>
        <w:spacing w:line="240" w:lineRule="auto"/>
        <w:jc w:val="center"/>
      </w:pPr>
    </w:p>
    <w:p w:rsidR="002C7ED5" w:rsidRDefault="002C7ED5">
      <w:pPr>
        <w:spacing w:line="240" w:lineRule="auto"/>
        <w:jc w:val="center"/>
      </w:pPr>
    </w:p>
    <w:p w:rsidR="002C7ED5" w:rsidRDefault="002C7ED5">
      <w:pPr>
        <w:spacing w:line="240" w:lineRule="auto"/>
        <w:jc w:val="center"/>
      </w:pPr>
    </w:p>
    <w:p w:rsidR="002C7ED5" w:rsidRDefault="006D0597">
      <w:pPr>
        <w:spacing w:line="240" w:lineRule="auto"/>
        <w:jc w:val="center"/>
      </w:pPr>
      <w:r>
        <w:rPr>
          <w:rFonts w:ascii="Tahoma" w:eastAsia="Tahoma" w:hAnsi="Tahoma" w:cs="Tahoma"/>
          <w:sz w:val="36"/>
          <w:szCs w:val="36"/>
        </w:rPr>
        <w:t>2018</w:t>
      </w:r>
      <w:r w:rsidR="00A444A1">
        <w:rPr>
          <w:rFonts w:ascii="Tahoma" w:eastAsia="Tahoma" w:hAnsi="Tahoma" w:cs="Tahoma"/>
          <w:sz w:val="36"/>
          <w:szCs w:val="36"/>
        </w:rPr>
        <w:t>-I</w:t>
      </w:r>
    </w:p>
    <w:p w:rsidR="002C7ED5" w:rsidRDefault="002C7ED5">
      <w:pPr>
        <w:spacing w:line="240" w:lineRule="auto"/>
        <w:jc w:val="center"/>
      </w:pPr>
    </w:p>
    <w:p w:rsidR="002C7ED5" w:rsidRDefault="00A444A1">
      <w:r>
        <w:br w:type="page"/>
      </w:r>
    </w:p>
    <w:p w:rsidR="002C7ED5" w:rsidRDefault="00A444A1">
      <w:pPr>
        <w:keepNext/>
        <w:keepLines/>
        <w:spacing w:line="240" w:lineRule="auto"/>
        <w:ind w:left="284" w:right="51"/>
        <w:jc w:val="center"/>
      </w:pPr>
      <w:r>
        <w:rPr>
          <w:rFonts w:ascii="Tahoma" w:eastAsia="Tahoma" w:hAnsi="Tahoma" w:cs="Tahoma"/>
          <w:b/>
          <w:sz w:val="60"/>
          <w:szCs w:val="60"/>
        </w:rPr>
        <w:lastRenderedPageBreak/>
        <w:t>Tabla de Contenido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-1206317749"/>
        <w:docPartObj>
          <w:docPartGallery w:val="Table of Contents"/>
          <w:docPartUnique/>
        </w:docPartObj>
      </w:sdtPr>
      <w:sdtEndPr/>
      <w:sdtContent>
        <w:p w:rsidR="001C4230" w:rsidRDefault="001C4230">
          <w:pPr>
            <w:pStyle w:val="TtuloTDC"/>
          </w:pPr>
        </w:p>
        <w:p w:rsidR="001C4230" w:rsidRDefault="001C4230">
          <w:pPr>
            <w:pStyle w:val="TDC1"/>
          </w:pPr>
          <w:r>
            <w:rPr>
              <w:b/>
              <w:bCs/>
            </w:rPr>
            <w:t>Entregable No. 1</w:t>
          </w:r>
          <w:r>
            <w:ptab w:relativeTo="margin" w:alignment="right" w:leader="dot"/>
          </w:r>
          <w:r>
            <w:t>3</w:t>
          </w:r>
        </w:p>
        <w:p w:rsidR="001C4230" w:rsidRDefault="001C4230" w:rsidP="003B0CFE">
          <w:pPr>
            <w:pStyle w:val="TDC2"/>
            <w:numPr>
              <w:ilvl w:val="0"/>
              <w:numId w:val="3"/>
            </w:numPr>
          </w:pPr>
          <w:r>
            <w:t>Modelo Verbal Definitivo</w:t>
          </w:r>
          <w:r>
            <w:ptab w:relativeTo="margin" w:alignment="right" w:leader="dot"/>
          </w:r>
          <w:r>
            <w:rPr>
              <w:lang w:val="es-ES"/>
            </w:rPr>
            <w:t>3</w:t>
          </w:r>
        </w:p>
        <w:p w:rsidR="001C4230" w:rsidRDefault="001C4230" w:rsidP="003B0CFE">
          <w:pPr>
            <w:pStyle w:val="TDC3"/>
            <w:numPr>
              <w:ilvl w:val="0"/>
              <w:numId w:val="3"/>
            </w:numPr>
          </w:pPr>
          <w:r>
            <w:t>Modelo del Dominio</w:t>
          </w:r>
          <w:r>
            <w:ptab w:relativeTo="margin" w:alignment="right" w:leader="dot"/>
          </w:r>
          <w:r>
            <w:t>4</w:t>
          </w:r>
        </w:p>
        <w:p w:rsidR="001C4230" w:rsidRPr="001C4230" w:rsidRDefault="001C4230" w:rsidP="003B0CFE">
          <w:pPr>
            <w:pStyle w:val="TDC3"/>
            <w:numPr>
              <w:ilvl w:val="0"/>
              <w:numId w:val="3"/>
            </w:numPr>
          </w:pPr>
          <w:r>
            <w:t>Diagrama completo de casos de uso</w:t>
          </w:r>
          <w:r>
            <w:ptab w:relativeTo="margin" w:alignment="right" w:leader="dot"/>
          </w:r>
        </w:p>
        <w:p w:rsidR="001C4230" w:rsidRPr="001C4230" w:rsidRDefault="001C4230" w:rsidP="003B0CFE">
          <w:pPr>
            <w:pStyle w:val="TDC3"/>
            <w:numPr>
              <w:ilvl w:val="0"/>
              <w:numId w:val="3"/>
            </w:numPr>
          </w:pPr>
          <w:r>
            <w:t>Diagrama de paquetes de los casos de uso</w:t>
          </w:r>
          <w:r>
            <w:ptab w:relativeTo="margin" w:alignment="right" w:leader="dot"/>
          </w:r>
        </w:p>
        <w:p w:rsidR="001C4230" w:rsidRPr="001C4230" w:rsidRDefault="00120AAF" w:rsidP="003B0CFE">
          <w:pPr>
            <w:pStyle w:val="TDC3"/>
            <w:numPr>
              <w:ilvl w:val="0"/>
              <w:numId w:val="3"/>
            </w:numPr>
          </w:pPr>
          <w:r>
            <w:t>Especificaciones de los casos de uso a nivel de diseño</w:t>
          </w:r>
          <w:r w:rsidR="001C4230">
            <w:ptab w:relativeTo="margin" w:alignment="right" w:leader="dot"/>
          </w:r>
        </w:p>
        <w:p w:rsidR="001C4230" w:rsidRPr="001C4230" w:rsidRDefault="003B0CFE" w:rsidP="003B0CFE">
          <w:pPr>
            <w:pStyle w:val="TDC3"/>
            <w:ind w:hanging="567"/>
          </w:pPr>
          <w:r>
            <w:t>Especificación del caso:</w:t>
          </w:r>
          <w:r w:rsidR="001C4230"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1C4230" w:rsidRPr="001C4230" w:rsidRDefault="00E6311B" w:rsidP="001C4230"/>
      </w:sdtContent>
    </w:sdt>
    <w:p w:rsidR="002C7ED5" w:rsidRDefault="001C4230">
      <w:r>
        <w:t xml:space="preserve"> </w:t>
      </w:r>
      <w:r w:rsidR="00A444A1">
        <w:br w:type="page"/>
      </w:r>
    </w:p>
    <w:p w:rsidR="002C7ED5" w:rsidRPr="005474F1" w:rsidRDefault="00A444A1" w:rsidP="005474F1">
      <w:pPr>
        <w:pStyle w:val="Ttulo3"/>
        <w:jc w:val="center"/>
        <w:rPr>
          <w:rFonts w:ascii="Tahoma" w:hAnsi="Tahoma" w:cs="Tahoma"/>
          <w:b/>
          <w:color w:val="auto"/>
          <w:sz w:val="60"/>
          <w:szCs w:val="60"/>
        </w:rPr>
      </w:pPr>
      <w:bookmarkStart w:id="0" w:name="_gjdgxs" w:colFirst="0" w:colLast="0"/>
      <w:bookmarkEnd w:id="0"/>
      <w:r w:rsidRPr="005474F1">
        <w:rPr>
          <w:rFonts w:ascii="Tahoma" w:eastAsia="Tahoma" w:hAnsi="Tahoma" w:cs="Tahoma"/>
          <w:b/>
          <w:color w:val="auto"/>
          <w:sz w:val="60"/>
          <w:szCs w:val="60"/>
        </w:rPr>
        <w:lastRenderedPageBreak/>
        <w:t>Entregable No. 1</w:t>
      </w:r>
    </w:p>
    <w:p w:rsidR="002C7ED5" w:rsidRPr="003B0CFE" w:rsidRDefault="00A444A1" w:rsidP="003B0CFE">
      <w:pPr>
        <w:numPr>
          <w:ilvl w:val="0"/>
          <w:numId w:val="1"/>
        </w:numPr>
        <w:spacing w:line="360" w:lineRule="auto"/>
        <w:ind w:left="425"/>
        <w:contextualSpacing/>
        <w:rPr>
          <w:rStyle w:val="Textoennegrita"/>
          <w:sz w:val="24"/>
        </w:rPr>
      </w:pPr>
      <w:r w:rsidRPr="003B0CFE">
        <w:rPr>
          <w:rStyle w:val="Textoennegrita"/>
          <w:sz w:val="24"/>
        </w:rPr>
        <w:t>MODELO VERBAL DEFINITIVO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La Universidad Nacional de Colombia sede Medellín desea sistematizar y registrar las convocatorias para monitores, auxiliares y demás contrataciones que se llevan a cabo dentro del campus. Para ello, requiere una plataforma donde haya 3 tipos de usuarios: Administrativo, Contratante y Estudiante. Un usuario debe contar con la siguiente información: identificación, Nombre completo, correo institucional, tipo de vinculación con la universidad (profesor, estudiante o administrativo), departamento al que pertenece, fecha de nacimiento, celular y contraseña. Si es estudiante además debe tener disponibilidad horaria, porcentaje de avance, promedio académico y promedio aritmético ponderado acumulado (PAPA). Y si es administrativo debe tener también cargo.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 usuario solo se puede registrar una vez en el sistema. Para su registro debe ingresar su correo institucional, nombre completo, su tipo de vinculación, dependencia, títulos obtenidos o en curso (si es estudiante), fecha de nacimiento, celular y contraseña.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 xml:space="preserve">Para entrar a </w:t>
      </w:r>
      <w:proofErr w:type="spellStart"/>
      <w:r w:rsidRPr="009407A0">
        <w:rPr>
          <w:rFonts w:asciiTheme="majorHAnsi" w:hAnsiTheme="majorHAnsi" w:cs="Arial"/>
          <w:sz w:val="22"/>
        </w:rPr>
        <w:t>LinkedUN</w:t>
      </w:r>
      <w:proofErr w:type="spellEnd"/>
      <w:r w:rsidRPr="009407A0">
        <w:rPr>
          <w:rFonts w:asciiTheme="majorHAnsi" w:hAnsiTheme="majorHAnsi" w:cs="Arial"/>
          <w:sz w:val="22"/>
        </w:rPr>
        <w:t xml:space="preserve">, un usuario debe iniciar sesión con su correo institucional y contraseña. Una vez adentro del sistema puede: si es un contratante, publicar una convocatoria. Si es administrativo, validar una convocatoria. Si es Estudiante, buscar convocatorias que le interesen y postularse a las convocatorias existentes (siempre y cuando no esté actualmente contratado en otra convocatoria). 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Una convocatoria debe tener la siguiente información: Departamento, nombre del proyecto o actividad, carreras relacionadas, plazas disponibles, intensidad horaria, tiempo de vinculación, remuneración, porcentaje de avance mínimo del estudiante, actividades a desarrollar, lugar, horario.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 estudiante para aplicar a la primera convocatoria del semestre en curso, el sistema le solicitara una actualización en su perfil en la siguiente información: disponibilidad horaria, porcentaje de avance, promedio académico y promedio aritmético ponderado acumulado (PAPA).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 usuario administrativo puede aceptar a uno o varios Estudiantes postulados en una convocatoria validada por él.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 xml:space="preserve">Luego del proceso de validación realizado por el ente administrativo, este le notificará vía correo electrónico al Estudiante si fue o no seleccionado para el puesto y las razones de la decisión. </w:t>
      </w:r>
    </w:p>
    <w:p w:rsidR="00B7453E" w:rsidRDefault="009407A0" w:rsidP="009407A0">
      <w:pPr>
        <w:spacing w:line="360" w:lineRule="auto"/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El usuario administrativo deberá dejar algunos Estudiantes como pendientes por si el estudiante seleccionado no acepta la convocatoria</w:t>
      </w:r>
    </w:p>
    <w:p w:rsidR="009407A0" w:rsidRPr="009407A0" w:rsidRDefault="009407A0" w:rsidP="009407A0">
      <w:pPr>
        <w:spacing w:line="360" w:lineRule="auto"/>
        <w:ind w:left="284"/>
        <w:jc w:val="both"/>
        <w:rPr>
          <w:rFonts w:asciiTheme="majorHAnsi" w:eastAsia="Times New Roman" w:hAnsiTheme="majorHAnsi" w:cs="Times New Roman"/>
          <w:sz w:val="22"/>
          <w:szCs w:val="24"/>
        </w:rPr>
      </w:pPr>
    </w:p>
    <w:p w:rsidR="002C7ED5" w:rsidRDefault="00D1171E">
      <w:pPr>
        <w:numPr>
          <w:ilvl w:val="0"/>
          <w:numId w:val="1"/>
        </w:numPr>
        <w:spacing w:line="360" w:lineRule="auto"/>
        <w:ind w:left="425"/>
        <w:contextualSpacing/>
        <w:rPr>
          <w:rStyle w:val="Textoennegrita"/>
          <w:sz w:val="24"/>
        </w:rPr>
      </w:pPr>
      <w:r w:rsidRPr="001C4230">
        <w:rPr>
          <w:rStyle w:val="Textoennegrita"/>
          <w:sz w:val="24"/>
        </w:rPr>
        <w:lastRenderedPageBreak/>
        <w:t>MODELO DEL DOMINIO</w:t>
      </w:r>
    </w:p>
    <w:p w:rsidR="009407A0" w:rsidRPr="001C4230" w:rsidRDefault="009407A0" w:rsidP="009407A0">
      <w:pPr>
        <w:spacing w:line="360" w:lineRule="auto"/>
        <w:ind w:left="785"/>
        <w:contextualSpacing/>
        <w:rPr>
          <w:rStyle w:val="Textoennegrita"/>
          <w:sz w:val="24"/>
        </w:rPr>
      </w:pPr>
    </w:p>
    <w:p w:rsidR="002C7ED5" w:rsidRPr="001C4230" w:rsidRDefault="00A444A1">
      <w:pPr>
        <w:numPr>
          <w:ilvl w:val="0"/>
          <w:numId w:val="1"/>
        </w:numPr>
        <w:spacing w:line="360" w:lineRule="auto"/>
        <w:ind w:left="426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DIAGRAMA COMPLETO DE CASOS DE USO [Acá va el diagrama completo]</w:t>
      </w:r>
    </w:p>
    <w:p w:rsidR="002C7ED5" w:rsidRPr="001C4230" w:rsidRDefault="00A444A1">
      <w:pPr>
        <w:numPr>
          <w:ilvl w:val="0"/>
          <w:numId w:val="1"/>
        </w:numPr>
        <w:spacing w:line="360" w:lineRule="auto"/>
        <w:ind w:left="426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DIAGRAMA DE PAQUETES DE LOS CASOS DE USO (de manera opcional se puede dividir en paquetes el diagrama anterior).</w:t>
      </w:r>
    </w:p>
    <w:p w:rsidR="002C7ED5" w:rsidRPr="001C4230" w:rsidRDefault="00A444A1">
      <w:pPr>
        <w:numPr>
          <w:ilvl w:val="0"/>
          <w:numId w:val="1"/>
        </w:numPr>
        <w:spacing w:line="360" w:lineRule="auto"/>
        <w:ind w:left="426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ESPECIFICACIONES DE LOS CASOS DE USO A NIVEL DE DISEÑO. (SOLO PARA UN PAQUETE ESCOGIDO DE CASOS DE USO) (Tomar como referencia el capítulo 3 del libro Use Case </w:t>
      </w:r>
      <w:proofErr w:type="spellStart"/>
      <w:r w:rsidRPr="001C4230">
        <w:rPr>
          <w:rStyle w:val="Textoennegrita"/>
          <w:sz w:val="24"/>
        </w:rPr>
        <w:t>Driven</w:t>
      </w:r>
      <w:proofErr w:type="spellEnd"/>
      <w:r w:rsidRPr="001C4230">
        <w:rPr>
          <w:rStyle w:val="Textoennegrita"/>
          <w:sz w:val="24"/>
        </w:rPr>
        <w:t xml:space="preserve"> </w:t>
      </w:r>
      <w:proofErr w:type="spellStart"/>
      <w:r w:rsidRPr="001C4230">
        <w:rPr>
          <w:rStyle w:val="Textoennegrita"/>
          <w:sz w:val="24"/>
        </w:rPr>
        <w:t>Object</w:t>
      </w:r>
      <w:proofErr w:type="spellEnd"/>
      <w:r w:rsidRPr="001C4230">
        <w:rPr>
          <w:rStyle w:val="Textoennegrita"/>
          <w:sz w:val="24"/>
        </w:rPr>
        <w:t xml:space="preserve"> </w:t>
      </w:r>
      <w:proofErr w:type="spellStart"/>
      <w:r w:rsidRPr="001C4230">
        <w:rPr>
          <w:rStyle w:val="Textoennegrita"/>
          <w:sz w:val="24"/>
        </w:rPr>
        <w:t>Modeling</w:t>
      </w:r>
      <w:proofErr w:type="spellEnd"/>
      <w:r w:rsidRPr="001C4230">
        <w:rPr>
          <w:rStyle w:val="Textoennegrita"/>
          <w:sz w:val="24"/>
        </w:rPr>
        <w:t xml:space="preserve"> </w:t>
      </w:r>
      <w:proofErr w:type="spellStart"/>
      <w:r w:rsidRPr="001C4230">
        <w:rPr>
          <w:rStyle w:val="Textoennegrita"/>
          <w:sz w:val="24"/>
        </w:rPr>
        <w:t>with</w:t>
      </w:r>
      <w:proofErr w:type="spellEnd"/>
      <w:r w:rsidRPr="001C4230">
        <w:rPr>
          <w:rStyle w:val="Textoennegrita"/>
          <w:sz w:val="24"/>
        </w:rPr>
        <w:t xml:space="preserve"> UML)</w:t>
      </w:r>
    </w:p>
    <w:p w:rsidR="002C7ED5" w:rsidRPr="001C4230" w:rsidRDefault="00A444A1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Especificación del caso</w:t>
      </w:r>
      <w:r w:rsidR="00A77500" w:rsidRPr="001C4230">
        <w:rPr>
          <w:rStyle w:val="Textoennegrita"/>
          <w:sz w:val="24"/>
        </w:rPr>
        <w:t xml:space="preserve">: </w:t>
      </w:r>
      <w:r w:rsidR="00B63A01">
        <w:rPr>
          <w:rStyle w:val="Textoennegrita"/>
          <w:sz w:val="24"/>
        </w:rPr>
        <w:t xml:space="preserve">CU1. </w:t>
      </w:r>
      <w:r w:rsidR="00D773C2">
        <w:rPr>
          <w:rStyle w:val="Textoennegrita"/>
          <w:sz w:val="24"/>
        </w:rPr>
        <w:t>Registra usuario</w:t>
      </w:r>
      <w:r w:rsidRPr="001C4230">
        <w:rPr>
          <w:rStyle w:val="Textoennegrita"/>
          <w:sz w:val="24"/>
        </w:rPr>
        <w:t xml:space="preserve"> 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Secuencia básica: 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Secuencia alternativa: 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Interfaces gráficas: </w:t>
      </w:r>
      <w:bookmarkStart w:id="1" w:name="_GoBack"/>
      <w:bookmarkEnd w:id="1"/>
    </w:p>
    <w:p w:rsidR="002C7ED5" w:rsidRPr="001C4230" w:rsidRDefault="00A77500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Especificación del caso de uso</w:t>
      </w:r>
      <w:r w:rsidR="00A444A1" w:rsidRPr="001C4230">
        <w:rPr>
          <w:rStyle w:val="Textoennegrita"/>
          <w:sz w:val="24"/>
        </w:rPr>
        <w:t xml:space="preserve">: </w:t>
      </w:r>
      <w:r w:rsidR="00D773C2">
        <w:rPr>
          <w:rStyle w:val="Textoennegrita"/>
          <w:sz w:val="24"/>
        </w:rPr>
        <w:t>CU2.Inicia sesión</w:t>
      </w:r>
      <w:r w:rsidR="00A444A1" w:rsidRPr="001C4230">
        <w:rPr>
          <w:rStyle w:val="Textoennegrita"/>
          <w:sz w:val="24"/>
        </w:rPr>
        <w:t xml:space="preserve"> 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básica: [Acá va el texto]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alternativa: [Acá va el texto]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Interfaces gráficas: [Acá van las GUI]</w:t>
      </w:r>
    </w:p>
    <w:p w:rsidR="00D773C2" w:rsidRPr="001C4230" w:rsidRDefault="00D773C2" w:rsidP="00D773C2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Especificación del caso de uso: </w:t>
      </w:r>
      <w:r>
        <w:rPr>
          <w:rStyle w:val="Textoennegrita"/>
          <w:sz w:val="24"/>
        </w:rPr>
        <w:t>CU3. Editar perfil</w:t>
      </w:r>
      <w:r w:rsidRPr="001C4230">
        <w:rPr>
          <w:rStyle w:val="Textoennegrita"/>
          <w:sz w:val="24"/>
        </w:rPr>
        <w:t xml:space="preserve"> </w:t>
      </w:r>
    </w:p>
    <w:p w:rsidR="00D773C2" w:rsidRPr="001C4230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básica: [Acá va el texto]</w:t>
      </w:r>
    </w:p>
    <w:p w:rsidR="00D773C2" w:rsidRPr="001C4230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alternativa: [Acá va el texto]</w:t>
      </w:r>
    </w:p>
    <w:p w:rsidR="00D773C2" w:rsidRPr="001C4230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Interfaces gráficas: [Acá van las GUI]</w:t>
      </w:r>
    </w:p>
    <w:p w:rsidR="00D773C2" w:rsidRPr="001C4230" w:rsidRDefault="00D773C2" w:rsidP="00D773C2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Especificación del caso de uso: </w:t>
      </w:r>
      <w:r>
        <w:rPr>
          <w:rStyle w:val="Textoennegrita"/>
          <w:sz w:val="24"/>
        </w:rPr>
        <w:t>CU4. Aplica a convocatoria</w:t>
      </w:r>
      <w:r w:rsidRPr="001C4230">
        <w:rPr>
          <w:rStyle w:val="Textoennegrita"/>
          <w:sz w:val="24"/>
        </w:rPr>
        <w:t xml:space="preserve"> </w:t>
      </w:r>
    </w:p>
    <w:p w:rsidR="00D773C2" w:rsidRPr="001C4230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básica: [Acá va el texto]</w:t>
      </w:r>
    </w:p>
    <w:p w:rsidR="00D773C2" w:rsidRPr="001C4230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alternativa: [Acá va el texto]</w:t>
      </w:r>
    </w:p>
    <w:p w:rsidR="00D773C2" w:rsidRPr="001C4230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Interfaces gráficas: [Acá van las GUI]</w:t>
      </w:r>
    </w:p>
    <w:p w:rsidR="00D773C2" w:rsidRPr="001C4230" w:rsidRDefault="00D773C2" w:rsidP="00D773C2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Especificación del caso de uso: </w:t>
      </w:r>
      <w:r>
        <w:rPr>
          <w:rStyle w:val="Textoennegrita"/>
          <w:sz w:val="24"/>
        </w:rPr>
        <w:t>CU5. Busca convocatoria</w:t>
      </w:r>
      <w:r w:rsidRPr="001C4230">
        <w:rPr>
          <w:rStyle w:val="Textoennegrita"/>
          <w:sz w:val="24"/>
        </w:rPr>
        <w:t xml:space="preserve"> </w:t>
      </w:r>
    </w:p>
    <w:p w:rsidR="00D773C2" w:rsidRPr="001C4230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lastRenderedPageBreak/>
        <w:t>Secuencia básica: [Acá va el texto]</w:t>
      </w:r>
    </w:p>
    <w:p w:rsidR="00D773C2" w:rsidRPr="001C4230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alternativa: [Acá va el texto]</w:t>
      </w:r>
    </w:p>
    <w:p w:rsidR="00D773C2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Interfaces gráficas: [Acá van las GUI]</w:t>
      </w:r>
    </w:p>
    <w:p w:rsidR="002C7ED5" w:rsidRDefault="00A444A1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Especificación del caso de uso: </w:t>
      </w:r>
      <w:r w:rsidR="00D773C2">
        <w:rPr>
          <w:rStyle w:val="Textoennegrita"/>
          <w:sz w:val="24"/>
        </w:rPr>
        <w:t>CU6. Acepta convocatoria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básica: [Acá va el texto]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alternativa: [Acá va el texto]</w:t>
      </w:r>
    </w:p>
    <w:p w:rsidR="002C7ED5" w:rsidRPr="001C4230" w:rsidRDefault="00A444A1" w:rsidP="005474F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Interfaces gráficas: [Acá van las GUI]</w:t>
      </w:r>
    </w:p>
    <w:p w:rsidR="002C7ED5" w:rsidRDefault="002C7ED5" w:rsidP="00193B67"/>
    <w:sectPr w:rsidR="002C7ED5" w:rsidSect="005474F1">
      <w:headerReference w:type="default" r:id="rId10"/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11B" w:rsidRDefault="00E6311B">
      <w:pPr>
        <w:spacing w:after="0" w:line="240" w:lineRule="auto"/>
      </w:pPr>
      <w:r>
        <w:separator/>
      </w:r>
    </w:p>
  </w:endnote>
  <w:endnote w:type="continuationSeparator" w:id="0">
    <w:p w:rsidR="00E6311B" w:rsidRDefault="00E63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7414184"/>
      <w:docPartObj>
        <w:docPartGallery w:val="Page Numbers (Bottom of Page)"/>
        <w:docPartUnique/>
      </w:docPartObj>
    </w:sdtPr>
    <w:sdtEndPr/>
    <w:sdtContent>
      <w:p w:rsidR="001C4230" w:rsidRDefault="001C423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73C2" w:rsidRPr="00D773C2">
          <w:rPr>
            <w:noProof/>
            <w:lang w:val="es-ES"/>
          </w:rPr>
          <w:t>5</w:t>
        </w:r>
        <w:r>
          <w:fldChar w:fldCharType="end"/>
        </w:r>
      </w:p>
    </w:sdtContent>
  </w:sdt>
  <w:p w:rsidR="001C4230" w:rsidRDefault="001C42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11B" w:rsidRDefault="00E6311B">
      <w:pPr>
        <w:spacing w:after="0" w:line="240" w:lineRule="auto"/>
      </w:pPr>
      <w:r>
        <w:separator/>
      </w:r>
    </w:p>
  </w:footnote>
  <w:footnote w:type="continuationSeparator" w:id="0">
    <w:p w:rsidR="00E6311B" w:rsidRDefault="00E63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30" w:rsidRDefault="001C4230">
    <w:pPr>
      <w:keepLines/>
      <w:tabs>
        <w:tab w:val="center" w:pos="4320"/>
        <w:tab w:val="right" w:pos="8640"/>
      </w:tabs>
      <w:spacing w:before="120" w:line="240" w:lineRule="auto"/>
      <w:ind w:right="360"/>
      <w:jc w:val="center"/>
    </w:pPr>
    <w:r>
      <w:rPr>
        <w:b/>
        <w:sz w:val="20"/>
        <w:szCs w:val="20"/>
      </w:rPr>
      <w:t>DISEÑO Y CONSTRUCCIÓN DE PRODUCTOS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2957"/>
    <w:multiLevelType w:val="multilevel"/>
    <w:tmpl w:val="6ED20CAC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65" w:firstLine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146" w:firstLine="425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firstLine="36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firstLine="36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00" w:firstLine="36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firstLine="36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firstLine="36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firstLine="360"/>
      </w:pPr>
      <w:rPr>
        <w:vertAlign w:val="baseline"/>
      </w:rPr>
    </w:lvl>
  </w:abstractNum>
  <w:abstractNum w:abstractNumId="1" w15:restartNumberingAfterBreak="0">
    <w:nsid w:val="1CF945D1"/>
    <w:multiLevelType w:val="multilevel"/>
    <w:tmpl w:val="36D0450C"/>
    <w:lvl w:ilvl="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>
      <w:start w:val="1"/>
      <w:numFmt w:val="decimal"/>
      <w:pStyle w:val="TDC3"/>
      <w:isLgl/>
      <w:lvlText w:val="%1.%2."/>
      <w:lvlJc w:val="left"/>
      <w:pPr>
        <w:ind w:left="9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76" w:hanging="2160"/>
      </w:pPr>
      <w:rPr>
        <w:rFonts w:hint="default"/>
      </w:rPr>
    </w:lvl>
  </w:abstractNum>
  <w:abstractNum w:abstractNumId="2" w15:restartNumberingAfterBreak="0">
    <w:nsid w:val="28E93015"/>
    <w:multiLevelType w:val="hybridMultilevel"/>
    <w:tmpl w:val="C7A24E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7ED5"/>
    <w:rsid w:val="00083D13"/>
    <w:rsid w:val="00120AAF"/>
    <w:rsid w:val="00193B67"/>
    <w:rsid w:val="001A1B5B"/>
    <w:rsid w:val="001C4230"/>
    <w:rsid w:val="002A3C20"/>
    <w:rsid w:val="002C7ED5"/>
    <w:rsid w:val="003B0CFE"/>
    <w:rsid w:val="003B43EB"/>
    <w:rsid w:val="005474F1"/>
    <w:rsid w:val="00590518"/>
    <w:rsid w:val="005D0CAB"/>
    <w:rsid w:val="006D0597"/>
    <w:rsid w:val="007224B7"/>
    <w:rsid w:val="007C723D"/>
    <w:rsid w:val="00877652"/>
    <w:rsid w:val="008D514E"/>
    <w:rsid w:val="009407A0"/>
    <w:rsid w:val="00941656"/>
    <w:rsid w:val="00A444A1"/>
    <w:rsid w:val="00A77500"/>
    <w:rsid w:val="00B63A01"/>
    <w:rsid w:val="00B7453E"/>
    <w:rsid w:val="00C504C7"/>
    <w:rsid w:val="00D1171E"/>
    <w:rsid w:val="00D773C2"/>
    <w:rsid w:val="00DB3555"/>
    <w:rsid w:val="00E6311B"/>
    <w:rsid w:val="00F30A0A"/>
    <w:rsid w:val="00FB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2CCF5"/>
  <w15:docId w15:val="{6A9A51BF-8354-4FEA-B26D-DB07EDF8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CO" w:eastAsia="es-CO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D13"/>
  </w:style>
  <w:style w:type="paragraph" w:styleId="Ttulo1">
    <w:name w:val="heading 1"/>
    <w:basedOn w:val="Normal"/>
    <w:next w:val="Normal"/>
    <w:link w:val="Ttulo1Car"/>
    <w:uiPriority w:val="9"/>
    <w:qFormat/>
    <w:rsid w:val="00083D13"/>
    <w:pPr>
      <w:keepNext/>
      <w:keepLines/>
      <w:pBdr>
        <w:bottom w:val="single" w:sz="4" w:space="1" w:color="B3116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50C4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3D1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3D1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83D1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83D1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83D1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3D1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3D1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3D1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83D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50C4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83D1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83D13"/>
    <w:rPr>
      <w:rFonts w:asciiTheme="majorHAnsi" w:eastAsiaTheme="majorEastAsia" w:hAnsiTheme="majorHAnsi" w:cstheme="majorBidi"/>
      <w:color w:val="850C4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083D13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83D1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083D1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083D1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083D1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3D1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3D1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3D1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83D1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tuloCar">
    <w:name w:val="Título Car"/>
    <w:basedOn w:val="Fuentedeprrafopredeter"/>
    <w:link w:val="Ttulo"/>
    <w:uiPriority w:val="10"/>
    <w:rsid w:val="00083D13"/>
    <w:rPr>
      <w:rFonts w:asciiTheme="majorHAnsi" w:eastAsiaTheme="majorEastAsia" w:hAnsiTheme="majorHAnsi" w:cstheme="majorBidi"/>
      <w:color w:val="850C4B" w:themeColor="accent1" w:themeShade="BF"/>
      <w:spacing w:val="-7"/>
      <w:sz w:val="80"/>
      <w:szCs w:val="80"/>
    </w:rPr>
  </w:style>
  <w:style w:type="character" w:customStyle="1" w:styleId="SubttuloCar">
    <w:name w:val="Subtítulo Car"/>
    <w:basedOn w:val="Fuentedeprrafopredeter"/>
    <w:link w:val="Subttulo"/>
    <w:uiPriority w:val="11"/>
    <w:rsid w:val="00083D1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083D13"/>
    <w:rPr>
      <w:b/>
      <w:bCs/>
    </w:rPr>
  </w:style>
  <w:style w:type="character" w:styleId="nfasis">
    <w:name w:val="Emphasis"/>
    <w:basedOn w:val="Fuentedeprrafopredeter"/>
    <w:uiPriority w:val="20"/>
    <w:qFormat/>
    <w:rsid w:val="00083D13"/>
    <w:rPr>
      <w:i/>
      <w:iCs/>
    </w:rPr>
  </w:style>
  <w:style w:type="paragraph" w:styleId="Sinespaciado">
    <w:name w:val="No Spacing"/>
    <w:uiPriority w:val="1"/>
    <w:qFormat/>
    <w:rsid w:val="00083D1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83D1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83D1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3D1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3D13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83D1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83D1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83D1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083D1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083D13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083D13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7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50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45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1B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1B5B"/>
  </w:style>
  <w:style w:type="paragraph" w:styleId="Piedepgina">
    <w:name w:val="footer"/>
    <w:basedOn w:val="Normal"/>
    <w:link w:val="PiedepginaCar"/>
    <w:uiPriority w:val="99"/>
    <w:unhideWhenUsed/>
    <w:rsid w:val="001A1B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1B5B"/>
  </w:style>
  <w:style w:type="paragraph" w:styleId="TDC2">
    <w:name w:val="toc 2"/>
    <w:basedOn w:val="Normal"/>
    <w:next w:val="Normal"/>
    <w:autoRedefine/>
    <w:uiPriority w:val="39"/>
    <w:unhideWhenUsed/>
    <w:rsid w:val="005474F1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5474F1"/>
    <w:pPr>
      <w:spacing w:after="100" w:line="259" w:lineRule="auto"/>
    </w:pPr>
    <w:rPr>
      <w:rFonts w:cs="Times New Roman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3B0CFE"/>
    <w:pPr>
      <w:numPr>
        <w:ilvl w:val="1"/>
        <w:numId w:val="3"/>
      </w:numPr>
      <w:spacing w:after="100" w:line="259" w:lineRule="auto"/>
      <w:ind w:left="1134" w:hanging="918"/>
    </w:pPr>
    <w:rPr>
      <w:rFonts w:cs="Times New Roman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1C4230"/>
    <w:rPr>
      <w:color w:val="8F8F8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la de reuniones Ion">
  <a:themeElements>
    <a:clrScheme name="Sala de reuniones Ion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F8FAA-E214-4E26-AA11-956B8E5B0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699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UNALMED</Company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GIRALDO</dc:creator>
  <cp:lastModifiedBy>Santiago Arbelaez</cp:lastModifiedBy>
  <cp:revision>6</cp:revision>
  <dcterms:created xsi:type="dcterms:W3CDTF">2018-02-23T15:55:00Z</dcterms:created>
  <dcterms:modified xsi:type="dcterms:W3CDTF">2018-03-01T04:09:00Z</dcterms:modified>
</cp:coreProperties>
</file>