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Walmart Sales Report</w:t>
      </w:r>
    </w:p>
    <w:p>
      <w:pPr>
        <w:pStyle w:val="Heading1"/>
      </w:pPr>
      <w:r>
        <w:t>1. Executive Summary</w:t>
      </w:r>
    </w:p>
    <w:p>
      <w:r>
        <w:t>This report provides a summary analysis of Walmart sales transactions, including sales performance by product category, customer ratings, payment methods, and profit margins. The data includes 10,051 transactions with details on locations, prices, and customer feedback.</w:t>
      </w:r>
    </w:p>
    <w:p>
      <w:pPr>
        <w:pStyle w:val="Heading1"/>
      </w:pPr>
      <w:r>
        <w:t>2. Descriptive Statistics</w:t>
      </w:r>
    </w:p>
    <w:p>
      <w:r>
        <w:t xml:space="preserve">       unit_price  quantity  total_sales    rating  profit_margin</w:t>
        <w:br/>
        <w:t>count    10020.00  10020.00     10020.00  10020.00       10020.00</w:t>
        <w:br/>
        <w:t>mean        50.63      2.35       121.24      5.82           0.39</w:t>
        <w:br/>
        <w:t>std         21.20      1.60       112.47      1.76           0.09</w:t>
        <w:br/>
        <w:t>min         10.08      1.00        10.17      3.00           0.18</w:t>
        <w:br/>
        <w:t>25%         32.00      1.00        54.00      4.00           0.33</w:t>
        <w:br/>
        <w:t>50%         51.00      2.00        88.00      6.00           0.33</w:t>
        <w:br/>
        <w:t>75%         69.00      3.00       156.00      7.00           0.48</w:t>
        <w:br/>
        <w:t>max         99.96     10.00       993.00     10.00           0.57</w:t>
      </w:r>
    </w:p>
    <w:p>
      <w:pPr>
        <w:pStyle w:val="Heading1"/>
      </w:pPr>
      <w:r>
        <w:t>3. Sales Analysis</w:t>
      </w:r>
    </w:p>
    <w:p>
      <w:r>
        <w:t>The chart below shows the total sales by product category.</w:t>
      </w:r>
    </w:p>
    <w:p>
      <w:r>
        <w:drawing>
          <wp:inline xmlns:a="http://schemas.openxmlformats.org/drawingml/2006/main" xmlns:pic="http://schemas.openxmlformats.org/drawingml/2006/picture">
            <wp:extent cx="5029200" cy="3143250"/>
            <wp:docPr id="1" name="Picture 1"/>
            <wp:cNvGraphicFramePr>
              <a:graphicFrameLocks noChangeAspect="1"/>
            </wp:cNvGraphicFramePr>
            <a:graphic>
              <a:graphicData uri="http://schemas.openxmlformats.org/drawingml/2006/picture">
                <pic:pic>
                  <pic:nvPicPr>
                    <pic:cNvPr id="0" name="sales_by_category.png"/>
                    <pic:cNvPicPr/>
                  </pic:nvPicPr>
                  <pic:blipFill>
                    <a:blip r:embed="rId9"/>
                    <a:stretch>
                      <a:fillRect/>
                    </a:stretch>
                  </pic:blipFill>
                  <pic:spPr>
                    <a:xfrm>
                      <a:off x="0" y="0"/>
                      <a:ext cx="5029200" cy="3143250"/>
                    </a:xfrm>
                    <a:prstGeom prst="rect"/>
                  </pic:spPr>
                </pic:pic>
              </a:graphicData>
            </a:graphic>
          </wp:inline>
        </w:drawing>
      </w:r>
    </w:p>
    <w:p>
      <w:r>
        <w:t>The chart below shows the average customer rating by payment method.</w:t>
      </w:r>
    </w:p>
    <w:p>
      <w:r>
        <w:drawing>
          <wp:inline xmlns:a="http://schemas.openxmlformats.org/drawingml/2006/main" xmlns:pic="http://schemas.openxmlformats.org/drawingml/2006/picture">
            <wp:extent cx="4572000" cy="3048000"/>
            <wp:docPr id="2" name="Picture 2"/>
            <wp:cNvGraphicFramePr>
              <a:graphicFrameLocks noChangeAspect="1"/>
            </wp:cNvGraphicFramePr>
            <a:graphic>
              <a:graphicData uri="http://schemas.openxmlformats.org/drawingml/2006/picture">
                <pic:pic>
                  <pic:nvPicPr>
                    <pic:cNvPr id="0" name="rating_by_payment.png"/>
                    <pic:cNvPicPr/>
                  </pic:nvPicPr>
                  <pic:blipFill>
                    <a:blip r:embed="rId10"/>
                    <a:stretch>
                      <a:fillRect/>
                    </a:stretch>
                  </pic:blipFill>
                  <pic:spPr>
                    <a:xfrm>
                      <a:off x="0" y="0"/>
                      <a:ext cx="4572000" cy="3048000"/>
                    </a:xfrm>
                    <a:prstGeom prst="rect"/>
                  </pic:spPr>
                </pic:pic>
              </a:graphicData>
            </a:graphic>
          </wp:inline>
        </w:drawing>
      </w:r>
    </w:p>
    <w:p>
      <w:pPr>
        <w:pStyle w:val="Heading1"/>
      </w:pPr>
      <w:r>
        <w:t>4. Key Insights</w:t>
      </w:r>
    </w:p>
    <w:p>
      <w:r>
        <w:t>- The highest grossing product categories include fashion and health-related items.</w:t>
      </w:r>
    </w:p>
    <w:p>
      <w:r>
        <w:t>- E-wallet and credit card users tend to give higher ratings.</w:t>
      </w:r>
    </w:p>
    <w:p>
      <w:r>
        <w:t>- Most transactions include 1–3 units, with profit margins mostly around 33% or 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