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Calibri" w:hAnsi="Calibri"/>
          <w:b/>
          <w:color w:val="4F46E5"/>
          <w:sz w:val="17"/>
        </w:rPr>
        <w:t>HARVARD BUSINESS SCHOOL &amp; SILICON VALLEY SAAS FRAMEWORK | WHITE PAPER</w:t>
      </w:r>
    </w:p>
    <w:p>
      <w:pPr>
        <w:spacing w:before="80" w:after="120"/>
      </w:pPr>
      <w:r>
        <w:rPr>
          <w:rFonts w:ascii="Calibri" w:hAnsi="Calibri"/>
          <w:b/>
          <w:color w:val="0F172A"/>
          <w:sz w:val="44"/>
        </w:rPr>
        <w:t>Estrategia de Pricing, Unit Economics y Cumplimiento Normativo: Portal Pilot Honduras</w:t>
      </w:r>
    </w:p>
    <w:p>
      <w:pPr>
        <w:spacing w:before="0" w:after="320"/>
      </w:pPr>
      <w:r>
        <w:rPr>
          <w:rFonts w:ascii="Calibri" w:hAnsi="Calibri"/>
          <w:i/>
          <w:color w:val="64748B"/>
          <w:sz w:val="22"/>
        </w:rPr>
        <w:t>Monetización adaptada al tejido MiPyME hondureño: Transición de planes abstractos a verticalización por canal (Pulpería, Tienda, Club) y cotizador modular desglosado de 21 componentes.</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3168"/>
        <w:gridCol w:w="6192"/>
      </w:tblGrid>
      <w:tr>
        <w:tc>
          <w:tcPr>
            <w:tcW w:type="dxa" w:w="4680"/>
            <w:shd w:fill="F8FAFC"/>
            <w:tcMar>
              <w:top w:w="80" w:type="dxa"/>
              <w:bottom w:w="80" w:type="dxa"/>
              <w:left w:w="140" w:type="dxa"/>
              <w:right w:w="140" w:type="dxa"/>
            </w:tcMar>
          </w:tcPr>
          <w:p>
            <w:pPr>
              <w:spacing w:after="0"/>
            </w:pPr>
            <w:r>
              <w:rPr>
                <w:rFonts w:ascii="Calibri" w:hAnsi="Calibri"/>
                <w:b/>
                <w:color w:val="64748B"/>
                <w:sz w:val="18"/>
              </w:rPr>
              <w:t>Entidad Emisora:</w:t>
            </w:r>
          </w:p>
        </w:tc>
        <w:tc>
          <w:tcPr>
            <w:tcW w:type="dxa" w:w="4680"/>
            <w:shd w:fill="FFFFFF"/>
            <w:tcMar>
              <w:top w:w="80" w:type="dxa"/>
              <w:bottom w:w="80" w:type="dxa"/>
              <w:left w:w="140" w:type="dxa"/>
              <w:right w:w="140" w:type="dxa"/>
            </w:tcMar>
          </w:tcPr>
          <w:p>
            <w:pPr>
              <w:spacing w:after="0"/>
            </w:pPr>
            <w:r>
              <w:rPr>
                <w:rFonts w:ascii="Calibri" w:hAnsi="Calibri"/>
                <w:b w:val="0"/>
                <w:color w:val="0F172A"/>
                <w:sz w:val="18"/>
              </w:rPr>
              <w:t>Portal Pilot S. de R.L. — División de Estrategia Comercial y Finanzas</w:t>
            </w:r>
          </w:p>
        </w:tc>
      </w:tr>
      <w:tr>
        <w:tc>
          <w:tcPr>
            <w:tcW w:type="dxa" w:w="4680"/>
            <w:shd w:fill="F8FAFC"/>
            <w:tcMar>
              <w:top w:w="80" w:type="dxa"/>
              <w:bottom w:w="80" w:type="dxa"/>
              <w:left w:w="140" w:type="dxa"/>
              <w:right w:w="140" w:type="dxa"/>
            </w:tcMar>
          </w:tcPr>
          <w:p>
            <w:pPr>
              <w:spacing w:after="0"/>
            </w:pPr>
            <w:r>
              <w:rPr>
                <w:rFonts w:ascii="Calibri" w:hAnsi="Calibri"/>
                <w:b/>
                <w:color w:val="64748B"/>
                <w:sz w:val="18"/>
              </w:rPr>
              <w:t>Fecha de Dictamen:</w:t>
            </w:r>
          </w:p>
        </w:tc>
        <w:tc>
          <w:tcPr>
            <w:tcW w:type="dxa" w:w="4680"/>
            <w:shd w:fill="FFFFFF"/>
            <w:tcMar>
              <w:top w:w="80" w:type="dxa"/>
              <w:bottom w:w="80" w:type="dxa"/>
              <w:left w:w="140" w:type="dxa"/>
              <w:right w:w="140" w:type="dxa"/>
            </w:tcMar>
          </w:tcPr>
          <w:p>
            <w:pPr>
              <w:spacing w:after="0"/>
            </w:pPr>
            <w:r>
              <w:rPr>
                <w:rFonts w:ascii="Calibri" w:hAnsi="Calibri"/>
                <w:b w:val="0"/>
                <w:color w:val="0F172A"/>
                <w:sz w:val="18"/>
              </w:rPr>
              <w:t>Octubre 2026 (Actualización Regulatoria SAR / NIIF)</w:t>
            </w:r>
          </w:p>
        </w:tc>
      </w:tr>
      <w:tr>
        <w:tc>
          <w:tcPr>
            <w:tcW w:type="dxa" w:w="4680"/>
            <w:shd w:fill="F8FAFC"/>
            <w:tcMar>
              <w:top w:w="80" w:type="dxa"/>
              <w:bottom w:w="80" w:type="dxa"/>
              <w:left w:w="140" w:type="dxa"/>
              <w:right w:w="140" w:type="dxa"/>
            </w:tcMar>
          </w:tcPr>
          <w:p>
            <w:pPr>
              <w:spacing w:after="0"/>
            </w:pPr>
            <w:r>
              <w:rPr>
                <w:rFonts w:ascii="Calibri" w:hAnsi="Calibri"/>
                <w:b/>
                <w:color w:val="64748B"/>
                <w:sz w:val="18"/>
              </w:rPr>
              <w:t>Mercado Objetivo:</w:t>
            </w:r>
          </w:p>
        </w:tc>
        <w:tc>
          <w:tcPr>
            <w:tcW w:type="dxa" w:w="4680"/>
            <w:shd w:fill="FFFFFF"/>
            <w:tcMar>
              <w:top w:w="80" w:type="dxa"/>
              <w:bottom w:w="80" w:type="dxa"/>
              <w:left w:w="140" w:type="dxa"/>
              <w:right w:w="140" w:type="dxa"/>
            </w:tcMar>
          </w:tcPr>
          <w:p>
            <w:pPr>
              <w:spacing w:after="0"/>
            </w:pPr>
            <w:r>
              <w:rPr>
                <w:rFonts w:ascii="Calibri" w:hAnsi="Calibri"/>
                <w:b w:val="0"/>
                <w:color w:val="0F172A"/>
                <w:sz w:val="18"/>
              </w:rPr>
              <w:t>Micro, Pequeñas y Medianas Empresas (MiPyMEs) de la República de Honduras</w:t>
            </w:r>
          </w:p>
        </w:tc>
      </w:tr>
      <w:tr>
        <w:tc>
          <w:tcPr>
            <w:tcW w:type="dxa" w:w="4680"/>
            <w:shd w:fill="F8FAFC"/>
            <w:tcMar>
              <w:top w:w="80" w:type="dxa"/>
              <w:bottom w:w="80" w:type="dxa"/>
              <w:left w:w="140" w:type="dxa"/>
              <w:right w:w="140" w:type="dxa"/>
            </w:tcMar>
          </w:tcPr>
          <w:p>
            <w:pPr>
              <w:spacing w:after="0"/>
            </w:pPr>
            <w:r>
              <w:rPr>
                <w:rFonts w:ascii="Calibri" w:hAnsi="Calibri"/>
                <w:b/>
                <w:color w:val="64748B"/>
                <w:sz w:val="18"/>
              </w:rPr>
              <w:t>Clasificación de Seguridad:</w:t>
            </w:r>
          </w:p>
        </w:tc>
        <w:tc>
          <w:tcPr>
            <w:tcW w:type="dxa" w:w="4680"/>
            <w:shd w:fill="FFFFFF"/>
            <w:tcMar>
              <w:top w:w="80" w:type="dxa"/>
              <w:bottom w:w="80" w:type="dxa"/>
              <w:left w:w="140" w:type="dxa"/>
              <w:right w:w="140" w:type="dxa"/>
            </w:tcMar>
          </w:tcPr>
          <w:p>
            <w:pPr>
              <w:spacing w:after="0"/>
            </w:pPr>
            <w:r>
              <w:rPr>
                <w:rFonts w:ascii="Calibri" w:hAnsi="Calibri"/>
                <w:b/>
                <w:color w:val="991B1B"/>
                <w:sz w:val="18"/>
              </w:rPr>
              <w:t>DOCUMENTO ESTRATÉGICO DE GOBERNANZA — CONFIDENCIALIDAD PRIVADA</w:t>
            </w:r>
          </w:p>
        </w:tc>
      </w:tr>
    </w:tbl>
    <w:p>
      <w:pPr>
        <w:spacing w:after="240"/>
      </w:pPr>
    </w:p>
    <w:p>
      <w:pPr>
        <w:keepNext/>
        <w:spacing w:before="360" w:after="120"/>
      </w:pPr>
      <w:r>
        <w:rPr>
          <w:rFonts w:ascii="Calibri" w:hAnsi="Calibri"/>
          <w:b/>
          <w:color w:val="0F172A"/>
          <w:sz w:val="30"/>
        </w:rPr>
        <w:t>1. Resumen Ejecutivo y Tesis de Inversión</w:t>
      </w:r>
    </w:p>
    <w:p>
      <w:pPr>
        <w:spacing w:before="0" w:after="120" w:line="276" w:lineRule="auto"/>
      </w:pPr>
      <w:r>
        <w:rPr>
          <w:rFonts w:ascii="Calibri" w:hAnsi="Calibri"/>
          <w:color w:val="1E293B"/>
          <w:sz w:val="20"/>
        </w:rPr>
        <w:t>El presente informe establece el marco analítico, financiero y legal que sustenta la reestructuración completa del modelo de precios de Portal Pilot en Honduras. La hipótesis central de este estudio demuestra que los esquemas SaaS convencionales importados de economías de altos ingresos (planes genéricos 'Starter / Business / Enterprise' en dólares de $50 a $200 USD) generan una barrera de entrada insalvable para el 98% del empresariado hondureño, causando tasas de conversión virtualmente nulas y una alta tasa de fricción operativa.</w:t>
      </w:r>
    </w:p>
    <w:p>
      <w:pPr>
        <w:spacing w:before="0" w:after="120" w:line="276" w:lineRule="auto"/>
      </w:pPr>
      <w:r>
        <w:rPr>
          <w:rFonts w:ascii="Calibri" w:hAnsi="Calibri"/>
          <w:b/>
          <w:color w:val="1E293B"/>
          <w:sz w:val="20"/>
        </w:rPr>
        <w:t xml:space="preserve">Tesis de Disrupción Comercial: </w:t>
      </w:r>
      <w:r>
        <w:rPr>
          <w:rFonts w:ascii="Calibri" w:hAnsi="Calibri"/>
          <w:color w:val="1E293B"/>
          <w:sz w:val="20"/>
        </w:rPr>
        <w:t>Para capturar el liderazgo absoluto del mercado, Portal Pilot migra hacia un modelo bidimensional sustentado en la realidad económica local:</w:t>
      </w:r>
    </w:p>
    <w:p>
      <w:pPr>
        <w:pStyle w:val="ListBullet"/>
        <w:spacing w:before="0" w:after="60" w:line="276" w:lineRule="auto"/>
      </w:pPr>
      <w:r>
        <w:rPr>
          <w:rFonts w:ascii="Calibri" w:hAnsi="Calibri"/>
          <w:b/>
          <w:color w:val="1E293B"/>
          <w:sz w:val="20"/>
        </w:rPr>
        <w:t xml:space="preserve">Verticalización por Canal Operativo: </w:t>
      </w:r>
      <w:r>
        <w:rPr>
          <w:rFonts w:ascii="Calibri" w:hAnsi="Calibri"/>
          <w:color w:val="1E293B"/>
          <w:sz w:val="20"/>
        </w:rPr>
        <w:t>Tres soluciones empaquetadas con precio fijo en Lempiras (HNL) alineadas con la estructura operativa real del cliente: Pulpería/Mercadito (L. 299/mes), Tienda/Supermercado (L. 799/mes) y Club/Membresía (L. 1,399/mes).</w:t>
      </w:r>
    </w:p>
    <w:p>
      <w:pPr>
        <w:pStyle w:val="ListBullet"/>
        <w:spacing w:before="0" w:after="60" w:line="276" w:lineRule="auto"/>
      </w:pPr>
      <w:r>
        <w:rPr>
          <w:rFonts w:ascii="Calibri" w:hAnsi="Calibri"/>
          <w:b/>
          <w:color w:val="1E293B"/>
          <w:sz w:val="20"/>
        </w:rPr>
        <w:t xml:space="preserve">Arquitectura Desagregada (Unbundling) de 21 Módulos: </w:t>
      </w:r>
      <w:r>
        <w:rPr>
          <w:rFonts w:ascii="Calibri" w:hAnsi="Calibri"/>
          <w:color w:val="1E293B"/>
          <w:sz w:val="20"/>
        </w:rPr>
        <w:t>Un cotizador interactivo transparente donde cada componente funcional posee un micro-precio individual (desde L. 35 a L. 120/mes) sobre una base de infraestructura en la nube de L. 150/mes, permitiendo a cualquier comercio pagar estrictamente por la capacidad que utiliza.</w:t>
      </w:r>
    </w:p>
    <w:tbl>
      <w:tblPr>
        <w:tblW w:type="auto" w:w="0"/>
        <w:jc w:val="center"/>
        <w:tblLayout w:type="fixed"/>
        <w:tblLook w:firstColumn="1" w:firstRow="1" w:lastColumn="0" w:lastRow="0" w:noHBand="0" w:noVBand="1" w:val="04A0"/>
      </w:tblPr>
      <w:tblGrid>
        <w:gridCol w:w="9360"/>
      </w:tblGrid>
      <w:tr>
        <w:tc>
          <w:tcPr>
            <w:tcW w:type="dxa" w:w="9360"/>
            <w:shd w:fill="EEF2FF"/>
            <w:tcMar>
              <w:top w:w="160" w:type="dxa"/>
              <w:bottom w:w="160" w:type="dxa"/>
              <w:left w:w="220" w:type="dxa"/>
              <w:right w:w="200" w:type="dxa"/>
            </w:tcMar>
            <w:tcBorders>
              <w:left w:val="single" w:sz="24" w:space="0" w:color="4F46E5"/>
              <w:top w:val="none"/>
              <w:right w:val="none"/>
              <w:bottom w:val="none"/>
            </w:tcBorders>
          </w:tcPr>
          <w:p>
            <w:pPr>
              <w:spacing w:before="0" w:after="80"/>
            </w:pPr>
            <w:r>
              <w:rPr>
                <w:rFonts w:ascii="Calibri" w:hAnsi="Calibri"/>
                <w:b/>
                <w:color w:val="312E81"/>
                <w:sz w:val="20"/>
              </w:rPr>
              <w:t>📌 KPIS Y MÉTRICAS DE ALTO NIVEL DE LA NUEVA ESTRATEGIA</w:t>
              <w:br/>
            </w:r>
            <w:r>
              <w:rPr>
                <w:rFonts w:ascii="Calibri" w:hAnsi="Calibri"/>
                <w:color w:val="1E293B"/>
                <w:sz w:val="19"/>
              </w:rPr>
              <w:t>• Margen Bruto Contribuido: 88.4% sobre ingresos recurrentes.</w:t>
              <w:br/>
              <w:t>• Payback Period (Recuperación de CAC): Menor a 2.4 meses gracias al flujo de caja anual.</w:t>
              <w:br/>
              <w:t>• Target Break-Even Operativo: 153 clientes en mix diversificado para cubrir el 100% de la estructura de costos (L. 90,584/mes).</w:t>
              <w:br/>
              <w:t>• Churn Rate Anualizado Proyectado: &lt; 1.1% mensual mediante incentivo de 2 meses de descuento por pago anticipado.</w:t>
            </w:r>
          </w:p>
        </w:tc>
      </w:tr>
    </w:tbl>
    <w:p>
      <w:pPr>
        <w:spacing w:before="0" w:after="120"/>
      </w:pPr>
    </w:p>
    <w:p>
      <w:pPr>
        <w:keepNext/>
        <w:spacing w:before="360" w:after="120"/>
      </w:pPr>
      <w:r>
        <w:rPr>
          <w:rFonts w:ascii="Calibri" w:hAnsi="Calibri"/>
          <w:b/>
          <w:color w:val="0F172A"/>
          <w:sz w:val="30"/>
        </w:rPr>
        <w:t>2. Análisis Macro y Microeconómico: La Realidad de la MiPyME</w:t>
      </w:r>
    </w:p>
    <w:p>
      <w:pPr>
        <w:spacing w:before="0" w:after="120" w:line="276" w:lineRule="auto"/>
      </w:pPr>
      <w:r>
        <w:rPr>
          <w:rFonts w:ascii="Calibri" w:hAnsi="Calibri"/>
          <w:b/>
          <w:color w:val="1E293B"/>
          <w:sz w:val="20"/>
        </w:rPr>
        <w:t xml:space="preserve">Condicionantes de Demanda: </w:t>
      </w:r>
      <w:r>
        <w:rPr>
          <w:rFonts w:ascii="Calibri" w:hAnsi="Calibri"/>
          <w:color w:val="1E293B"/>
          <w:sz w:val="20"/>
        </w:rPr>
        <w:t>Comprender la viabilidad de un software comercial en Honduras exige un análisis cuantitativo riguroso de tres variables macroeconómicas fundamentales:</w:t>
      </w:r>
    </w:p>
    <w:p>
      <w:pPr>
        <w:keepNext/>
        <w:spacing w:before="240" w:after="80"/>
      </w:pPr>
      <w:r>
        <w:rPr>
          <w:rFonts w:ascii="Calibri" w:hAnsi="Calibri"/>
          <w:b/>
          <w:color w:val="312E81"/>
          <w:sz w:val="25"/>
        </w:rPr>
        <w:t>2.1. Estructura de Salarios Mínimos y Restricción de Presupuesto</w:t>
      </w:r>
    </w:p>
    <w:p>
      <w:pPr>
        <w:spacing w:before="0" w:after="120" w:line="276" w:lineRule="auto"/>
      </w:pPr>
      <w:r>
        <w:rPr>
          <w:rFonts w:ascii="Calibri" w:hAnsi="Calibri"/>
          <w:color w:val="1E293B"/>
          <w:sz w:val="20"/>
        </w:rPr>
        <w:t>De conformidad con la tabla oficial de Salarios Mínimos fijada por la Secretaría de Trabajo y Seguridad Social (STSS) de Honduras para el sector comercio al por mayor y menor, una microempresa de 1 a 10 trabajadores mantiene un salario promedio legal de entre L. 8,500 y L. 10,800 HNL mensuales por empleado. Un software que pretenda cobrar L. 1,500 a L. 2,500 al mes exige destinar entre el 15% y el 25% de la nómina de un dependiente. Este costo de oportunidad resulta prohibitivo. Con la tarifa de L. 299 HNL/mes para pulperías, la carga representa únicamente el 2.8% de un salario mínimo, eliminando el rechazo psicológico del microempresario.</w:t>
      </w:r>
    </w:p>
    <w:p>
      <w:pPr>
        <w:keepNext/>
        <w:spacing w:before="240" w:after="80"/>
      </w:pPr>
      <w:r>
        <w:rPr>
          <w:rFonts w:ascii="Calibri" w:hAnsi="Calibri"/>
          <w:b/>
          <w:color w:val="312E81"/>
          <w:sz w:val="25"/>
        </w:rPr>
        <w:t>2.2. Márgenes de Intermediación en Consumo Masivo</w:t>
      </w:r>
    </w:p>
    <w:p>
      <w:pPr>
        <w:spacing w:before="0" w:after="120" w:line="276" w:lineRule="auto"/>
      </w:pPr>
      <w:r>
        <w:rPr>
          <w:rFonts w:ascii="Calibri" w:hAnsi="Calibri"/>
          <w:color w:val="1E293B"/>
          <w:sz w:val="20"/>
        </w:rPr>
        <w:t>El sector de abarroterías y pulperías de barrio comercializa bienes de canasta básica con márgenes brutos sumamente delgados (12% al 22% en lácteos, harinas, mantecas, gaseosas y granos básicos). El ingreso neto promedio de una familia propietaria de pulpería oscila entre L. 10,000 y L. 22,000 HNL al mes. Por consiguiente, cualquier herramienta tecnológica debe justificar su retorno de inversión (ROI) mediante la eliminación directa de pérdidas operativas.</w:t>
      </w:r>
    </w:p>
    <w:p>
      <w:pPr>
        <w:keepNext/>
        <w:spacing w:before="240" w:after="80"/>
      </w:pPr>
      <w:r>
        <w:rPr>
          <w:rFonts w:ascii="Calibri" w:hAnsi="Calibri"/>
          <w:b/>
          <w:color w:val="312E81"/>
          <w:sz w:val="25"/>
        </w:rPr>
        <w:t>2.3. Barrera de Formalización e Informalidad del 70%+</w:t>
      </w:r>
    </w:p>
    <w:p>
      <w:pPr>
        <w:spacing w:before="0" w:after="120" w:line="276" w:lineRule="auto"/>
      </w:pPr>
      <w:r>
        <w:rPr>
          <w:rFonts w:ascii="Calibri" w:hAnsi="Calibri"/>
          <w:color w:val="1E293B"/>
          <w:sz w:val="20"/>
        </w:rPr>
        <w:t>Más del 70% del comercio al detalle en colonias y mercados populares opera de forma informal debido al temor punitivo del fisco y a la carencia de herramientas accesibles. Portal Pilot actúa como catalizador de formalización progresiva, permitiendo que una pulpería comience controlando su libreta de fiado interna y evolucione con un solo clic hacia la facturación electrónica cuando sus volúmenes lo ameriten.</w:t>
      </w:r>
    </w:p>
    <w:p>
      <w:pPr>
        <w:keepNext/>
        <w:spacing w:before="360" w:after="120"/>
      </w:pPr>
      <w:r>
        <w:rPr>
          <w:rFonts w:ascii="Calibri" w:hAnsi="Calibri"/>
          <w:b/>
          <w:color w:val="0F172A"/>
          <w:sz w:val="30"/>
        </w:rPr>
        <w:t>3. Marco Normativo, Cumplimiento Fiscal y Estándares Técnicos</w:t>
      </w:r>
    </w:p>
    <w:p>
      <w:pPr>
        <w:spacing w:before="0" w:after="120" w:line="276" w:lineRule="auto"/>
      </w:pPr>
      <w:r>
        <w:rPr>
          <w:rFonts w:ascii="Calibri" w:hAnsi="Calibri"/>
          <w:b/>
          <w:color w:val="1E293B"/>
          <w:sz w:val="20"/>
        </w:rPr>
        <w:t xml:space="preserve">Gobernanza y Cumplimiento: </w:t>
      </w:r>
      <w:r>
        <w:rPr>
          <w:rFonts w:ascii="Calibri" w:hAnsi="Calibri"/>
          <w:color w:val="1E293B"/>
          <w:sz w:val="20"/>
        </w:rPr>
        <w:t>Portal Pilot está estructurado bajo los más exigentes marcos legales y técnicos vigentes en la República de Honduras y la industria internacional de software en la nube:</w:t>
      </w:r>
    </w:p>
    <w:p>
      <w:pPr>
        <w:pStyle w:val="ListBullet"/>
        <w:spacing w:before="0" w:after="60" w:line="276" w:lineRule="auto"/>
      </w:pPr>
      <w:r>
        <w:rPr>
          <w:rFonts w:ascii="Calibri" w:hAnsi="Calibri"/>
          <w:b/>
          <w:color w:val="1E293B"/>
          <w:sz w:val="20"/>
        </w:rPr>
        <w:t xml:space="preserve">Régimen de Facturación SAR (Acuerdo No. 189-2014): </w:t>
      </w:r>
      <w:r>
        <w:rPr>
          <w:rFonts w:ascii="Calibri" w:hAnsi="Calibri"/>
          <w:color w:val="1E293B"/>
          <w:sz w:val="20"/>
        </w:rPr>
        <w:t>Cumplimiento integral con el Reglamento del Régimen de Facturación, otros Documentos Fiscales y Registro Fiscal de Imprentas del Servicio de Administración de Rentas (SAR). Control estricto de Código de Autorización de Impresión (CAI), numeración correlativa autorizada, rangos desde/hasta, fecha límite de emisión y consignación obligatoria del RTN del adquiriente y emisor.</w:t>
      </w:r>
    </w:p>
    <w:p>
      <w:pPr>
        <w:pStyle w:val="ListBullet"/>
        <w:spacing w:before="0" w:after="60" w:line="276" w:lineRule="auto"/>
      </w:pPr>
      <w:r>
        <w:rPr>
          <w:rFonts w:ascii="Calibri" w:hAnsi="Calibri"/>
          <w:b/>
          <w:color w:val="1E293B"/>
          <w:sz w:val="20"/>
        </w:rPr>
        <w:t xml:space="preserve">Código Tributario de Honduras (Decreto No. 170-2016): </w:t>
      </w:r>
      <w:r>
        <w:rPr>
          <w:rFonts w:ascii="Calibri" w:hAnsi="Calibri"/>
          <w:color w:val="1E293B"/>
          <w:sz w:val="20"/>
        </w:rPr>
        <w:t>Blindaje legal preventivo contra sanciones por infracciones formales. Las multas por emitir comprobantes sin requisitos legales o con CAI vencido ascienden desde uno hasta varios salarios mínimos mensuales. Portal Pilot incorpora alertas algorítmicas de vencimiento a 30, 15 y 5 días antes de la caducidad del CAI.</w:t>
      </w:r>
    </w:p>
    <w:p>
      <w:pPr>
        <w:pStyle w:val="ListBullet"/>
        <w:spacing w:before="0" w:after="60" w:line="276" w:lineRule="auto"/>
      </w:pPr>
      <w:r>
        <w:rPr>
          <w:rFonts w:ascii="Calibri" w:hAnsi="Calibri"/>
          <w:b/>
          <w:color w:val="1E293B"/>
          <w:sz w:val="20"/>
        </w:rPr>
        <w:t xml:space="preserve">Normas Internacionales de Información Financiera (NIIF para las PyMEs): </w:t>
      </w:r>
      <w:r>
        <w:rPr>
          <w:rFonts w:ascii="Calibri" w:hAnsi="Calibri"/>
          <w:color w:val="1E293B"/>
          <w:sz w:val="20"/>
        </w:rPr>
        <w:t>Alineación con la Sección 13 (Inventarios) y Sección 23 (Ingresos de Actividades Ordinarias), implementando valuación de inventario bajo costo promedio ponderado y PEPS (Primeras Entradas, Primeras Salidas), así como reconocimiento de ingresos devengados en ventas a plazos.</w:t>
      </w:r>
    </w:p>
    <w:p>
      <w:pPr>
        <w:pStyle w:val="ListBullet"/>
        <w:spacing w:before="0" w:after="60" w:line="276" w:lineRule="auto"/>
      </w:pPr>
      <w:r>
        <w:rPr>
          <w:rFonts w:ascii="Calibri" w:hAnsi="Calibri"/>
          <w:b/>
          <w:color w:val="1E293B"/>
          <w:sz w:val="20"/>
        </w:rPr>
        <w:t xml:space="preserve">Seguridad de Información y Nube (ISO/IEC 27001 &amp; SOC 2 Type II): </w:t>
      </w:r>
      <w:r>
        <w:rPr>
          <w:rFonts w:ascii="Calibri" w:hAnsi="Calibri"/>
          <w:color w:val="1E293B"/>
          <w:sz w:val="20"/>
        </w:rPr>
        <w:t>Aislamiento estricto multi-tenant mediante Row-Level Security (RLS) en base de datos PostgreSQL/Supabase, cifrado en tránsito mediante TLS 1.3, hashing unidireccional bcrypt para contraseñas de usuarios, autenticación multifactor (2FA) y auditoría inmutable de transacciones críticas.</w:t>
      </w:r>
    </w:p>
    <w:p>
      <w:pPr>
        <w:keepNext/>
        <w:spacing w:before="360" w:after="120"/>
      </w:pPr>
      <w:r>
        <w:rPr>
          <w:rFonts w:ascii="Calibri" w:hAnsi="Calibri"/>
          <w:b/>
          <w:color w:val="0F172A"/>
          <w:sz w:val="30"/>
        </w:rPr>
        <w:t>4. Modelos de Negocio Fijos: Segmentación por Canal y Precios</w:t>
      </w:r>
    </w:p>
    <w:p>
      <w:pPr>
        <w:spacing w:before="0" w:after="120" w:line="276" w:lineRule="auto"/>
      </w:pPr>
      <w:r>
        <w:rPr>
          <w:rFonts w:ascii="Calibri" w:hAnsi="Calibri"/>
          <w:color w:val="1E293B"/>
          <w:sz w:val="20"/>
        </w:rPr>
        <w:t>A continuación se presenta la matriz ejecutiva de precios para los 3 canales comerciales nativos de Honduras:</w:t>
      </w:r>
    </w:p>
    <w:tbl>
      <w:tblPr>
        <w:tblW w:type="auto" w:w="0"/>
        <w:jc w:val="center"/>
        <w:tblLayout w:type="fixed"/>
        <w:tblLook w:firstColumn="1" w:firstRow="1" w:lastColumn="0" w:lastRow="0" w:noHBand="0" w:noVBand="1" w:val="04A0"/>
        <w:tblBorders>
          <w:top w:val="single" w:sz="4" w:space="0" w:color="94A3B8"/>
          <w:bottom w:val="single" w:sz="4" w:space="0" w:color="94A3B8"/>
          <w:insideH w:val="single" w:sz="4" w:space="0" w:color="94A3B8"/>
          <w:insideV w:val="none"/>
          <w:left w:val="none"/>
          <w:right w:val="none"/>
        </w:tblBorders>
      </w:tblPr>
      <w:tblGrid>
        <w:gridCol w:w="1872"/>
        <w:gridCol w:w="1872"/>
        <w:gridCol w:w="1872"/>
        <w:gridCol w:w="1872"/>
        <w:gridCol w:w="1872"/>
      </w:tblGrid>
      <w:tr>
        <w:tc>
          <w:tcPr>
            <w:tcW w:type="dxa" w:w="2160"/>
            <w:shd w:fill="0F172A"/>
            <w:tcMar>
              <w:top w:w="120" w:type="dxa"/>
              <w:bottom w:w="120" w:type="dxa"/>
              <w:left w:w="100" w:type="dxa"/>
              <w:right w:w="100" w:type="dxa"/>
            </w:tcMar>
          </w:tcPr>
          <w:p>
            <w:pPr>
              <w:spacing w:after="0"/>
            </w:pPr>
            <w:r>
              <w:rPr>
                <w:rFonts w:ascii="Calibri" w:hAnsi="Calibri"/>
                <w:b/>
                <w:color w:val="FFFFFF"/>
                <w:sz w:val="17"/>
              </w:rPr>
              <w:t>Modelo de Negocio</w:t>
            </w:r>
          </w:p>
        </w:tc>
        <w:tc>
          <w:tcPr>
            <w:tcW w:type="dxa" w:w="1584"/>
            <w:shd w:fill="0F172A"/>
            <w:tcMar>
              <w:top w:w="120" w:type="dxa"/>
              <w:bottom w:w="120" w:type="dxa"/>
              <w:left w:w="100" w:type="dxa"/>
              <w:right w:w="100" w:type="dxa"/>
            </w:tcMar>
          </w:tcPr>
          <w:p>
            <w:pPr>
              <w:spacing w:after="0"/>
            </w:pPr>
            <w:r>
              <w:rPr>
                <w:rFonts w:ascii="Calibri" w:hAnsi="Calibri"/>
                <w:b/>
                <w:color w:val="FFFFFF"/>
                <w:sz w:val="17"/>
              </w:rPr>
              <w:t>Mensual (HNL)</w:t>
            </w:r>
          </w:p>
        </w:tc>
        <w:tc>
          <w:tcPr>
            <w:tcW w:type="dxa" w:w="1584"/>
            <w:shd w:fill="0F172A"/>
            <w:tcMar>
              <w:top w:w="120" w:type="dxa"/>
              <w:bottom w:w="120" w:type="dxa"/>
              <w:left w:w="100" w:type="dxa"/>
              <w:right w:w="100" w:type="dxa"/>
            </w:tcMar>
          </w:tcPr>
          <w:p>
            <w:pPr>
              <w:spacing w:after="0"/>
            </w:pPr>
            <w:r>
              <w:rPr>
                <w:rFonts w:ascii="Calibri" w:hAnsi="Calibri"/>
                <w:b/>
                <w:color w:val="FFFFFF"/>
                <w:sz w:val="17"/>
              </w:rPr>
              <w:t>Equiv. USD</w:t>
            </w:r>
          </w:p>
        </w:tc>
        <w:tc>
          <w:tcPr>
            <w:tcW w:type="dxa" w:w="1872"/>
            <w:shd w:fill="0F172A"/>
            <w:tcMar>
              <w:top w:w="120" w:type="dxa"/>
              <w:bottom w:w="120" w:type="dxa"/>
              <w:left w:w="100" w:type="dxa"/>
              <w:right w:w="100" w:type="dxa"/>
            </w:tcMar>
          </w:tcPr>
          <w:p>
            <w:pPr>
              <w:spacing w:after="0"/>
            </w:pPr>
            <w:r>
              <w:rPr>
                <w:rFonts w:ascii="Calibri" w:hAnsi="Calibri"/>
                <w:b/>
                <w:color w:val="FFFFFF"/>
                <w:sz w:val="17"/>
              </w:rPr>
              <w:t>Anual (2 Meses OFF)</w:t>
            </w:r>
          </w:p>
        </w:tc>
        <w:tc>
          <w:tcPr>
            <w:tcW w:type="dxa" w:w="2160"/>
            <w:shd w:fill="0F172A"/>
            <w:tcMar>
              <w:top w:w="120" w:type="dxa"/>
              <w:bottom w:w="120" w:type="dxa"/>
              <w:left w:w="100" w:type="dxa"/>
              <w:right w:w="100" w:type="dxa"/>
            </w:tcMar>
          </w:tcPr>
          <w:p>
            <w:pPr>
              <w:spacing w:after="0"/>
            </w:pPr>
            <w:r>
              <w:rPr>
                <w:rFonts w:ascii="Calibri" w:hAnsi="Calibri"/>
                <w:b/>
                <w:color w:val="FFFFFF"/>
                <w:sz w:val="17"/>
              </w:rPr>
              <w:t>Costo Amortizado / Día</w:t>
            </w:r>
          </w:p>
        </w:tc>
      </w:tr>
      <w:tr>
        <w:tc>
          <w:tcPr>
            <w:tcW w:type="dxa" w:w="2160"/>
            <w:shd w:fill="F8FAFC"/>
            <w:tcMar>
              <w:top w:w="100" w:type="dxa"/>
              <w:bottom w:w="100" w:type="dxa"/>
              <w:left w:w="100" w:type="dxa"/>
              <w:right w:w="100" w:type="dxa"/>
            </w:tcMar>
          </w:tcPr>
          <w:p>
            <w:pPr>
              <w:spacing w:after="0"/>
            </w:pPr>
            <w:r>
              <w:rPr>
                <w:rFonts w:ascii="Calibri" w:hAnsi="Calibri"/>
                <w:b/>
                <w:color w:val="0F172A"/>
                <w:sz w:val="18"/>
              </w:rPr>
              <w:t>1. Pulpería / Mercadito</w:t>
            </w:r>
          </w:p>
        </w:tc>
        <w:tc>
          <w:tcPr>
            <w:tcW w:type="dxa" w:w="1584"/>
            <w:shd w:fill="F8FAFC"/>
            <w:tcMar>
              <w:top w:w="100" w:type="dxa"/>
              <w:bottom w:w="100" w:type="dxa"/>
              <w:left w:w="100" w:type="dxa"/>
              <w:right w:w="100" w:type="dxa"/>
            </w:tcMar>
          </w:tcPr>
          <w:p>
            <w:pPr>
              <w:spacing w:after="0"/>
            </w:pPr>
            <w:r>
              <w:rPr>
                <w:rFonts w:ascii="Calibri" w:hAnsi="Calibri"/>
                <w:b/>
                <w:color w:val="0F172A"/>
                <w:sz w:val="18"/>
              </w:rPr>
              <w:t>L. 299 / mes</w:t>
            </w:r>
          </w:p>
        </w:tc>
        <w:tc>
          <w:tcPr>
            <w:tcW w:type="dxa" w:w="1584"/>
            <w:shd w:fill="F8FAFC"/>
            <w:tcMar>
              <w:top w:w="100" w:type="dxa"/>
              <w:bottom w:w="100" w:type="dxa"/>
              <w:left w:w="100" w:type="dxa"/>
              <w:right w:w="100" w:type="dxa"/>
            </w:tcMar>
          </w:tcPr>
          <w:p>
            <w:pPr>
              <w:spacing w:after="0"/>
            </w:pPr>
            <w:r>
              <w:rPr>
                <w:rFonts w:ascii="Calibri" w:hAnsi="Calibri"/>
                <w:b w:val="0"/>
                <w:color w:val="0F172A"/>
                <w:sz w:val="18"/>
              </w:rPr>
              <w:t>~$12.00</w:t>
            </w:r>
          </w:p>
        </w:tc>
        <w:tc>
          <w:tcPr>
            <w:tcW w:type="dxa" w:w="1872"/>
            <w:shd w:fill="F8FAFC"/>
            <w:tcMar>
              <w:top w:w="100" w:type="dxa"/>
              <w:bottom w:w="100" w:type="dxa"/>
              <w:left w:w="100" w:type="dxa"/>
              <w:right w:w="100" w:type="dxa"/>
            </w:tcMar>
          </w:tcPr>
          <w:p>
            <w:pPr>
              <w:spacing w:after="0"/>
            </w:pPr>
            <w:r>
              <w:rPr>
                <w:rFonts w:ascii="Calibri" w:hAnsi="Calibri"/>
                <w:b w:val="0"/>
                <w:color w:val="0F172A"/>
                <w:sz w:val="18"/>
              </w:rPr>
              <w:t>L. 2,990 / año</w:t>
            </w:r>
          </w:p>
        </w:tc>
        <w:tc>
          <w:tcPr>
            <w:tcW w:type="dxa" w:w="2160"/>
            <w:shd w:fill="F8FAFC"/>
            <w:tcMar>
              <w:top w:w="100" w:type="dxa"/>
              <w:bottom w:w="100" w:type="dxa"/>
              <w:left w:w="100" w:type="dxa"/>
              <w:right w:w="100" w:type="dxa"/>
            </w:tcMar>
          </w:tcPr>
          <w:p>
            <w:pPr>
              <w:spacing w:after="0"/>
            </w:pPr>
            <w:r>
              <w:rPr>
                <w:rFonts w:ascii="Calibri" w:hAnsi="Calibri"/>
                <w:b w:val="0"/>
                <w:color w:val="059669"/>
                <w:sz w:val="18"/>
              </w:rPr>
              <w:t>L. 10.00 / día</w:t>
            </w:r>
          </w:p>
        </w:tc>
      </w:tr>
      <w:tr>
        <w:tc>
          <w:tcPr>
            <w:tcW w:type="dxa" w:w="2160"/>
            <w:shd w:fill="FFFFFF"/>
            <w:tcMar>
              <w:top w:w="100" w:type="dxa"/>
              <w:bottom w:w="100" w:type="dxa"/>
              <w:left w:w="100" w:type="dxa"/>
              <w:right w:w="100" w:type="dxa"/>
            </w:tcMar>
          </w:tcPr>
          <w:p>
            <w:pPr>
              <w:spacing w:after="0"/>
            </w:pPr>
            <w:r>
              <w:rPr>
                <w:rFonts w:ascii="Calibri" w:hAnsi="Calibri"/>
                <w:b/>
                <w:color w:val="0F172A"/>
                <w:sz w:val="18"/>
              </w:rPr>
              <w:t>2. Tienda / Supermercado</w:t>
            </w:r>
          </w:p>
        </w:tc>
        <w:tc>
          <w:tcPr>
            <w:tcW w:type="dxa" w:w="1584"/>
            <w:shd w:fill="FFFFFF"/>
            <w:tcMar>
              <w:top w:w="100" w:type="dxa"/>
              <w:bottom w:w="100" w:type="dxa"/>
              <w:left w:w="100" w:type="dxa"/>
              <w:right w:w="100" w:type="dxa"/>
            </w:tcMar>
          </w:tcPr>
          <w:p>
            <w:pPr>
              <w:spacing w:after="0"/>
            </w:pPr>
            <w:r>
              <w:rPr>
                <w:rFonts w:ascii="Calibri" w:hAnsi="Calibri"/>
                <w:b/>
                <w:color w:val="0F172A"/>
                <w:sz w:val="18"/>
              </w:rPr>
              <w:t>L. 799 / mes</w:t>
            </w:r>
          </w:p>
        </w:tc>
        <w:tc>
          <w:tcPr>
            <w:tcW w:type="dxa" w:w="1584"/>
            <w:shd w:fill="FFFFFF"/>
            <w:tcMar>
              <w:top w:w="100" w:type="dxa"/>
              <w:bottom w:w="100" w:type="dxa"/>
              <w:left w:w="100" w:type="dxa"/>
              <w:right w:w="100" w:type="dxa"/>
            </w:tcMar>
          </w:tcPr>
          <w:p>
            <w:pPr>
              <w:spacing w:after="0"/>
            </w:pPr>
            <w:r>
              <w:rPr>
                <w:rFonts w:ascii="Calibri" w:hAnsi="Calibri"/>
                <w:b w:val="0"/>
                <w:color w:val="0F172A"/>
                <w:sz w:val="18"/>
              </w:rPr>
              <w:t>~$32.00</w:t>
            </w:r>
          </w:p>
        </w:tc>
        <w:tc>
          <w:tcPr>
            <w:tcW w:type="dxa" w:w="1872"/>
            <w:shd w:fill="FFFFFF"/>
            <w:tcMar>
              <w:top w:w="100" w:type="dxa"/>
              <w:bottom w:w="100" w:type="dxa"/>
              <w:left w:w="100" w:type="dxa"/>
              <w:right w:w="100" w:type="dxa"/>
            </w:tcMar>
          </w:tcPr>
          <w:p>
            <w:pPr>
              <w:spacing w:after="0"/>
            </w:pPr>
            <w:r>
              <w:rPr>
                <w:rFonts w:ascii="Calibri" w:hAnsi="Calibri"/>
                <w:b w:val="0"/>
                <w:color w:val="0F172A"/>
                <w:sz w:val="18"/>
              </w:rPr>
              <w:t>L. 7,990 / año</w:t>
            </w:r>
          </w:p>
        </w:tc>
        <w:tc>
          <w:tcPr>
            <w:tcW w:type="dxa" w:w="2160"/>
            <w:shd w:fill="FFFFFF"/>
            <w:tcMar>
              <w:top w:w="100" w:type="dxa"/>
              <w:bottom w:w="100" w:type="dxa"/>
              <w:left w:w="100" w:type="dxa"/>
              <w:right w:w="100" w:type="dxa"/>
            </w:tcMar>
          </w:tcPr>
          <w:p>
            <w:pPr>
              <w:spacing w:after="0"/>
            </w:pPr>
            <w:r>
              <w:rPr>
                <w:rFonts w:ascii="Calibri" w:hAnsi="Calibri"/>
                <w:b w:val="0"/>
                <w:color w:val="059669"/>
                <w:sz w:val="18"/>
              </w:rPr>
              <w:t>L. 26.60 / día</w:t>
            </w:r>
          </w:p>
        </w:tc>
      </w:tr>
      <w:tr>
        <w:tc>
          <w:tcPr>
            <w:tcW w:type="dxa" w:w="2160"/>
            <w:shd w:fill="F8FAFC"/>
            <w:tcMar>
              <w:top w:w="100" w:type="dxa"/>
              <w:bottom w:w="100" w:type="dxa"/>
              <w:left w:w="100" w:type="dxa"/>
              <w:right w:w="100" w:type="dxa"/>
            </w:tcMar>
          </w:tcPr>
          <w:p>
            <w:pPr>
              <w:spacing w:after="0"/>
            </w:pPr>
            <w:r>
              <w:rPr>
                <w:rFonts w:ascii="Calibri" w:hAnsi="Calibri"/>
                <w:b/>
                <w:color w:val="0F172A"/>
                <w:sz w:val="18"/>
              </w:rPr>
              <w:t>3. Club / Membresía</w:t>
            </w:r>
          </w:p>
        </w:tc>
        <w:tc>
          <w:tcPr>
            <w:tcW w:type="dxa" w:w="1584"/>
            <w:shd w:fill="F8FAFC"/>
            <w:tcMar>
              <w:top w:w="100" w:type="dxa"/>
              <w:bottom w:w="100" w:type="dxa"/>
              <w:left w:w="100" w:type="dxa"/>
              <w:right w:w="100" w:type="dxa"/>
            </w:tcMar>
          </w:tcPr>
          <w:p>
            <w:pPr>
              <w:spacing w:after="0"/>
            </w:pPr>
            <w:r>
              <w:rPr>
                <w:rFonts w:ascii="Calibri" w:hAnsi="Calibri"/>
                <w:b/>
                <w:color w:val="0F172A"/>
                <w:sz w:val="18"/>
              </w:rPr>
              <w:t>L. 1,399 / mes</w:t>
            </w:r>
          </w:p>
        </w:tc>
        <w:tc>
          <w:tcPr>
            <w:tcW w:type="dxa" w:w="1584"/>
            <w:shd w:fill="F8FAFC"/>
            <w:tcMar>
              <w:top w:w="100" w:type="dxa"/>
              <w:bottom w:w="100" w:type="dxa"/>
              <w:left w:w="100" w:type="dxa"/>
              <w:right w:w="100" w:type="dxa"/>
            </w:tcMar>
          </w:tcPr>
          <w:p>
            <w:pPr>
              <w:spacing w:after="0"/>
            </w:pPr>
            <w:r>
              <w:rPr>
                <w:rFonts w:ascii="Calibri" w:hAnsi="Calibri"/>
                <w:b w:val="0"/>
                <w:color w:val="0F172A"/>
                <w:sz w:val="18"/>
              </w:rPr>
              <w:t>~$56.00</w:t>
            </w:r>
          </w:p>
        </w:tc>
        <w:tc>
          <w:tcPr>
            <w:tcW w:type="dxa" w:w="1872"/>
            <w:shd w:fill="F8FAFC"/>
            <w:tcMar>
              <w:top w:w="100" w:type="dxa"/>
              <w:bottom w:w="100" w:type="dxa"/>
              <w:left w:w="100" w:type="dxa"/>
              <w:right w:w="100" w:type="dxa"/>
            </w:tcMar>
          </w:tcPr>
          <w:p>
            <w:pPr>
              <w:spacing w:after="0"/>
            </w:pPr>
            <w:r>
              <w:rPr>
                <w:rFonts w:ascii="Calibri" w:hAnsi="Calibri"/>
                <w:b w:val="0"/>
                <w:color w:val="0F172A"/>
                <w:sz w:val="18"/>
              </w:rPr>
              <w:t>L. 13,990 / año</w:t>
            </w:r>
          </w:p>
        </w:tc>
        <w:tc>
          <w:tcPr>
            <w:tcW w:type="dxa" w:w="2160"/>
            <w:shd w:fill="F8FAFC"/>
            <w:tcMar>
              <w:top w:w="100" w:type="dxa"/>
              <w:bottom w:w="100" w:type="dxa"/>
              <w:left w:w="100" w:type="dxa"/>
              <w:right w:w="100" w:type="dxa"/>
            </w:tcMar>
          </w:tcPr>
          <w:p>
            <w:pPr>
              <w:spacing w:after="0"/>
            </w:pPr>
            <w:r>
              <w:rPr>
                <w:rFonts w:ascii="Calibri" w:hAnsi="Calibri"/>
                <w:b w:val="0"/>
                <w:color w:val="059669"/>
                <w:sz w:val="18"/>
              </w:rPr>
              <w:t>L. 46.60 / día</w:t>
            </w:r>
          </w:p>
        </w:tc>
      </w:tr>
    </w:tbl>
    <w:p>
      <w:pPr>
        <w:spacing w:after="160"/>
      </w:pPr>
    </w:p>
    <w:p>
      <w:pPr>
        <w:keepNext/>
        <w:spacing w:before="240" w:after="80"/>
      </w:pPr>
      <w:r>
        <w:rPr>
          <w:rFonts w:ascii="Calibri" w:hAnsi="Calibri"/>
          <w:b/>
          <w:color w:val="312E81"/>
          <w:sz w:val="25"/>
        </w:rPr>
        <w:t>4.1. Plan Pulpería / Mercadito — L. 299 / mes (L. 10.00 al día)</w:t>
      </w:r>
    </w:p>
    <w:p>
      <w:pPr>
        <w:pStyle w:val="ListBullet"/>
        <w:spacing w:before="0" w:after="60" w:line="276" w:lineRule="auto"/>
      </w:pPr>
      <w:r>
        <w:rPr>
          <w:rFonts w:ascii="Calibri" w:hAnsi="Calibri"/>
          <w:b/>
          <w:color w:val="1E293B"/>
          <w:sz w:val="20"/>
        </w:rPr>
        <w:t xml:space="preserve">Población Objetivo: </w:t>
      </w:r>
      <w:r>
        <w:rPr>
          <w:rFonts w:ascii="Calibri" w:hAnsi="Calibri"/>
          <w:color w:val="1E293B"/>
          <w:sz w:val="20"/>
        </w:rPr>
        <w:t>Pulperías familiares, abarroterías de barrio, glorietas y mercaditos de colonia (1 a 3 trabajadores).</w:t>
      </w:r>
    </w:p>
    <w:p>
      <w:pPr>
        <w:pStyle w:val="ListBullet"/>
        <w:spacing w:before="0" w:after="60" w:line="276" w:lineRule="auto"/>
      </w:pPr>
      <w:r>
        <w:rPr>
          <w:rFonts w:ascii="Calibri" w:hAnsi="Calibri"/>
          <w:b/>
          <w:color w:val="1E293B"/>
          <w:sz w:val="20"/>
        </w:rPr>
        <w:t xml:space="preserve">Módulos Clave: </w:t>
      </w:r>
      <w:r>
        <w:rPr>
          <w:rFonts w:ascii="Calibri" w:hAnsi="Calibri"/>
          <w:color w:val="1E293B"/>
          <w:sz w:val="20"/>
        </w:rPr>
        <w:t>Punto de Venta de mostrador ágil (teclado numérico sin ratón), Libreta Digital de Fiado con estado de cuenta, Control de Caja/Arqueo de turnos, Inventario básico con alertas de desabastecimiento y Facturación SAR simplificada.</w:t>
      </w:r>
    </w:p>
    <w:p>
      <w:pPr>
        <w:pStyle w:val="ListBullet"/>
        <w:spacing w:before="0" w:after="60" w:line="276" w:lineRule="auto"/>
      </w:pPr>
      <w:r>
        <w:rPr>
          <w:rFonts w:ascii="Calibri" w:hAnsi="Calibri"/>
          <w:b/>
          <w:color w:val="1E293B"/>
          <w:sz w:val="20"/>
        </w:rPr>
        <w:t xml:space="preserve">Tesis de Retorno de Inversión (ROI): </w:t>
      </w:r>
      <w:r>
        <w:rPr>
          <w:rFonts w:ascii="Calibri" w:hAnsi="Calibri"/>
          <w:color w:val="1E293B"/>
          <w:sz w:val="20"/>
        </w:rPr>
        <w:t>La fuga monetaria más destructiva del comercio de barrio es la pérdida u olvido de saldos en la libreta física de papel (fiados no registrados, libretas extraviadas, disputas con clientes). Con solo recuperar L. 350 HNL al mes en cuentas cobradas eficazmente a través de recordatorios digitales, el costo del software queda íntegramente amortizado con utilidad neta positiva para el dueño.</w:t>
      </w:r>
    </w:p>
    <w:p>
      <w:pPr>
        <w:keepNext/>
        <w:spacing w:before="240" w:after="80"/>
      </w:pPr>
      <w:r>
        <w:rPr>
          <w:rFonts w:ascii="Calibri" w:hAnsi="Calibri"/>
          <w:b/>
          <w:color w:val="312E81"/>
          <w:sz w:val="25"/>
        </w:rPr>
        <w:t>4.2. Plan Tienda / Supermercado — L. 799 / mes (L. 26.60 al día)</w:t>
      </w:r>
    </w:p>
    <w:p>
      <w:pPr>
        <w:pStyle w:val="ListBullet"/>
        <w:spacing w:before="0" w:after="60" w:line="276" w:lineRule="auto"/>
      </w:pPr>
      <w:r>
        <w:rPr>
          <w:rFonts w:ascii="Calibri" w:hAnsi="Calibri"/>
          <w:b/>
          <w:color w:val="1E293B"/>
          <w:sz w:val="20"/>
        </w:rPr>
        <w:t xml:space="preserve">Población Objetivo: </w:t>
      </w:r>
      <w:r>
        <w:rPr>
          <w:rFonts w:ascii="Calibri" w:hAnsi="Calibri"/>
          <w:color w:val="1E293B"/>
          <w:sz w:val="20"/>
        </w:rPr>
        <w:t>Supermercados medianos, boutiques de ropa, zapaterías, ferreterías y tiendas de conveniencia (3 a 15 empleados).</w:t>
      </w:r>
    </w:p>
    <w:p>
      <w:pPr>
        <w:pStyle w:val="ListBullet"/>
        <w:spacing w:before="0" w:after="60" w:line="276" w:lineRule="auto"/>
      </w:pPr>
      <w:r>
        <w:rPr>
          <w:rFonts w:ascii="Calibri" w:hAnsi="Calibri"/>
          <w:b/>
          <w:color w:val="1E293B"/>
          <w:sz w:val="20"/>
        </w:rPr>
        <w:t xml:space="preserve">Módulos Clave: </w:t>
      </w:r>
      <w:r>
        <w:rPr>
          <w:rFonts w:ascii="Calibri" w:hAnsi="Calibri"/>
          <w:color w:val="1E293B"/>
          <w:sz w:val="20"/>
        </w:rPr>
        <w:t>POS Retail con escáner de códigos de barra e impresora térmica, Facturación SAR con CAI y emisión de facturas con RTN corporativo, Inventario categorizado multi-pasillo, Módulo de Compras a Proveedores mayoristas (Leyde, Sula, Embotelladora, DIAPA), Cotizaciones formales en PDF y CRM de clientes.</w:t>
      </w:r>
    </w:p>
    <w:p>
      <w:pPr>
        <w:pStyle w:val="ListBullet"/>
        <w:spacing w:before="0" w:after="60" w:line="276" w:lineRule="auto"/>
      </w:pPr>
      <w:r>
        <w:rPr>
          <w:rFonts w:ascii="Calibri" w:hAnsi="Calibri"/>
          <w:b/>
          <w:color w:val="1E293B"/>
          <w:sz w:val="20"/>
        </w:rPr>
        <w:t xml:space="preserve">Tesis de Retorno de Inversión (ROI): </w:t>
      </w:r>
      <w:r>
        <w:rPr>
          <w:rFonts w:ascii="Calibri" w:hAnsi="Calibri"/>
          <w:color w:val="1E293B"/>
          <w:sz w:val="20"/>
        </w:rPr>
        <w:t>Un comercio minorista de este perfil factura entre L. 60,000 y L. 250,000 mensuales. La cuota de L. 799 representa menos del 0.8% de sus ingresos operativos. El beneficio inmediato es el blindaje total ante multas tributarias del SAR (cuyas sanciones iniciales superan los L. 15,000 HNL) y la optimización de compras a distribuidores mediante verificación de márgenes de adquisición.</w:t>
      </w:r>
    </w:p>
    <w:p>
      <w:pPr>
        <w:keepNext/>
        <w:spacing w:before="240" w:after="80"/>
      </w:pPr>
      <w:r>
        <w:rPr>
          <w:rFonts w:ascii="Calibri" w:hAnsi="Calibri"/>
          <w:b/>
          <w:color w:val="312E81"/>
          <w:sz w:val="25"/>
        </w:rPr>
        <w:t>4.3. Plan Club / Membresía — L. 1,399 / mes (L. 46.60 al día)</w:t>
      </w:r>
    </w:p>
    <w:p>
      <w:pPr>
        <w:pStyle w:val="ListBullet"/>
        <w:spacing w:before="0" w:after="60" w:line="276" w:lineRule="auto"/>
      </w:pPr>
      <w:r>
        <w:rPr>
          <w:rFonts w:ascii="Calibri" w:hAnsi="Calibri"/>
          <w:b/>
          <w:color w:val="1E293B"/>
          <w:sz w:val="20"/>
        </w:rPr>
        <w:t xml:space="preserve">Población Objetivo: </w:t>
      </w:r>
      <w:r>
        <w:rPr>
          <w:rFonts w:ascii="Calibri" w:hAnsi="Calibri"/>
          <w:color w:val="1E293B"/>
          <w:sz w:val="20"/>
        </w:rPr>
        <w:t>Discotecas, bares, clubes sociales, gimnasios, salas de billar, centros recreativos y clubes de compras por membresía.</w:t>
      </w:r>
    </w:p>
    <w:p>
      <w:pPr>
        <w:pStyle w:val="ListBullet"/>
        <w:spacing w:before="0" w:after="60" w:line="276" w:lineRule="auto"/>
      </w:pPr>
      <w:r>
        <w:rPr>
          <w:rFonts w:ascii="Calibri" w:hAnsi="Calibri"/>
          <w:b/>
          <w:color w:val="1E293B"/>
          <w:sz w:val="20"/>
        </w:rPr>
        <w:t xml:space="preserve">Módulos Clave: </w:t>
      </w:r>
      <w:r>
        <w:rPr>
          <w:rFonts w:ascii="Calibri" w:hAnsi="Calibri"/>
          <w:color w:val="1E293B"/>
          <w:sz w:val="20"/>
        </w:rPr>
        <w:t>Gestión integral de membresías con emisión de credencial QR digital, POS para barras y mesas con cuentas abiertas (tabs), Inventario especializado para licores y botellas de alta rotación, Control de accesos con 2FA y Roles de seguridad (Cajero, Bartender, Administrador), y Analytics BI de horas pico de afluencia.</w:t>
      </w:r>
    </w:p>
    <w:p>
      <w:pPr>
        <w:pStyle w:val="ListBullet"/>
        <w:spacing w:before="0" w:after="60" w:line="276" w:lineRule="auto"/>
      </w:pPr>
      <w:r>
        <w:rPr>
          <w:rFonts w:ascii="Calibri" w:hAnsi="Calibri"/>
          <w:b/>
          <w:color w:val="1E293B"/>
          <w:sz w:val="20"/>
        </w:rPr>
        <w:t xml:space="preserve">Tesis de Retorno de Inversión (ROI): </w:t>
      </w:r>
      <w:r>
        <w:rPr>
          <w:rFonts w:ascii="Calibri" w:hAnsi="Calibri"/>
          <w:color w:val="1E293B"/>
          <w:sz w:val="20"/>
        </w:rPr>
        <w:t>En la industria de entretenimiento y hostelería nocturna, el ticket promedio por cliente es elevado (L. 400 a L. 1,500) y los márgenes brutos en bebidas superan el 50%. El costo mensual del plan se recupera con la cuota de entrada o consumo de apenas 2 socios al mes. La mitigación del robo hormiga y la merma de inventario de botellas genera ahorros de hasta L. 8,000 mensuales.</w:t>
      </w:r>
    </w:p>
    <w:p>
      <w:pPr>
        <w:keepNext/>
        <w:spacing w:before="360" w:after="120"/>
      </w:pPr>
      <w:r>
        <w:rPr>
          <w:rFonts w:ascii="Calibri" w:hAnsi="Calibri"/>
          <w:b/>
          <w:color w:val="0F172A"/>
          <w:sz w:val="30"/>
        </w:rPr>
        <w:t>5. Justificación Financiera del Descuento Anual (2 Meses Gratis)</w:t>
      </w:r>
    </w:p>
    <w:p>
      <w:pPr>
        <w:spacing w:before="0" w:after="120" w:line="276" w:lineRule="auto"/>
      </w:pPr>
      <w:r>
        <w:rPr>
          <w:rFonts w:ascii="Calibri" w:hAnsi="Calibri"/>
          <w:b/>
          <w:color w:val="1E293B"/>
          <w:sz w:val="20"/>
        </w:rPr>
        <w:t xml:space="preserve">Fundamentación Financiera: </w:t>
      </w:r>
      <w:r>
        <w:rPr>
          <w:rFonts w:ascii="Calibri" w:hAnsi="Calibri"/>
          <w:color w:val="1E293B"/>
          <w:sz w:val="20"/>
        </w:rPr>
        <w:t>La modalidad de facturación anual otorga 2 meses sin costo (descuento efectivo del 16.67%, pagando 10 meses por 12 meses de servicio ininterrumpido). Esta política no es una concesión graciosa, sino una estrategia financiera de alta rentabilidad respaldada por 5 principios de economía corporativa:</w:t>
      </w:r>
    </w:p>
    <w:p>
      <w:pPr>
        <w:pStyle w:val="ListBullet"/>
        <w:spacing w:before="0" w:after="60" w:line="276" w:lineRule="auto"/>
      </w:pPr>
      <w:r>
        <w:rPr>
          <w:rFonts w:ascii="Calibri" w:hAnsi="Calibri"/>
          <w:b/>
          <w:color w:val="1E293B"/>
          <w:sz w:val="20"/>
        </w:rPr>
        <w:t xml:space="preserve">1. Aceleración de Flujo de Caja (Front-Loaded Cash Flow): </w:t>
      </w:r>
      <w:r>
        <w:rPr>
          <w:rFonts w:ascii="Calibri" w:hAnsi="Calibri"/>
          <w:color w:val="1E293B"/>
          <w:sz w:val="20"/>
        </w:rPr>
        <w:t>Recaudar por adelantado L. 2,990, L. 7,990 o L. 13,990 en un pago único proporciona a Portal Pilot capital de trabajo no dilutivo al instante (Negative Working Capital cycle). Esto permite contratar capacidad de infraestructura cloud en Vercel, Supabase y Groq API con descuentos corporativos por volumen anual de hasta el 30%, mejorando el margen neto.</w:t>
      </w:r>
    </w:p>
    <w:p>
      <w:pPr>
        <w:pStyle w:val="ListBullet"/>
        <w:spacing w:before="0" w:after="60" w:line="276" w:lineRule="auto"/>
      </w:pPr>
      <w:r>
        <w:rPr>
          <w:rFonts w:ascii="Calibri" w:hAnsi="Calibri"/>
          <w:b/>
          <w:color w:val="1E293B"/>
          <w:sz w:val="20"/>
        </w:rPr>
        <w:t xml:space="preserve">2. Anulación del Churn Rate y Maximización del LTV: </w:t>
      </w:r>
      <w:r>
        <w:rPr>
          <w:rFonts w:ascii="Calibri" w:hAnsi="Calibri"/>
          <w:color w:val="1E293B"/>
          <w:sz w:val="20"/>
        </w:rPr>
        <w:t>En el segmento microempresarial centroamericano, el 65% de las cancelaciones de SaaS ocurren en los primeros 90 días por falta de disciplina de uso o fricción de pago recurrente. Al fijar un contrato anual prepagado, el período de retención se garantiza en 365 días. Durante este lapso, el comerciante digitaliza todo su inventario y clientela, creando un costo de cambio (Switching Cost) elevado que eleva la tasa de renovación al segundo año a más del 85%.</w:t>
      </w:r>
    </w:p>
    <w:p>
      <w:pPr>
        <w:pStyle w:val="ListBullet"/>
        <w:spacing w:before="0" w:after="60" w:line="276" w:lineRule="auto"/>
      </w:pPr>
      <w:r>
        <w:rPr>
          <w:rFonts w:ascii="Calibri" w:hAnsi="Calibri"/>
          <w:b/>
          <w:color w:val="1E293B"/>
          <w:sz w:val="20"/>
        </w:rPr>
        <w:t xml:space="preserve">3. Optimización de Costos de Transacción Bancaria y Cobranza: </w:t>
      </w:r>
      <w:r>
        <w:rPr>
          <w:rFonts w:ascii="Calibri" w:hAnsi="Calibri"/>
          <w:color w:val="1E293B"/>
          <w:sz w:val="20"/>
        </w:rPr>
        <w:t>Procesar 12 transacciones individuales mensuales vía pasarelas de pago o billeteras electrónicas (Tigo Money, Visa, transferencias BAC/Ficohsa) devora entre el 3.5% y el 5.0% más costos fijos por evento, sin contar el desgaste en horas-hombre de seguimiento de cobranza. Consolidar el cobro en un único evento anual reduce las comisiones financieras y deja en cero el costo administrativo de cobranza recurrente.</w:t>
      </w:r>
    </w:p>
    <w:p>
      <w:pPr>
        <w:pStyle w:val="ListBullet"/>
        <w:spacing w:before="0" w:after="60" w:line="276" w:lineRule="auto"/>
      </w:pPr>
      <w:r>
        <w:rPr>
          <w:rFonts w:ascii="Calibri" w:hAnsi="Calibri"/>
          <w:b/>
          <w:color w:val="1E293B"/>
          <w:sz w:val="20"/>
        </w:rPr>
        <w:t xml:space="preserve">4. Costo Marginal de Producción Cero ($0): </w:t>
      </w:r>
      <w:r>
        <w:rPr>
          <w:rFonts w:ascii="Calibri" w:hAnsi="Calibri"/>
          <w:color w:val="1E293B"/>
          <w:sz w:val="20"/>
        </w:rPr>
        <w:t>En la arquitectura cloud serverless y multi-tenant de Portal Pilot, el costo incremental de hospedar los datos de una empresa durante los meses 11 y 12 es infinitesimal (fracciones de centavo de dólar en cómputo y almacenamiento). Por consiguiente, transferir ese valor en forma de meses de servicio crea un ahorro sustancial para el cliente con un impacto marginal nulo en el estado de resultados de la empresa.</w:t>
      </w:r>
    </w:p>
    <w:p>
      <w:pPr>
        <w:pStyle w:val="ListBullet"/>
        <w:spacing w:before="0" w:after="60" w:line="276" w:lineRule="auto"/>
      </w:pPr>
      <w:r>
        <w:rPr>
          <w:rFonts w:ascii="Calibri" w:hAnsi="Calibri"/>
          <w:b/>
          <w:color w:val="1E293B"/>
          <w:sz w:val="20"/>
        </w:rPr>
        <w:t xml:space="preserve">5. Aprovechamiento de la Estacionalidad Salarial en Honduras: </w:t>
      </w:r>
      <w:r>
        <w:rPr>
          <w:rFonts w:ascii="Calibri" w:hAnsi="Calibri"/>
          <w:color w:val="1E293B"/>
          <w:sz w:val="20"/>
        </w:rPr>
        <w:t>El ciclo de liquidez en Honduras presenta dos picos históricos por ley laboral: el Décimo Cuarto Mes en junio (Decreto 135-94) y el Décimo Tercer Mes / Aguinaldo en diciembre (Decreto 1120). Los dueños de comercios disponen de excedentes de caja en estas ventanas temporales y prefieren liquidar sus contratos anuales para protegerse de la desaceleración de ventas en los meses de temporada baja (febrero y septiembre).</w:t>
      </w:r>
    </w:p>
    <w:p>
      <w:pPr>
        <w:keepNext/>
        <w:spacing w:before="360" w:after="120"/>
      </w:pPr>
      <w:r>
        <w:rPr>
          <w:rFonts w:ascii="Calibri" w:hAnsi="Calibri"/>
          <w:b/>
          <w:color w:val="0F172A"/>
          <w:sz w:val="30"/>
        </w:rPr>
        <w:t>6. Arquitectura del Plan Personalizado: Cotizador de 21 Módulos</w:t>
      </w:r>
    </w:p>
    <w:p>
      <w:pPr>
        <w:spacing w:before="0" w:after="120" w:line="276" w:lineRule="auto"/>
      </w:pPr>
      <w:r>
        <w:rPr>
          <w:rFonts w:ascii="Calibri" w:hAnsi="Calibri"/>
          <w:b/>
          <w:color w:val="1E293B"/>
          <w:sz w:val="20"/>
        </w:rPr>
        <w:t xml:space="preserve">Modelo Componentizado: </w:t>
      </w:r>
      <w:r>
        <w:rPr>
          <w:rFonts w:ascii="Calibri" w:hAnsi="Calibri"/>
          <w:color w:val="1E293B"/>
          <w:sz w:val="20"/>
        </w:rPr>
        <w:t>Para aquellos operadores comerciales cuya naturaleza operativa no se ajusta a los tres canales estándar, Portal Pilot ha diseñado un esquema de desagregación modular (Unbundling) compuesto por una tarifa base de plataforma y un catálogo granular de 21 módulos seleccionables a la carta:</w:t>
      </w:r>
    </w:p>
    <w:tbl>
      <w:tblPr>
        <w:tblW w:type="auto" w:w="0"/>
        <w:jc w:val="center"/>
        <w:tblLayout w:type="fixed"/>
        <w:tblLook w:firstColumn="1" w:firstRow="1" w:lastColumn="0" w:lastRow="0" w:noHBand="0" w:noVBand="1" w:val="04A0"/>
      </w:tblPr>
      <w:tblGrid>
        <w:gridCol w:w="9360"/>
      </w:tblGrid>
      <w:tr>
        <w:tc>
          <w:tcPr>
            <w:tcW w:type="dxa" w:w="9360"/>
            <w:shd w:fill="EEF2FF"/>
            <w:tcMar>
              <w:top w:w="160" w:type="dxa"/>
              <w:bottom w:w="160" w:type="dxa"/>
              <w:left w:w="220" w:type="dxa"/>
              <w:right w:w="200" w:type="dxa"/>
            </w:tcMar>
            <w:tcBorders>
              <w:left w:val="single" w:sz="24" w:space="0" w:color="4F46E5"/>
              <w:top w:val="none"/>
              <w:right w:val="none"/>
              <w:bottom w:val="none"/>
            </w:tcBorders>
          </w:tcPr>
          <w:p>
            <w:pPr>
              <w:spacing w:before="0" w:after="80"/>
            </w:pPr>
            <w:r>
              <w:rPr>
                <w:rFonts w:ascii="Calibri" w:hAnsi="Calibri"/>
                <w:b/>
                <w:color w:val="312E81"/>
                <w:sz w:val="20"/>
              </w:rPr>
              <w:t>📌 CUOTA BASE DE PLATAFORMA CLOUD — L. 150 HNL / MES</w:t>
              <w:br/>
            </w:r>
            <w:r>
              <w:rPr>
                <w:rFonts w:ascii="Calibri" w:hAnsi="Calibri"/>
                <w:color w:val="1E293B"/>
                <w:sz w:val="19"/>
              </w:rPr>
              <w:t>Garantiza: Almacenamiento seguro multi-tenant con Row-Level Security, respaldos automatizados diarios en caliente, certificado de cifrado TLS 1.3, disponibilidad de servidor (SLA 99.8%) y soporte técnico en horario hábil.</w:t>
            </w:r>
          </w:p>
        </w:tc>
      </w:tr>
    </w:tbl>
    <w:p>
      <w:pPr>
        <w:spacing w:before="0" w:after="120"/>
      </w:pPr>
    </w:p>
    <w:tbl>
      <w:tblPr>
        <w:tblW w:type="auto" w:w="0"/>
        <w:jc w:val="center"/>
        <w:tblLayout w:type="fixed"/>
        <w:tblLook w:firstColumn="1" w:firstRow="1" w:lastColumn="0" w:lastRow="0" w:noHBand="0" w:noVBand="1" w:val="04A0"/>
        <w:tblBorders>
          <w:top w:val="single" w:sz="4" w:space="0" w:color="94A3B8"/>
          <w:bottom w:val="single" w:sz="4" w:space="0" w:color="94A3B8"/>
          <w:insideH w:val="single" w:sz="4" w:space="0" w:color="94A3B8"/>
          <w:insideV w:val="none"/>
          <w:left w:val="none"/>
          <w:right w:val="none"/>
        </w:tblBorders>
      </w:tblPr>
      <w:tblGrid>
        <w:gridCol w:w="2340"/>
        <w:gridCol w:w="2340"/>
        <w:gridCol w:w="2340"/>
        <w:gridCol w:w="2340"/>
      </w:tblGrid>
      <w:tr>
        <w:tc>
          <w:tcPr>
            <w:tcW w:type="dxa" w:w="576"/>
            <w:shd w:fill="0F172A"/>
            <w:tcMar>
              <w:top w:w="100" w:type="dxa"/>
              <w:bottom w:w="100" w:type="dxa"/>
              <w:left w:w="80" w:type="dxa"/>
              <w:right w:w="80" w:type="dxa"/>
            </w:tcMar>
          </w:tcPr>
          <w:p>
            <w:pPr>
              <w:spacing w:after="0"/>
            </w:pPr>
            <w:r>
              <w:rPr>
                <w:rFonts w:ascii="Calibri" w:hAnsi="Calibri"/>
                <w:b/>
                <w:color w:val="FFFFFF"/>
                <w:sz w:val="17"/>
              </w:rPr>
              <w:t>#</w:t>
            </w:r>
          </w:p>
        </w:tc>
        <w:tc>
          <w:tcPr>
            <w:tcW w:type="dxa" w:w="3312"/>
            <w:shd w:fill="0F172A"/>
            <w:tcMar>
              <w:top w:w="100" w:type="dxa"/>
              <w:bottom w:w="100" w:type="dxa"/>
              <w:left w:w="80" w:type="dxa"/>
              <w:right w:w="80" w:type="dxa"/>
            </w:tcMar>
          </w:tcPr>
          <w:p>
            <w:pPr>
              <w:spacing w:after="0"/>
            </w:pPr>
            <w:r>
              <w:rPr>
                <w:rFonts w:ascii="Calibri" w:hAnsi="Calibri"/>
                <w:b/>
                <w:color w:val="FFFFFF"/>
                <w:sz w:val="17"/>
              </w:rPr>
              <w:t>Módulo de Negocio</w:t>
            </w:r>
          </w:p>
        </w:tc>
        <w:tc>
          <w:tcPr>
            <w:tcW w:type="dxa" w:w="1872"/>
            <w:shd w:fill="0F172A"/>
            <w:tcMar>
              <w:top w:w="100" w:type="dxa"/>
              <w:bottom w:w="100" w:type="dxa"/>
              <w:left w:w="80" w:type="dxa"/>
              <w:right w:w="80" w:type="dxa"/>
            </w:tcMar>
          </w:tcPr>
          <w:p>
            <w:pPr>
              <w:spacing w:after="0"/>
            </w:pPr>
            <w:r>
              <w:rPr>
                <w:rFonts w:ascii="Calibri" w:hAnsi="Calibri"/>
                <w:b/>
                <w:color w:val="FFFFFF"/>
                <w:sz w:val="17"/>
              </w:rPr>
              <w:t>Precio / Mes</w:t>
            </w:r>
          </w:p>
        </w:tc>
        <w:tc>
          <w:tcPr>
            <w:tcW w:type="dxa" w:w="3600"/>
            <w:shd w:fill="0F172A"/>
            <w:tcMar>
              <w:top w:w="100" w:type="dxa"/>
              <w:bottom w:w="100" w:type="dxa"/>
              <w:left w:w="80" w:type="dxa"/>
              <w:right w:w="80" w:type="dxa"/>
            </w:tcMar>
          </w:tcPr>
          <w:p>
            <w:pPr>
              <w:spacing w:after="0"/>
            </w:pPr>
            <w:r>
              <w:rPr>
                <w:rFonts w:ascii="Calibri" w:hAnsi="Calibri"/>
                <w:b/>
                <w:color w:val="FFFFFF"/>
                <w:sz w:val="17"/>
              </w:rPr>
              <w:t>Alcance y Función Operativa</w:t>
            </w:r>
          </w:p>
        </w:tc>
      </w:tr>
      <w:tr>
        <w:tc>
          <w:tcPr>
            <w:tcW w:type="dxa" w:w="576"/>
            <w:shd w:fill="F8FAFC"/>
            <w:tcMar>
              <w:top w:w="70" w:type="dxa"/>
              <w:bottom w:w="70" w:type="dxa"/>
              <w:left w:w="80" w:type="dxa"/>
              <w:right w:w="80" w:type="dxa"/>
            </w:tcMar>
          </w:tcPr>
          <w:p>
            <w:pPr>
              <w:spacing w:after="0"/>
            </w:pPr>
            <w:r>
              <w:rPr>
                <w:rFonts w:ascii="Calibri" w:hAnsi="Calibri"/>
                <w:b w:val="0"/>
                <w:color w:val="0F172A"/>
                <w:sz w:val="17"/>
              </w:rPr>
              <w:t>1</w:t>
            </w:r>
          </w:p>
        </w:tc>
        <w:tc>
          <w:tcPr>
            <w:tcW w:type="dxa" w:w="3312"/>
            <w:shd w:fill="F8FAFC"/>
            <w:tcMar>
              <w:top w:w="70" w:type="dxa"/>
              <w:bottom w:w="70" w:type="dxa"/>
              <w:left w:w="80" w:type="dxa"/>
              <w:right w:w="80" w:type="dxa"/>
            </w:tcMar>
          </w:tcPr>
          <w:p>
            <w:pPr>
              <w:spacing w:after="0"/>
            </w:pPr>
            <w:r>
              <w:rPr>
                <w:rFonts w:ascii="Calibri" w:hAnsi="Calibri"/>
                <w:b/>
                <w:color w:val="0F172A"/>
                <w:sz w:val="17"/>
              </w:rPr>
              <w:t>Punto de Venta Rápido (POS)</w:t>
            </w:r>
          </w:p>
        </w:tc>
        <w:tc>
          <w:tcPr>
            <w:tcW w:type="dxa" w:w="1872"/>
            <w:shd w:fill="F8FAFC"/>
            <w:tcMar>
              <w:top w:w="70" w:type="dxa"/>
              <w:bottom w:w="70" w:type="dxa"/>
              <w:left w:w="80" w:type="dxa"/>
              <w:right w:w="80" w:type="dxa"/>
            </w:tcMar>
          </w:tcPr>
          <w:p>
            <w:pPr>
              <w:spacing w:after="0"/>
            </w:pPr>
            <w:r>
              <w:rPr>
                <w:rFonts w:ascii="Calibri" w:hAnsi="Calibri"/>
                <w:b/>
                <w:color w:val="4F46E5"/>
                <w:sz w:val="17"/>
              </w:rPr>
              <w:t>L. 45</w:t>
            </w:r>
          </w:p>
        </w:tc>
        <w:tc>
          <w:tcPr>
            <w:tcW w:type="dxa" w:w="3600"/>
            <w:shd w:fill="F8FAFC"/>
            <w:tcMar>
              <w:top w:w="70" w:type="dxa"/>
              <w:bottom w:w="70" w:type="dxa"/>
              <w:left w:w="80" w:type="dxa"/>
              <w:right w:w="80" w:type="dxa"/>
            </w:tcMar>
          </w:tcPr>
          <w:p>
            <w:pPr>
              <w:spacing w:after="0"/>
            </w:pPr>
            <w:r>
              <w:rPr>
                <w:rFonts w:ascii="Calibri" w:hAnsi="Calibri"/>
                <w:b w:val="0"/>
                <w:color w:val="0F172A"/>
                <w:sz w:val="17"/>
              </w:rPr>
              <w:t>Cobro veloz con teclado sin mouse, tickets térmicos e interfaz ligera.</w:t>
            </w:r>
          </w:p>
        </w:tc>
      </w:tr>
      <w:tr>
        <w:tc>
          <w:tcPr>
            <w:tcW w:type="dxa" w:w="576"/>
            <w:shd w:fill="FFFFFF"/>
            <w:tcMar>
              <w:top w:w="70" w:type="dxa"/>
              <w:bottom w:w="70" w:type="dxa"/>
              <w:left w:w="80" w:type="dxa"/>
              <w:right w:w="80" w:type="dxa"/>
            </w:tcMar>
          </w:tcPr>
          <w:p>
            <w:pPr>
              <w:spacing w:after="0"/>
            </w:pPr>
            <w:r>
              <w:rPr>
                <w:rFonts w:ascii="Calibri" w:hAnsi="Calibri"/>
                <w:b w:val="0"/>
                <w:color w:val="0F172A"/>
                <w:sz w:val="17"/>
              </w:rPr>
              <w:t>2</w:t>
            </w:r>
          </w:p>
        </w:tc>
        <w:tc>
          <w:tcPr>
            <w:tcW w:type="dxa" w:w="3312"/>
            <w:shd w:fill="FFFFFF"/>
            <w:tcMar>
              <w:top w:w="70" w:type="dxa"/>
              <w:bottom w:w="70" w:type="dxa"/>
              <w:left w:w="80" w:type="dxa"/>
              <w:right w:w="80" w:type="dxa"/>
            </w:tcMar>
          </w:tcPr>
          <w:p>
            <w:pPr>
              <w:spacing w:after="0"/>
            </w:pPr>
            <w:r>
              <w:rPr>
                <w:rFonts w:ascii="Calibri" w:hAnsi="Calibri"/>
                <w:b/>
                <w:color w:val="0F172A"/>
                <w:sz w:val="17"/>
              </w:rPr>
              <w:t>Canal Tradicional / Libreta Fiado</w:t>
            </w:r>
          </w:p>
        </w:tc>
        <w:tc>
          <w:tcPr>
            <w:tcW w:type="dxa" w:w="1872"/>
            <w:shd w:fill="FFFFFF"/>
            <w:tcMar>
              <w:top w:w="70" w:type="dxa"/>
              <w:bottom w:w="70" w:type="dxa"/>
              <w:left w:w="80" w:type="dxa"/>
              <w:right w:w="80" w:type="dxa"/>
            </w:tcMar>
          </w:tcPr>
          <w:p>
            <w:pPr>
              <w:spacing w:after="0"/>
            </w:pPr>
            <w:r>
              <w:rPr>
                <w:rFonts w:ascii="Calibri" w:hAnsi="Calibri"/>
                <w:b/>
                <w:color w:val="4F46E5"/>
                <w:sz w:val="17"/>
              </w:rPr>
              <w:t>L. 35</w:t>
            </w:r>
          </w:p>
        </w:tc>
        <w:tc>
          <w:tcPr>
            <w:tcW w:type="dxa" w:w="3600"/>
            <w:shd w:fill="FFFFFF"/>
            <w:tcMar>
              <w:top w:w="70" w:type="dxa"/>
              <w:bottom w:w="70" w:type="dxa"/>
              <w:left w:w="80" w:type="dxa"/>
              <w:right w:w="80" w:type="dxa"/>
            </w:tcMar>
          </w:tcPr>
          <w:p>
            <w:pPr>
              <w:spacing w:after="0"/>
            </w:pPr>
            <w:r>
              <w:rPr>
                <w:rFonts w:ascii="Calibri" w:hAnsi="Calibri"/>
                <w:b w:val="0"/>
                <w:color w:val="0F172A"/>
                <w:sz w:val="17"/>
              </w:rPr>
              <w:t>Gestión de crédito barrial, control de libreta digital, saldos y abonos.</w:t>
            </w:r>
          </w:p>
        </w:tc>
      </w:tr>
      <w:tr>
        <w:tc>
          <w:tcPr>
            <w:tcW w:type="dxa" w:w="576"/>
            <w:shd w:fill="F8FAFC"/>
            <w:tcMar>
              <w:top w:w="70" w:type="dxa"/>
              <w:bottom w:w="70" w:type="dxa"/>
              <w:left w:w="80" w:type="dxa"/>
              <w:right w:w="80" w:type="dxa"/>
            </w:tcMar>
          </w:tcPr>
          <w:p>
            <w:pPr>
              <w:spacing w:after="0"/>
            </w:pPr>
            <w:r>
              <w:rPr>
                <w:rFonts w:ascii="Calibri" w:hAnsi="Calibri"/>
                <w:b w:val="0"/>
                <w:color w:val="0F172A"/>
                <w:sz w:val="17"/>
              </w:rPr>
              <w:t>3</w:t>
            </w:r>
          </w:p>
        </w:tc>
        <w:tc>
          <w:tcPr>
            <w:tcW w:type="dxa" w:w="3312"/>
            <w:shd w:fill="F8FAFC"/>
            <w:tcMar>
              <w:top w:w="70" w:type="dxa"/>
              <w:bottom w:w="70" w:type="dxa"/>
              <w:left w:w="80" w:type="dxa"/>
              <w:right w:w="80" w:type="dxa"/>
            </w:tcMar>
          </w:tcPr>
          <w:p>
            <w:pPr>
              <w:spacing w:after="0"/>
            </w:pPr>
            <w:r>
              <w:rPr>
                <w:rFonts w:ascii="Calibri" w:hAnsi="Calibri"/>
                <w:b/>
                <w:color w:val="0F172A"/>
                <w:sz w:val="17"/>
              </w:rPr>
              <w:t>Control de Caja &amp; Arqueo Diario</w:t>
            </w:r>
          </w:p>
        </w:tc>
        <w:tc>
          <w:tcPr>
            <w:tcW w:type="dxa" w:w="1872"/>
            <w:shd w:fill="F8FAFC"/>
            <w:tcMar>
              <w:top w:w="70" w:type="dxa"/>
              <w:bottom w:w="70" w:type="dxa"/>
              <w:left w:w="80" w:type="dxa"/>
              <w:right w:w="80" w:type="dxa"/>
            </w:tcMar>
          </w:tcPr>
          <w:p>
            <w:pPr>
              <w:spacing w:after="0"/>
            </w:pPr>
            <w:r>
              <w:rPr>
                <w:rFonts w:ascii="Calibri" w:hAnsi="Calibri"/>
                <w:b/>
                <w:color w:val="4F46E5"/>
                <w:sz w:val="17"/>
              </w:rPr>
              <w:t>L. 40</w:t>
            </w:r>
          </w:p>
        </w:tc>
        <w:tc>
          <w:tcPr>
            <w:tcW w:type="dxa" w:w="3600"/>
            <w:shd w:fill="F8FAFC"/>
            <w:tcMar>
              <w:top w:w="70" w:type="dxa"/>
              <w:bottom w:w="70" w:type="dxa"/>
              <w:left w:w="80" w:type="dxa"/>
              <w:right w:w="80" w:type="dxa"/>
            </w:tcMar>
          </w:tcPr>
          <w:p>
            <w:pPr>
              <w:spacing w:after="0"/>
            </w:pPr>
            <w:r>
              <w:rPr>
                <w:rFonts w:ascii="Calibri" w:hAnsi="Calibri"/>
                <w:b w:val="0"/>
                <w:color w:val="0F172A"/>
                <w:sz w:val="17"/>
              </w:rPr>
              <w:t>Apertura, turnos, entradas/salidas de efectivo y arqueo ciego diario.</w:t>
            </w:r>
          </w:p>
        </w:tc>
      </w:tr>
      <w:tr>
        <w:tc>
          <w:tcPr>
            <w:tcW w:type="dxa" w:w="576"/>
            <w:shd w:fill="FFFFFF"/>
            <w:tcMar>
              <w:top w:w="70" w:type="dxa"/>
              <w:bottom w:w="70" w:type="dxa"/>
              <w:left w:w="80" w:type="dxa"/>
              <w:right w:w="80" w:type="dxa"/>
            </w:tcMar>
          </w:tcPr>
          <w:p>
            <w:pPr>
              <w:spacing w:after="0"/>
            </w:pPr>
            <w:r>
              <w:rPr>
                <w:rFonts w:ascii="Calibri" w:hAnsi="Calibri"/>
                <w:b w:val="0"/>
                <w:color w:val="0F172A"/>
                <w:sz w:val="17"/>
              </w:rPr>
              <w:t>4</w:t>
            </w:r>
          </w:p>
        </w:tc>
        <w:tc>
          <w:tcPr>
            <w:tcW w:type="dxa" w:w="3312"/>
            <w:shd w:fill="FFFFFF"/>
            <w:tcMar>
              <w:top w:w="70" w:type="dxa"/>
              <w:bottom w:w="70" w:type="dxa"/>
              <w:left w:w="80" w:type="dxa"/>
              <w:right w:w="80" w:type="dxa"/>
            </w:tcMar>
          </w:tcPr>
          <w:p>
            <w:pPr>
              <w:spacing w:after="0"/>
            </w:pPr>
            <w:r>
              <w:rPr>
                <w:rFonts w:ascii="Calibri" w:hAnsi="Calibri"/>
                <w:b/>
                <w:color w:val="0F172A"/>
                <w:sz w:val="17"/>
              </w:rPr>
              <w:t>Cotizaciones &amp; Proformas PDF</w:t>
            </w:r>
          </w:p>
        </w:tc>
        <w:tc>
          <w:tcPr>
            <w:tcW w:type="dxa" w:w="1872"/>
            <w:shd w:fill="FFFFFF"/>
            <w:tcMar>
              <w:top w:w="70" w:type="dxa"/>
              <w:bottom w:w="70" w:type="dxa"/>
              <w:left w:w="80" w:type="dxa"/>
              <w:right w:w="80" w:type="dxa"/>
            </w:tcMar>
          </w:tcPr>
          <w:p>
            <w:pPr>
              <w:spacing w:after="0"/>
            </w:pPr>
            <w:r>
              <w:rPr>
                <w:rFonts w:ascii="Calibri" w:hAnsi="Calibri"/>
                <w:b/>
                <w:color w:val="4F46E5"/>
                <w:sz w:val="17"/>
              </w:rPr>
              <w:t>L. 35</w:t>
            </w:r>
          </w:p>
        </w:tc>
        <w:tc>
          <w:tcPr>
            <w:tcW w:type="dxa" w:w="3600"/>
            <w:shd w:fill="FFFFFF"/>
            <w:tcMar>
              <w:top w:w="70" w:type="dxa"/>
              <w:bottom w:w="70" w:type="dxa"/>
              <w:left w:w="80" w:type="dxa"/>
              <w:right w:w="80" w:type="dxa"/>
            </w:tcMar>
          </w:tcPr>
          <w:p>
            <w:pPr>
              <w:spacing w:after="0"/>
            </w:pPr>
            <w:r>
              <w:rPr>
                <w:rFonts w:ascii="Calibri" w:hAnsi="Calibri"/>
                <w:b w:val="0"/>
                <w:color w:val="0F172A"/>
                <w:sz w:val="17"/>
              </w:rPr>
              <w:t>Emisión de proformas formales con exportación directa para WhatsApp.</w:t>
            </w:r>
          </w:p>
        </w:tc>
      </w:tr>
      <w:tr>
        <w:tc>
          <w:tcPr>
            <w:tcW w:type="dxa" w:w="576"/>
            <w:shd w:fill="F8FAFC"/>
            <w:tcMar>
              <w:top w:w="70" w:type="dxa"/>
              <w:bottom w:w="70" w:type="dxa"/>
              <w:left w:w="80" w:type="dxa"/>
              <w:right w:w="80" w:type="dxa"/>
            </w:tcMar>
          </w:tcPr>
          <w:p>
            <w:pPr>
              <w:spacing w:after="0"/>
            </w:pPr>
            <w:r>
              <w:rPr>
                <w:rFonts w:ascii="Calibri" w:hAnsi="Calibri"/>
                <w:b w:val="0"/>
                <w:color w:val="0F172A"/>
                <w:sz w:val="17"/>
              </w:rPr>
              <w:t>5</w:t>
            </w:r>
          </w:p>
        </w:tc>
        <w:tc>
          <w:tcPr>
            <w:tcW w:type="dxa" w:w="3312"/>
            <w:shd w:fill="F8FAFC"/>
            <w:tcMar>
              <w:top w:w="70" w:type="dxa"/>
              <w:bottom w:w="70" w:type="dxa"/>
              <w:left w:w="80" w:type="dxa"/>
              <w:right w:w="80" w:type="dxa"/>
            </w:tcMar>
          </w:tcPr>
          <w:p>
            <w:pPr>
              <w:spacing w:after="0"/>
            </w:pPr>
            <w:r>
              <w:rPr>
                <w:rFonts w:ascii="Calibri" w:hAnsi="Calibri"/>
                <w:b/>
                <w:color w:val="0F172A"/>
                <w:sz w:val="17"/>
              </w:rPr>
              <w:t>Directorio CRM de Clientes</w:t>
            </w:r>
          </w:p>
        </w:tc>
        <w:tc>
          <w:tcPr>
            <w:tcW w:type="dxa" w:w="1872"/>
            <w:shd w:fill="F8FAFC"/>
            <w:tcMar>
              <w:top w:w="70" w:type="dxa"/>
              <w:bottom w:w="70" w:type="dxa"/>
              <w:left w:w="80" w:type="dxa"/>
              <w:right w:w="80" w:type="dxa"/>
            </w:tcMar>
          </w:tcPr>
          <w:p>
            <w:pPr>
              <w:spacing w:after="0"/>
            </w:pPr>
            <w:r>
              <w:rPr>
                <w:rFonts w:ascii="Calibri" w:hAnsi="Calibri"/>
                <w:b/>
                <w:color w:val="4F46E5"/>
                <w:sz w:val="17"/>
              </w:rPr>
              <w:t>L. 40</w:t>
            </w:r>
          </w:p>
        </w:tc>
        <w:tc>
          <w:tcPr>
            <w:tcW w:type="dxa" w:w="3600"/>
            <w:shd w:fill="F8FAFC"/>
            <w:tcMar>
              <w:top w:w="70" w:type="dxa"/>
              <w:bottom w:w="70" w:type="dxa"/>
              <w:left w:w="80" w:type="dxa"/>
              <w:right w:w="80" w:type="dxa"/>
            </w:tcMar>
          </w:tcPr>
          <w:p>
            <w:pPr>
              <w:spacing w:after="0"/>
            </w:pPr>
            <w:r>
              <w:rPr>
                <w:rFonts w:ascii="Calibri" w:hAnsi="Calibri"/>
                <w:b w:val="0"/>
                <w:color w:val="0F172A"/>
                <w:sz w:val="17"/>
              </w:rPr>
              <w:t>Historial consolidado de consumo, teléfonos, dirección y cumpleaños.</w:t>
            </w:r>
          </w:p>
        </w:tc>
      </w:tr>
      <w:tr>
        <w:tc>
          <w:tcPr>
            <w:tcW w:type="dxa" w:w="576"/>
            <w:shd w:fill="FFFFFF"/>
            <w:tcMar>
              <w:top w:w="70" w:type="dxa"/>
              <w:bottom w:w="70" w:type="dxa"/>
              <w:left w:w="80" w:type="dxa"/>
              <w:right w:w="80" w:type="dxa"/>
            </w:tcMar>
          </w:tcPr>
          <w:p>
            <w:pPr>
              <w:spacing w:after="0"/>
            </w:pPr>
            <w:r>
              <w:rPr>
                <w:rFonts w:ascii="Calibri" w:hAnsi="Calibri"/>
                <w:b w:val="0"/>
                <w:color w:val="0F172A"/>
                <w:sz w:val="17"/>
              </w:rPr>
              <w:t>6</w:t>
            </w:r>
          </w:p>
        </w:tc>
        <w:tc>
          <w:tcPr>
            <w:tcW w:type="dxa" w:w="3312"/>
            <w:shd w:fill="FFFFFF"/>
            <w:tcMar>
              <w:top w:w="70" w:type="dxa"/>
              <w:bottom w:w="70" w:type="dxa"/>
              <w:left w:w="80" w:type="dxa"/>
              <w:right w:w="80" w:type="dxa"/>
            </w:tcMar>
          </w:tcPr>
          <w:p>
            <w:pPr>
              <w:spacing w:after="0"/>
            </w:pPr>
            <w:r>
              <w:rPr>
                <w:rFonts w:ascii="Calibri" w:hAnsi="Calibri"/>
                <w:b/>
                <w:color w:val="0F172A"/>
                <w:sz w:val="17"/>
              </w:rPr>
              <w:t>Soporte y Mesa de Ayuda</w:t>
            </w:r>
          </w:p>
        </w:tc>
        <w:tc>
          <w:tcPr>
            <w:tcW w:type="dxa" w:w="1872"/>
            <w:shd w:fill="FFFFFF"/>
            <w:tcMar>
              <w:top w:w="70" w:type="dxa"/>
              <w:bottom w:w="70" w:type="dxa"/>
              <w:left w:w="80" w:type="dxa"/>
              <w:right w:w="80" w:type="dxa"/>
            </w:tcMar>
          </w:tcPr>
          <w:p>
            <w:pPr>
              <w:spacing w:after="0"/>
            </w:pPr>
            <w:r>
              <w:rPr>
                <w:rFonts w:ascii="Calibri" w:hAnsi="Calibri"/>
                <w:b/>
                <w:color w:val="4F46E5"/>
                <w:sz w:val="17"/>
              </w:rPr>
              <w:t>L. 35</w:t>
            </w:r>
          </w:p>
        </w:tc>
        <w:tc>
          <w:tcPr>
            <w:tcW w:type="dxa" w:w="3600"/>
            <w:shd w:fill="FFFFFF"/>
            <w:tcMar>
              <w:top w:w="70" w:type="dxa"/>
              <w:bottom w:w="70" w:type="dxa"/>
              <w:left w:w="80" w:type="dxa"/>
              <w:right w:w="80" w:type="dxa"/>
            </w:tcMar>
          </w:tcPr>
          <w:p>
            <w:pPr>
              <w:spacing w:after="0"/>
            </w:pPr>
            <w:r>
              <w:rPr>
                <w:rFonts w:ascii="Calibri" w:hAnsi="Calibri"/>
                <w:b w:val="0"/>
                <w:color w:val="0F172A"/>
                <w:sz w:val="17"/>
              </w:rPr>
              <w:t>Atención guiada y resolución de incidentes operativos para usuarios.</w:t>
            </w:r>
          </w:p>
        </w:tc>
      </w:tr>
      <w:tr>
        <w:tc>
          <w:tcPr>
            <w:tcW w:type="dxa" w:w="576"/>
            <w:shd w:fill="F8FAFC"/>
            <w:tcMar>
              <w:top w:w="70" w:type="dxa"/>
              <w:bottom w:w="70" w:type="dxa"/>
              <w:left w:w="80" w:type="dxa"/>
              <w:right w:w="80" w:type="dxa"/>
            </w:tcMar>
          </w:tcPr>
          <w:p>
            <w:pPr>
              <w:spacing w:after="0"/>
            </w:pPr>
            <w:r>
              <w:rPr>
                <w:rFonts w:ascii="Calibri" w:hAnsi="Calibri"/>
                <w:b w:val="0"/>
                <w:color w:val="0F172A"/>
                <w:sz w:val="17"/>
              </w:rPr>
              <w:t>7</w:t>
            </w:r>
          </w:p>
        </w:tc>
        <w:tc>
          <w:tcPr>
            <w:tcW w:type="dxa" w:w="3312"/>
            <w:shd w:fill="F8FAFC"/>
            <w:tcMar>
              <w:top w:w="70" w:type="dxa"/>
              <w:bottom w:w="70" w:type="dxa"/>
              <w:left w:w="80" w:type="dxa"/>
              <w:right w:w="80" w:type="dxa"/>
            </w:tcMar>
          </w:tcPr>
          <w:p>
            <w:pPr>
              <w:spacing w:after="0"/>
            </w:pPr>
            <w:r>
              <w:rPr>
                <w:rFonts w:ascii="Calibri" w:hAnsi="Calibri"/>
                <w:b/>
                <w:color w:val="0F172A"/>
                <w:sz w:val="17"/>
              </w:rPr>
              <w:t>Facturación Fiscal SAR Honduras</w:t>
            </w:r>
          </w:p>
        </w:tc>
        <w:tc>
          <w:tcPr>
            <w:tcW w:type="dxa" w:w="1872"/>
            <w:shd w:fill="F8FAFC"/>
            <w:tcMar>
              <w:top w:w="70" w:type="dxa"/>
              <w:bottom w:w="70" w:type="dxa"/>
              <w:left w:w="80" w:type="dxa"/>
              <w:right w:w="80" w:type="dxa"/>
            </w:tcMar>
          </w:tcPr>
          <w:p>
            <w:pPr>
              <w:spacing w:after="0"/>
            </w:pPr>
            <w:r>
              <w:rPr>
                <w:rFonts w:ascii="Calibri" w:hAnsi="Calibri"/>
                <w:b/>
                <w:color w:val="4F46E5"/>
                <w:sz w:val="17"/>
              </w:rPr>
              <w:t>L. 70</w:t>
            </w:r>
          </w:p>
        </w:tc>
        <w:tc>
          <w:tcPr>
            <w:tcW w:type="dxa" w:w="3600"/>
            <w:shd w:fill="F8FAFC"/>
            <w:tcMar>
              <w:top w:w="70" w:type="dxa"/>
              <w:bottom w:w="70" w:type="dxa"/>
              <w:left w:w="80" w:type="dxa"/>
              <w:right w:w="80" w:type="dxa"/>
            </w:tcMar>
          </w:tcPr>
          <w:p>
            <w:pPr>
              <w:spacing w:after="0"/>
            </w:pPr>
            <w:r>
              <w:rPr>
                <w:rFonts w:ascii="Calibri" w:hAnsi="Calibri"/>
                <w:b w:val="0"/>
                <w:color w:val="0F172A"/>
                <w:sz w:val="17"/>
              </w:rPr>
              <w:t>Cumplimiento tributario con CAI, rangos vigentes y RTN de cliente.</w:t>
            </w:r>
          </w:p>
        </w:tc>
      </w:tr>
      <w:tr>
        <w:tc>
          <w:tcPr>
            <w:tcW w:type="dxa" w:w="576"/>
            <w:shd w:fill="FFFFFF"/>
            <w:tcMar>
              <w:top w:w="70" w:type="dxa"/>
              <w:bottom w:w="70" w:type="dxa"/>
              <w:left w:w="80" w:type="dxa"/>
              <w:right w:w="80" w:type="dxa"/>
            </w:tcMar>
          </w:tcPr>
          <w:p>
            <w:pPr>
              <w:spacing w:after="0"/>
            </w:pPr>
            <w:r>
              <w:rPr>
                <w:rFonts w:ascii="Calibri" w:hAnsi="Calibri"/>
                <w:b w:val="0"/>
                <w:color w:val="0F172A"/>
                <w:sz w:val="17"/>
              </w:rPr>
              <w:t>8</w:t>
            </w:r>
          </w:p>
        </w:tc>
        <w:tc>
          <w:tcPr>
            <w:tcW w:type="dxa" w:w="3312"/>
            <w:shd w:fill="FFFFFF"/>
            <w:tcMar>
              <w:top w:w="70" w:type="dxa"/>
              <w:bottom w:w="70" w:type="dxa"/>
              <w:left w:w="80" w:type="dxa"/>
              <w:right w:w="80" w:type="dxa"/>
            </w:tcMar>
          </w:tcPr>
          <w:p>
            <w:pPr>
              <w:spacing w:after="0"/>
            </w:pPr>
            <w:r>
              <w:rPr>
                <w:rFonts w:ascii="Calibri" w:hAnsi="Calibri"/>
                <w:b/>
                <w:color w:val="0F172A"/>
                <w:sz w:val="17"/>
              </w:rPr>
              <w:t>Inventario &amp; Stock con Alertas</w:t>
            </w:r>
          </w:p>
        </w:tc>
        <w:tc>
          <w:tcPr>
            <w:tcW w:type="dxa" w:w="1872"/>
            <w:shd w:fill="FFFFFF"/>
            <w:tcMar>
              <w:top w:w="70" w:type="dxa"/>
              <w:bottom w:w="70" w:type="dxa"/>
              <w:left w:w="80" w:type="dxa"/>
              <w:right w:w="80" w:type="dxa"/>
            </w:tcMar>
          </w:tcPr>
          <w:p>
            <w:pPr>
              <w:spacing w:after="0"/>
            </w:pPr>
            <w:r>
              <w:rPr>
                <w:rFonts w:ascii="Calibri" w:hAnsi="Calibri"/>
                <w:b/>
                <w:color w:val="4F46E5"/>
                <w:sz w:val="17"/>
              </w:rPr>
              <w:t>L. 65</w:t>
            </w:r>
          </w:p>
        </w:tc>
        <w:tc>
          <w:tcPr>
            <w:tcW w:type="dxa" w:w="3600"/>
            <w:shd w:fill="FFFFFF"/>
            <w:tcMar>
              <w:top w:w="70" w:type="dxa"/>
              <w:bottom w:w="70" w:type="dxa"/>
              <w:left w:w="80" w:type="dxa"/>
              <w:right w:w="80" w:type="dxa"/>
            </w:tcMar>
          </w:tcPr>
          <w:p>
            <w:pPr>
              <w:spacing w:after="0"/>
            </w:pPr>
            <w:r>
              <w:rPr>
                <w:rFonts w:ascii="Calibri" w:hAnsi="Calibri"/>
                <w:b w:val="0"/>
                <w:color w:val="0F172A"/>
                <w:sz w:val="17"/>
              </w:rPr>
              <w:t>Catálogo dinámico, existencias en tiempo real y aviso de producto agotado.</w:t>
            </w:r>
          </w:p>
        </w:tc>
      </w:tr>
      <w:tr>
        <w:tc>
          <w:tcPr>
            <w:tcW w:type="dxa" w:w="576"/>
            <w:shd w:fill="F8FAFC"/>
            <w:tcMar>
              <w:top w:w="70" w:type="dxa"/>
              <w:bottom w:w="70" w:type="dxa"/>
              <w:left w:w="80" w:type="dxa"/>
              <w:right w:w="80" w:type="dxa"/>
            </w:tcMar>
          </w:tcPr>
          <w:p>
            <w:pPr>
              <w:spacing w:after="0"/>
            </w:pPr>
            <w:r>
              <w:rPr>
                <w:rFonts w:ascii="Calibri" w:hAnsi="Calibri"/>
                <w:b w:val="0"/>
                <w:color w:val="0F172A"/>
                <w:sz w:val="17"/>
              </w:rPr>
              <w:t>9</w:t>
            </w:r>
          </w:p>
        </w:tc>
        <w:tc>
          <w:tcPr>
            <w:tcW w:type="dxa" w:w="3312"/>
            <w:shd w:fill="F8FAFC"/>
            <w:tcMar>
              <w:top w:w="70" w:type="dxa"/>
              <w:bottom w:w="70" w:type="dxa"/>
              <w:left w:w="80" w:type="dxa"/>
              <w:right w:w="80" w:type="dxa"/>
            </w:tcMar>
          </w:tcPr>
          <w:p>
            <w:pPr>
              <w:spacing w:after="0"/>
            </w:pPr>
            <w:r>
              <w:rPr>
                <w:rFonts w:ascii="Calibri" w:hAnsi="Calibri"/>
                <w:b/>
                <w:color w:val="0F172A"/>
                <w:sz w:val="17"/>
              </w:rPr>
              <w:t>Canal Moderno / Sector Retail</w:t>
            </w:r>
          </w:p>
        </w:tc>
        <w:tc>
          <w:tcPr>
            <w:tcW w:type="dxa" w:w="1872"/>
            <w:shd w:fill="F8FAFC"/>
            <w:tcMar>
              <w:top w:w="70" w:type="dxa"/>
              <w:bottom w:w="70" w:type="dxa"/>
              <w:left w:w="80" w:type="dxa"/>
              <w:right w:w="80" w:type="dxa"/>
            </w:tcMar>
          </w:tcPr>
          <w:p>
            <w:pPr>
              <w:spacing w:after="0"/>
            </w:pPr>
            <w:r>
              <w:rPr>
                <w:rFonts w:ascii="Calibri" w:hAnsi="Calibri"/>
                <w:b/>
                <w:color w:val="4F46E5"/>
                <w:sz w:val="17"/>
              </w:rPr>
              <w:t>L. 60</w:t>
            </w:r>
          </w:p>
        </w:tc>
        <w:tc>
          <w:tcPr>
            <w:tcW w:type="dxa" w:w="3600"/>
            <w:shd w:fill="F8FAFC"/>
            <w:tcMar>
              <w:top w:w="70" w:type="dxa"/>
              <w:bottom w:w="70" w:type="dxa"/>
              <w:left w:w="80" w:type="dxa"/>
              <w:right w:w="80" w:type="dxa"/>
            </w:tcMar>
          </w:tcPr>
          <w:p>
            <w:pPr>
              <w:spacing w:after="0"/>
            </w:pPr>
            <w:r>
              <w:rPr>
                <w:rFonts w:ascii="Calibri" w:hAnsi="Calibri"/>
                <w:b w:val="0"/>
                <w:color w:val="0F172A"/>
                <w:sz w:val="17"/>
              </w:rPr>
              <w:t>Lector de código de barras, organización de pasillos, marcas y promociones.</w:t>
            </w:r>
          </w:p>
        </w:tc>
      </w:tr>
      <w:tr>
        <w:tc>
          <w:tcPr>
            <w:tcW w:type="dxa" w:w="576"/>
            <w:shd w:fill="FFFFFF"/>
            <w:tcMar>
              <w:top w:w="70" w:type="dxa"/>
              <w:bottom w:w="70" w:type="dxa"/>
              <w:left w:w="80" w:type="dxa"/>
              <w:right w:w="80" w:type="dxa"/>
            </w:tcMar>
          </w:tcPr>
          <w:p>
            <w:pPr>
              <w:spacing w:after="0"/>
            </w:pPr>
            <w:r>
              <w:rPr>
                <w:rFonts w:ascii="Calibri" w:hAnsi="Calibri"/>
                <w:b w:val="0"/>
                <w:color w:val="0F172A"/>
                <w:sz w:val="17"/>
              </w:rPr>
              <w:t>10</w:t>
            </w:r>
          </w:p>
        </w:tc>
        <w:tc>
          <w:tcPr>
            <w:tcW w:type="dxa" w:w="3312"/>
            <w:shd w:fill="FFFFFF"/>
            <w:tcMar>
              <w:top w:w="70" w:type="dxa"/>
              <w:bottom w:w="70" w:type="dxa"/>
              <w:left w:w="80" w:type="dxa"/>
              <w:right w:w="80" w:type="dxa"/>
            </w:tcMar>
          </w:tcPr>
          <w:p>
            <w:pPr>
              <w:spacing w:after="0"/>
            </w:pPr>
            <w:r>
              <w:rPr>
                <w:rFonts w:ascii="Calibri" w:hAnsi="Calibri"/>
                <w:b/>
                <w:color w:val="0F172A"/>
                <w:sz w:val="17"/>
              </w:rPr>
              <w:t>Compras &amp; Proveedores Mayoristas</w:t>
            </w:r>
          </w:p>
        </w:tc>
        <w:tc>
          <w:tcPr>
            <w:tcW w:type="dxa" w:w="1872"/>
            <w:shd w:fill="FFFFFF"/>
            <w:tcMar>
              <w:top w:w="70" w:type="dxa"/>
              <w:bottom w:w="70" w:type="dxa"/>
              <w:left w:w="80" w:type="dxa"/>
              <w:right w:w="80" w:type="dxa"/>
            </w:tcMar>
          </w:tcPr>
          <w:p>
            <w:pPr>
              <w:spacing w:after="0"/>
            </w:pPr>
            <w:r>
              <w:rPr>
                <w:rFonts w:ascii="Calibri" w:hAnsi="Calibri"/>
                <w:b/>
                <w:color w:val="4F46E5"/>
                <w:sz w:val="17"/>
              </w:rPr>
              <w:t>L. 60</w:t>
            </w:r>
          </w:p>
        </w:tc>
        <w:tc>
          <w:tcPr>
            <w:tcW w:type="dxa" w:w="3600"/>
            <w:shd w:fill="FFFFFF"/>
            <w:tcMar>
              <w:top w:w="70" w:type="dxa"/>
              <w:bottom w:w="70" w:type="dxa"/>
              <w:left w:w="80" w:type="dxa"/>
              <w:right w:w="80" w:type="dxa"/>
            </w:tcMar>
          </w:tcPr>
          <w:p>
            <w:pPr>
              <w:spacing w:after="0"/>
            </w:pPr>
            <w:r>
              <w:rPr>
                <w:rFonts w:ascii="Calibri" w:hAnsi="Calibri"/>
                <w:b w:val="0"/>
                <w:color w:val="0F172A"/>
                <w:sz w:val="17"/>
              </w:rPr>
              <w:t>Registro de compras comerciales (Leyde, Sula, DIAPA) y costos.</w:t>
            </w:r>
          </w:p>
        </w:tc>
      </w:tr>
      <w:tr>
        <w:tc>
          <w:tcPr>
            <w:tcW w:type="dxa" w:w="576"/>
            <w:shd w:fill="F8FAFC"/>
            <w:tcMar>
              <w:top w:w="70" w:type="dxa"/>
              <w:bottom w:w="70" w:type="dxa"/>
              <w:left w:w="80" w:type="dxa"/>
              <w:right w:w="80" w:type="dxa"/>
            </w:tcMar>
          </w:tcPr>
          <w:p>
            <w:pPr>
              <w:spacing w:after="0"/>
            </w:pPr>
            <w:r>
              <w:rPr>
                <w:rFonts w:ascii="Calibri" w:hAnsi="Calibri"/>
                <w:b w:val="0"/>
                <w:color w:val="0F172A"/>
                <w:sz w:val="17"/>
              </w:rPr>
              <w:t>11</w:t>
            </w:r>
          </w:p>
        </w:tc>
        <w:tc>
          <w:tcPr>
            <w:tcW w:type="dxa" w:w="3312"/>
            <w:shd w:fill="F8FAFC"/>
            <w:tcMar>
              <w:top w:w="70" w:type="dxa"/>
              <w:bottom w:w="70" w:type="dxa"/>
              <w:left w:w="80" w:type="dxa"/>
              <w:right w:w="80" w:type="dxa"/>
            </w:tcMar>
          </w:tcPr>
          <w:p>
            <w:pPr>
              <w:spacing w:after="0"/>
            </w:pPr>
            <w:r>
              <w:rPr>
                <w:rFonts w:ascii="Calibri" w:hAnsi="Calibri"/>
                <w:b/>
                <w:color w:val="0F172A"/>
                <w:sz w:val="17"/>
              </w:rPr>
              <w:t>Fidelización, Puntos &amp; Cupones</w:t>
            </w:r>
          </w:p>
        </w:tc>
        <w:tc>
          <w:tcPr>
            <w:tcW w:type="dxa" w:w="1872"/>
            <w:shd w:fill="F8FAFC"/>
            <w:tcMar>
              <w:top w:w="70" w:type="dxa"/>
              <w:bottom w:w="70" w:type="dxa"/>
              <w:left w:w="80" w:type="dxa"/>
              <w:right w:w="80" w:type="dxa"/>
            </w:tcMar>
          </w:tcPr>
          <w:p>
            <w:pPr>
              <w:spacing w:after="0"/>
            </w:pPr>
            <w:r>
              <w:rPr>
                <w:rFonts w:ascii="Calibri" w:hAnsi="Calibri"/>
                <w:b/>
                <w:color w:val="4F46E5"/>
                <w:sz w:val="17"/>
              </w:rPr>
              <w:t>L. 55</w:t>
            </w:r>
          </w:p>
        </w:tc>
        <w:tc>
          <w:tcPr>
            <w:tcW w:type="dxa" w:w="3600"/>
            <w:shd w:fill="F8FAFC"/>
            <w:tcMar>
              <w:top w:w="70" w:type="dxa"/>
              <w:bottom w:w="70" w:type="dxa"/>
              <w:left w:w="80" w:type="dxa"/>
              <w:right w:w="80" w:type="dxa"/>
            </w:tcMar>
          </w:tcPr>
          <w:p>
            <w:pPr>
              <w:spacing w:after="0"/>
            </w:pPr>
            <w:r>
              <w:rPr>
                <w:rFonts w:ascii="Calibri" w:hAnsi="Calibri"/>
                <w:b w:val="0"/>
                <w:color w:val="0F172A"/>
                <w:sz w:val="17"/>
              </w:rPr>
              <w:t>Programa de acumulación de puntos por compras y cupones de descuento.</w:t>
            </w:r>
          </w:p>
        </w:tc>
      </w:tr>
      <w:tr>
        <w:tc>
          <w:tcPr>
            <w:tcW w:type="dxa" w:w="576"/>
            <w:shd w:fill="FFFFFF"/>
            <w:tcMar>
              <w:top w:w="70" w:type="dxa"/>
              <w:bottom w:w="70" w:type="dxa"/>
              <w:left w:w="80" w:type="dxa"/>
              <w:right w:w="80" w:type="dxa"/>
            </w:tcMar>
          </w:tcPr>
          <w:p>
            <w:pPr>
              <w:spacing w:after="0"/>
            </w:pPr>
            <w:r>
              <w:rPr>
                <w:rFonts w:ascii="Calibri" w:hAnsi="Calibri"/>
                <w:b w:val="0"/>
                <w:color w:val="0F172A"/>
                <w:sz w:val="17"/>
              </w:rPr>
              <w:t>12</w:t>
            </w:r>
          </w:p>
        </w:tc>
        <w:tc>
          <w:tcPr>
            <w:tcW w:type="dxa" w:w="3312"/>
            <w:shd w:fill="FFFFFF"/>
            <w:tcMar>
              <w:top w:w="70" w:type="dxa"/>
              <w:bottom w:w="70" w:type="dxa"/>
              <w:left w:w="80" w:type="dxa"/>
              <w:right w:w="80" w:type="dxa"/>
            </w:tcMar>
          </w:tcPr>
          <w:p>
            <w:pPr>
              <w:spacing w:after="0"/>
            </w:pPr>
            <w:r>
              <w:rPr>
                <w:rFonts w:ascii="Calibri" w:hAnsi="Calibri"/>
                <w:b/>
                <w:color w:val="0F172A"/>
                <w:sz w:val="17"/>
              </w:rPr>
              <w:t>Reportes de Ventas &amp; Ganancias</w:t>
            </w:r>
          </w:p>
        </w:tc>
        <w:tc>
          <w:tcPr>
            <w:tcW w:type="dxa" w:w="1872"/>
            <w:shd w:fill="FFFFFF"/>
            <w:tcMar>
              <w:top w:w="70" w:type="dxa"/>
              <w:bottom w:w="70" w:type="dxa"/>
              <w:left w:w="80" w:type="dxa"/>
              <w:right w:w="80" w:type="dxa"/>
            </w:tcMar>
          </w:tcPr>
          <w:p>
            <w:pPr>
              <w:spacing w:after="0"/>
            </w:pPr>
            <w:r>
              <w:rPr>
                <w:rFonts w:ascii="Calibri" w:hAnsi="Calibri"/>
                <w:b/>
                <w:color w:val="4F46E5"/>
                <w:sz w:val="17"/>
              </w:rPr>
              <w:t>L. 55</w:t>
            </w:r>
          </w:p>
        </w:tc>
        <w:tc>
          <w:tcPr>
            <w:tcW w:type="dxa" w:w="3600"/>
            <w:shd w:fill="FFFFFF"/>
            <w:tcMar>
              <w:top w:w="70" w:type="dxa"/>
              <w:bottom w:w="70" w:type="dxa"/>
              <w:left w:w="80" w:type="dxa"/>
              <w:right w:w="80" w:type="dxa"/>
            </w:tcMar>
          </w:tcPr>
          <w:p>
            <w:pPr>
              <w:spacing w:after="0"/>
            </w:pPr>
            <w:r>
              <w:rPr>
                <w:rFonts w:ascii="Calibri" w:hAnsi="Calibri"/>
                <w:b w:val="0"/>
                <w:color w:val="0F172A"/>
                <w:sz w:val="17"/>
              </w:rPr>
              <w:t>Métricas de venta del día, margen bruto y productos más vendidos.</w:t>
            </w:r>
          </w:p>
        </w:tc>
      </w:tr>
      <w:tr>
        <w:tc>
          <w:tcPr>
            <w:tcW w:type="dxa" w:w="576"/>
            <w:shd w:fill="F8FAFC"/>
            <w:tcMar>
              <w:top w:w="70" w:type="dxa"/>
              <w:bottom w:w="70" w:type="dxa"/>
              <w:left w:w="80" w:type="dxa"/>
              <w:right w:w="80" w:type="dxa"/>
            </w:tcMar>
          </w:tcPr>
          <w:p>
            <w:pPr>
              <w:spacing w:after="0"/>
            </w:pPr>
            <w:r>
              <w:rPr>
                <w:rFonts w:ascii="Calibri" w:hAnsi="Calibri"/>
                <w:b w:val="0"/>
                <w:color w:val="0F172A"/>
                <w:sz w:val="17"/>
              </w:rPr>
              <w:t>13</w:t>
            </w:r>
          </w:p>
        </w:tc>
        <w:tc>
          <w:tcPr>
            <w:tcW w:type="dxa" w:w="3312"/>
            <w:shd w:fill="F8FAFC"/>
            <w:tcMar>
              <w:top w:w="70" w:type="dxa"/>
              <w:bottom w:w="70" w:type="dxa"/>
              <w:left w:w="80" w:type="dxa"/>
              <w:right w:w="80" w:type="dxa"/>
            </w:tcMar>
          </w:tcPr>
          <w:p>
            <w:pPr>
              <w:spacing w:after="0"/>
            </w:pPr>
            <w:r>
              <w:rPr>
                <w:rFonts w:ascii="Calibri" w:hAnsi="Calibri"/>
                <w:b/>
                <w:color w:val="0F172A"/>
                <w:sz w:val="17"/>
              </w:rPr>
              <w:t>Seguridad, Roles de Usuario &amp; 2FA</w:t>
            </w:r>
          </w:p>
        </w:tc>
        <w:tc>
          <w:tcPr>
            <w:tcW w:type="dxa" w:w="1872"/>
            <w:shd w:fill="F8FAFC"/>
            <w:tcMar>
              <w:top w:w="70" w:type="dxa"/>
              <w:bottom w:w="70" w:type="dxa"/>
              <w:left w:w="80" w:type="dxa"/>
              <w:right w:w="80" w:type="dxa"/>
            </w:tcMar>
          </w:tcPr>
          <w:p>
            <w:pPr>
              <w:spacing w:after="0"/>
            </w:pPr>
            <w:r>
              <w:rPr>
                <w:rFonts w:ascii="Calibri" w:hAnsi="Calibri"/>
                <w:b/>
                <w:color w:val="4F46E5"/>
                <w:sz w:val="17"/>
              </w:rPr>
              <w:t>L. 50</w:t>
            </w:r>
          </w:p>
        </w:tc>
        <w:tc>
          <w:tcPr>
            <w:tcW w:type="dxa" w:w="3600"/>
            <w:shd w:fill="F8FAFC"/>
            <w:tcMar>
              <w:top w:w="70" w:type="dxa"/>
              <w:bottom w:w="70" w:type="dxa"/>
              <w:left w:w="80" w:type="dxa"/>
              <w:right w:w="80" w:type="dxa"/>
            </w:tcMar>
          </w:tcPr>
          <w:p>
            <w:pPr>
              <w:spacing w:after="0"/>
            </w:pPr>
            <w:r>
              <w:rPr>
                <w:rFonts w:ascii="Calibri" w:hAnsi="Calibri"/>
                <w:b w:val="0"/>
                <w:color w:val="0F172A"/>
                <w:sz w:val="17"/>
              </w:rPr>
              <w:t>Doble factor 2FA, roles de cajero/administrador y registro de accesos.</w:t>
            </w:r>
          </w:p>
        </w:tc>
      </w:tr>
      <w:tr>
        <w:tc>
          <w:tcPr>
            <w:tcW w:type="dxa" w:w="576"/>
            <w:shd w:fill="FFFFFF"/>
            <w:tcMar>
              <w:top w:w="70" w:type="dxa"/>
              <w:bottom w:w="70" w:type="dxa"/>
              <w:left w:w="80" w:type="dxa"/>
              <w:right w:w="80" w:type="dxa"/>
            </w:tcMar>
          </w:tcPr>
          <w:p>
            <w:pPr>
              <w:spacing w:after="0"/>
            </w:pPr>
            <w:r>
              <w:rPr>
                <w:rFonts w:ascii="Calibri" w:hAnsi="Calibri"/>
                <w:b w:val="0"/>
                <w:color w:val="0F172A"/>
                <w:sz w:val="17"/>
              </w:rPr>
              <w:t>14</w:t>
            </w:r>
          </w:p>
        </w:tc>
        <w:tc>
          <w:tcPr>
            <w:tcW w:type="dxa" w:w="3312"/>
            <w:shd w:fill="FFFFFF"/>
            <w:tcMar>
              <w:top w:w="70" w:type="dxa"/>
              <w:bottom w:w="70" w:type="dxa"/>
              <w:left w:w="80" w:type="dxa"/>
              <w:right w:w="80" w:type="dxa"/>
            </w:tcMar>
          </w:tcPr>
          <w:p>
            <w:pPr>
              <w:spacing w:after="0"/>
            </w:pPr>
            <w:r>
              <w:rPr>
                <w:rFonts w:ascii="Calibri" w:hAnsi="Calibri"/>
                <w:b/>
                <w:color w:val="0F172A"/>
                <w:sz w:val="17"/>
              </w:rPr>
              <w:t>Automatizaciones &amp; Alertas WhatsApp</w:t>
            </w:r>
          </w:p>
        </w:tc>
        <w:tc>
          <w:tcPr>
            <w:tcW w:type="dxa" w:w="1872"/>
            <w:shd w:fill="FFFFFF"/>
            <w:tcMar>
              <w:top w:w="70" w:type="dxa"/>
              <w:bottom w:w="70" w:type="dxa"/>
              <w:left w:w="80" w:type="dxa"/>
              <w:right w:w="80" w:type="dxa"/>
            </w:tcMar>
          </w:tcPr>
          <w:p>
            <w:pPr>
              <w:spacing w:after="0"/>
            </w:pPr>
            <w:r>
              <w:rPr>
                <w:rFonts w:ascii="Calibri" w:hAnsi="Calibri"/>
                <w:b/>
                <w:color w:val="4F46E5"/>
                <w:sz w:val="17"/>
              </w:rPr>
              <w:t>L. 65</w:t>
            </w:r>
          </w:p>
        </w:tc>
        <w:tc>
          <w:tcPr>
            <w:tcW w:type="dxa" w:w="3600"/>
            <w:shd w:fill="FFFFFF"/>
            <w:tcMar>
              <w:top w:w="70" w:type="dxa"/>
              <w:bottom w:w="70" w:type="dxa"/>
              <w:left w:w="80" w:type="dxa"/>
              <w:right w:w="80" w:type="dxa"/>
            </w:tcMar>
          </w:tcPr>
          <w:p>
            <w:pPr>
              <w:spacing w:after="0"/>
            </w:pPr>
            <w:r>
              <w:rPr>
                <w:rFonts w:ascii="Calibri" w:hAnsi="Calibri"/>
                <w:b w:val="0"/>
                <w:color w:val="0F172A"/>
                <w:sz w:val="17"/>
              </w:rPr>
              <w:t>Notificaciones de caja descuadrada y resúmenes diarios al celular del dueño.</w:t>
            </w:r>
          </w:p>
        </w:tc>
      </w:tr>
      <w:tr>
        <w:tc>
          <w:tcPr>
            <w:tcW w:type="dxa" w:w="576"/>
            <w:shd w:fill="F8FAFC"/>
            <w:tcMar>
              <w:top w:w="70" w:type="dxa"/>
              <w:bottom w:w="70" w:type="dxa"/>
              <w:left w:w="80" w:type="dxa"/>
              <w:right w:w="80" w:type="dxa"/>
            </w:tcMar>
          </w:tcPr>
          <w:p>
            <w:pPr>
              <w:spacing w:after="0"/>
            </w:pPr>
            <w:r>
              <w:rPr>
                <w:rFonts w:ascii="Calibri" w:hAnsi="Calibri"/>
                <w:b w:val="0"/>
                <w:color w:val="0F172A"/>
                <w:sz w:val="17"/>
              </w:rPr>
              <w:t>15</w:t>
            </w:r>
          </w:p>
        </w:tc>
        <w:tc>
          <w:tcPr>
            <w:tcW w:type="dxa" w:w="3312"/>
            <w:shd w:fill="F8FAFC"/>
            <w:tcMar>
              <w:top w:w="70" w:type="dxa"/>
              <w:bottom w:w="70" w:type="dxa"/>
              <w:left w:w="80" w:type="dxa"/>
              <w:right w:w="80" w:type="dxa"/>
            </w:tcMar>
          </w:tcPr>
          <w:p>
            <w:pPr>
              <w:spacing w:after="0"/>
            </w:pPr>
            <w:r>
              <w:rPr>
                <w:rFonts w:ascii="Calibri" w:hAnsi="Calibri"/>
                <w:b/>
                <w:color w:val="0F172A"/>
                <w:sz w:val="17"/>
              </w:rPr>
              <w:t>Club de Membresías &amp; Accesos QR</w:t>
            </w:r>
          </w:p>
        </w:tc>
        <w:tc>
          <w:tcPr>
            <w:tcW w:type="dxa" w:w="1872"/>
            <w:shd w:fill="F8FAFC"/>
            <w:tcMar>
              <w:top w:w="70" w:type="dxa"/>
              <w:bottom w:w="70" w:type="dxa"/>
              <w:left w:w="80" w:type="dxa"/>
              <w:right w:w="80" w:type="dxa"/>
            </w:tcMar>
          </w:tcPr>
          <w:p>
            <w:pPr>
              <w:spacing w:after="0"/>
            </w:pPr>
            <w:r>
              <w:rPr>
                <w:rFonts w:ascii="Calibri" w:hAnsi="Calibri"/>
                <w:b/>
                <w:color w:val="4F46E5"/>
                <w:sz w:val="17"/>
              </w:rPr>
              <w:t>L. 95</w:t>
            </w:r>
          </w:p>
        </w:tc>
        <w:tc>
          <w:tcPr>
            <w:tcW w:type="dxa" w:w="3600"/>
            <w:shd w:fill="F8FAFC"/>
            <w:tcMar>
              <w:top w:w="70" w:type="dxa"/>
              <w:bottom w:w="70" w:type="dxa"/>
              <w:left w:w="80" w:type="dxa"/>
              <w:right w:w="80" w:type="dxa"/>
            </w:tcMar>
          </w:tcPr>
          <w:p>
            <w:pPr>
              <w:spacing w:after="0"/>
            </w:pPr>
            <w:r>
              <w:rPr>
                <w:rFonts w:ascii="Calibri" w:hAnsi="Calibri"/>
                <w:b w:val="0"/>
                <w:color w:val="0F172A"/>
                <w:sz w:val="17"/>
              </w:rPr>
              <w:t>Control de socios con credencial digital QR y validación de vigencia.</w:t>
            </w:r>
          </w:p>
        </w:tc>
      </w:tr>
      <w:tr>
        <w:tc>
          <w:tcPr>
            <w:tcW w:type="dxa" w:w="576"/>
            <w:shd w:fill="FFFFFF"/>
            <w:tcMar>
              <w:top w:w="70" w:type="dxa"/>
              <w:bottom w:w="70" w:type="dxa"/>
              <w:left w:w="80" w:type="dxa"/>
              <w:right w:w="80" w:type="dxa"/>
            </w:tcMar>
          </w:tcPr>
          <w:p>
            <w:pPr>
              <w:spacing w:after="0"/>
            </w:pPr>
            <w:r>
              <w:rPr>
                <w:rFonts w:ascii="Calibri" w:hAnsi="Calibri"/>
                <w:b w:val="0"/>
                <w:color w:val="0F172A"/>
                <w:sz w:val="17"/>
              </w:rPr>
              <w:t>16</w:t>
            </w:r>
          </w:p>
        </w:tc>
        <w:tc>
          <w:tcPr>
            <w:tcW w:type="dxa" w:w="3312"/>
            <w:shd w:fill="FFFFFF"/>
            <w:tcMar>
              <w:top w:w="70" w:type="dxa"/>
              <w:bottom w:w="70" w:type="dxa"/>
              <w:left w:w="80" w:type="dxa"/>
              <w:right w:w="80" w:type="dxa"/>
            </w:tcMar>
          </w:tcPr>
          <w:p>
            <w:pPr>
              <w:spacing w:after="0"/>
            </w:pPr>
            <w:r>
              <w:rPr>
                <w:rFonts w:ascii="Calibri" w:hAnsi="Calibri"/>
                <w:b/>
                <w:color w:val="0F172A"/>
                <w:sz w:val="17"/>
              </w:rPr>
              <w:t>Contabilidad &amp; Finanzas PyME</w:t>
            </w:r>
          </w:p>
        </w:tc>
        <w:tc>
          <w:tcPr>
            <w:tcW w:type="dxa" w:w="1872"/>
            <w:shd w:fill="FFFFFF"/>
            <w:tcMar>
              <w:top w:w="70" w:type="dxa"/>
              <w:bottom w:w="70" w:type="dxa"/>
              <w:left w:w="80" w:type="dxa"/>
              <w:right w:w="80" w:type="dxa"/>
            </w:tcMar>
          </w:tcPr>
          <w:p>
            <w:pPr>
              <w:spacing w:after="0"/>
            </w:pPr>
            <w:r>
              <w:rPr>
                <w:rFonts w:ascii="Calibri" w:hAnsi="Calibri"/>
                <w:b/>
                <w:color w:val="4F46E5"/>
                <w:sz w:val="17"/>
              </w:rPr>
              <w:t>L. 85</w:t>
            </w:r>
          </w:p>
        </w:tc>
        <w:tc>
          <w:tcPr>
            <w:tcW w:type="dxa" w:w="3600"/>
            <w:shd w:fill="FFFFFF"/>
            <w:tcMar>
              <w:top w:w="70" w:type="dxa"/>
              <w:bottom w:w="70" w:type="dxa"/>
              <w:left w:w="80" w:type="dxa"/>
              <w:right w:w="80" w:type="dxa"/>
            </w:tcMar>
          </w:tcPr>
          <w:p>
            <w:pPr>
              <w:spacing w:after="0"/>
            </w:pPr>
            <w:r>
              <w:rPr>
                <w:rFonts w:ascii="Calibri" w:hAnsi="Calibri"/>
                <w:b w:val="0"/>
                <w:color w:val="0F172A"/>
                <w:sz w:val="17"/>
              </w:rPr>
              <w:t>Libro de ingresos/egresos, balance general y control de costos fijos.</w:t>
            </w:r>
          </w:p>
        </w:tc>
      </w:tr>
      <w:tr>
        <w:tc>
          <w:tcPr>
            <w:tcW w:type="dxa" w:w="576"/>
            <w:shd w:fill="F8FAFC"/>
            <w:tcMar>
              <w:top w:w="70" w:type="dxa"/>
              <w:bottom w:w="70" w:type="dxa"/>
              <w:left w:w="80" w:type="dxa"/>
              <w:right w:w="80" w:type="dxa"/>
            </w:tcMar>
          </w:tcPr>
          <w:p>
            <w:pPr>
              <w:spacing w:after="0"/>
            </w:pPr>
            <w:r>
              <w:rPr>
                <w:rFonts w:ascii="Calibri" w:hAnsi="Calibri"/>
                <w:b w:val="0"/>
                <w:color w:val="0F172A"/>
                <w:sz w:val="17"/>
              </w:rPr>
              <w:t>17</w:t>
            </w:r>
          </w:p>
        </w:tc>
        <w:tc>
          <w:tcPr>
            <w:tcW w:type="dxa" w:w="3312"/>
            <w:shd w:fill="F8FAFC"/>
            <w:tcMar>
              <w:top w:w="70" w:type="dxa"/>
              <w:bottom w:w="70" w:type="dxa"/>
              <w:left w:w="80" w:type="dxa"/>
              <w:right w:w="80" w:type="dxa"/>
            </w:tcMar>
          </w:tcPr>
          <w:p>
            <w:pPr>
              <w:spacing w:after="0"/>
            </w:pPr>
            <w:r>
              <w:rPr>
                <w:rFonts w:ascii="Calibri" w:hAnsi="Calibri"/>
                <w:b/>
                <w:color w:val="0F172A"/>
                <w:sz w:val="17"/>
              </w:rPr>
              <w:t>RRHH, Planilla &amp; Asistencias</w:t>
            </w:r>
          </w:p>
        </w:tc>
        <w:tc>
          <w:tcPr>
            <w:tcW w:type="dxa" w:w="1872"/>
            <w:shd w:fill="F8FAFC"/>
            <w:tcMar>
              <w:top w:w="70" w:type="dxa"/>
              <w:bottom w:w="70" w:type="dxa"/>
              <w:left w:w="80" w:type="dxa"/>
              <w:right w:w="80" w:type="dxa"/>
            </w:tcMar>
          </w:tcPr>
          <w:p>
            <w:pPr>
              <w:spacing w:after="0"/>
            </w:pPr>
            <w:r>
              <w:rPr>
                <w:rFonts w:ascii="Calibri" w:hAnsi="Calibri"/>
                <w:b/>
                <w:color w:val="4F46E5"/>
                <w:sz w:val="17"/>
              </w:rPr>
              <w:t>L. 85</w:t>
            </w:r>
          </w:p>
        </w:tc>
        <w:tc>
          <w:tcPr>
            <w:tcW w:type="dxa" w:w="3600"/>
            <w:shd w:fill="F8FAFC"/>
            <w:tcMar>
              <w:top w:w="70" w:type="dxa"/>
              <w:bottom w:w="70" w:type="dxa"/>
              <w:left w:w="80" w:type="dxa"/>
              <w:right w:w="80" w:type="dxa"/>
            </w:tcMar>
          </w:tcPr>
          <w:p>
            <w:pPr>
              <w:spacing w:after="0"/>
            </w:pPr>
            <w:r>
              <w:rPr>
                <w:rFonts w:ascii="Calibri" w:hAnsi="Calibri"/>
                <w:b w:val="0"/>
                <w:color w:val="0F172A"/>
                <w:sz w:val="17"/>
              </w:rPr>
              <w:t>Cálculo quincenal de sueldos, control de turnos y registro de adelantos.</w:t>
            </w:r>
          </w:p>
        </w:tc>
      </w:tr>
      <w:tr>
        <w:tc>
          <w:tcPr>
            <w:tcW w:type="dxa" w:w="576"/>
            <w:shd w:fill="FFFFFF"/>
            <w:tcMar>
              <w:top w:w="70" w:type="dxa"/>
              <w:bottom w:w="70" w:type="dxa"/>
              <w:left w:w="80" w:type="dxa"/>
              <w:right w:w="80" w:type="dxa"/>
            </w:tcMar>
          </w:tcPr>
          <w:p>
            <w:pPr>
              <w:spacing w:after="0"/>
            </w:pPr>
            <w:r>
              <w:rPr>
                <w:rFonts w:ascii="Calibri" w:hAnsi="Calibri"/>
                <w:b w:val="0"/>
                <w:color w:val="0F172A"/>
                <w:sz w:val="17"/>
              </w:rPr>
              <w:t>18</w:t>
            </w:r>
          </w:p>
        </w:tc>
        <w:tc>
          <w:tcPr>
            <w:tcW w:type="dxa" w:w="3312"/>
            <w:shd w:fill="FFFFFF"/>
            <w:tcMar>
              <w:top w:w="70" w:type="dxa"/>
              <w:bottom w:w="70" w:type="dxa"/>
              <w:left w:w="80" w:type="dxa"/>
              <w:right w:w="80" w:type="dxa"/>
            </w:tcMar>
          </w:tcPr>
          <w:p>
            <w:pPr>
              <w:spacing w:after="0"/>
            </w:pPr>
            <w:r>
              <w:rPr>
                <w:rFonts w:ascii="Calibri" w:hAnsi="Calibri"/>
                <w:b/>
                <w:color w:val="0F172A"/>
                <w:sz w:val="17"/>
              </w:rPr>
              <w:t>Rutas de Reparto &amp; Delivery Local</w:t>
            </w:r>
          </w:p>
        </w:tc>
        <w:tc>
          <w:tcPr>
            <w:tcW w:type="dxa" w:w="1872"/>
            <w:shd w:fill="FFFFFF"/>
            <w:tcMar>
              <w:top w:w="70" w:type="dxa"/>
              <w:bottom w:w="70" w:type="dxa"/>
              <w:left w:w="80" w:type="dxa"/>
              <w:right w:w="80" w:type="dxa"/>
            </w:tcMar>
          </w:tcPr>
          <w:p>
            <w:pPr>
              <w:spacing w:after="0"/>
            </w:pPr>
            <w:r>
              <w:rPr>
                <w:rFonts w:ascii="Calibri" w:hAnsi="Calibri"/>
                <w:b/>
                <w:color w:val="4F46E5"/>
                <w:sz w:val="17"/>
              </w:rPr>
              <w:t>L. 90</w:t>
            </w:r>
          </w:p>
        </w:tc>
        <w:tc>
          <w:tcPr>
            <w:tcW w:type="dxa" w:w="3600"/>
            <w:shd w:fill="FFFFFF"/>
            <w:tcMar>
              <w:top w:w="70" w:type="dxa"/>
              <w:bottom w:w="70" w:type="dxa"/>
              <w:left w:w="80" w:type="dxa"/>
              <w:right w:w="80" w:type="dxa"/>
            </w:tcMar>
          </w:tcPr>
          <w:p>
            <w:pPr>
              <w:spacing w:after="0"/>
            </w:pPr>
            <w:r>
              <w:rPr>
                <w:rFonts w:ascii="Calibri" w:hAnsi="Calibri"/>
                <w:b w:val="0"/>
                <w:color w:val="0F172A"/>
                <w:sz w:val="17"/>
              </w:rPr>
              <w:t>Gestión de despachos a domicilio, asignación de motos y cobro entrega.</w:t>
            </w:r>
          </w:p>
        </w:tc>
      </w:tr>
      <w:tr>
        <w:tc>
          <w:tcPr>
            <w:tcW w:type="dxa" w:w="576"/>
            <w:shd w:fill="F8FAFC"/>
            <w:tcMar>
              <w:top w:w="70" w:type="dxa"/>
              <w:bottom w:w="70" w:type="dxa"/>
              <w:left w:w="80" w:type="dxa"/>
              <w:right w:w="80" w:type="dxa"/>
            </w:tcMar>
          </w:tcPr>
          <w:p>
            <w:pPr>
              <w:spacing w:after="0"/>
            </w:pPr>
            <w:r>
              <w:rPr>
                <w:rFonts w:ascii="Calibri" w:hAnsi="Calibri"/>
                <w:b w:val="0"/>
                <w:color w:val="0F172A"/>
                <w:sz w:val="17"/>
              </w:rPr>
              <w:t>19</w:t>
            </w:r>
          </w:p>
        </w:tc>
        <w:tc>
          <w:tcPr>
            <w:tcW w:type="dxa" w:w="3312"/>
            <w:shd w:fill="F8FAFC"/>
            <w:tcMar>
              <w:top w:w="70" w:type="dxa"/>
              <w:bottom w:w="70" w:type="dxa"/>
              <w:left w:w="80" w:type="dxa"/>
              <w:right w:w="80" w:type="dxa"/>
            </w:tcMar>
          </w:tcPr>
          <w:p>
            <w:pPr>
              <w:spacing w:after="0"/>
            </w:pPr>
            <w:r>
              <w:rPr>
                <w:rFonts w:ascii="Calibri" w:hAnsi="Calibri"/>
                <w:b/>
                <w:color w:val="0F172A"/>
                <w:sz w:val="17"/>
              </w:rPr>
              <w:t>Multi-Bodega &amp; Traslados</w:t>
            </w:r>
          </w:p>
        </w:tc>
        <w:tc>
          <w:tcPr>
            <w:tcW w:type="dxa" w:w="1872"/>
            <w:shd w:fill="F8FAFC"/>
            <w:tcMar>
              <w:top w:w="70" w:type="dxa"/>
              <w:bottom w:w="70" w:type="dxa"/>
              <w:left w:w="80" w:type="dxa"/>
              <w:right w:w="80" w:type="dxa"/>
            </w:tcMar>
          </w:tcPr>
          <w:p>
            <w:pPr>
              <w:spacing w:after="0"/>
            </w:pPr>
            <w:r>
              <w:rPr>
                <w:rFonts w:ascii="Calibri" w:hAnsi="Calibri"/>
                <w:b/>
                <w:color w:val="4F46E5"/>
                <w:sz w:val="17"/>
              </w:rPr>
              <w:t>L. 85</w:t>
            </w:r>
          </w:p>
        </w:tc>
        <w:tc>
          <w:tcPr>
            <w:tcW w:type="dxa" w:w="3600"/>
            <w:shd w:fill="F8FAFC"/>
            <w:tcMar>
              <w:top w:w="70" w:type="dxa"/>
              <w:bottom w:w="70" w:type="dxa"/>
              <w:left w:w="80" w:type="dxa"/>
              <w:right w:w="80" w:type="dxa"/>
            </w:tcMar>
          </w:tcPr>
          <w:p>
            <w:pPr>
              <w:spacing w:after="0"/>
            </w:pPr>
            <w:r>
              <w:rPr>
                <w:rFonts w:ascii="Calibri" w:hAnsi="Calibri"/>
                <w:b w:val="0"/>
                <w:color w:val="0F172A"/>
                <w:sz w:val="17"/>
              </w:rPr>
              <w:t>Control de existencias entre bodega central y salas de venta con transferencias.</w:t>
            </w:r>
          </w:p>
        </w:tc>
      </w:tr>
      <w:tr>
        <w:tc>
          <w:tcPr>
            <w:tcW w:type="dxa" w:w="576"/>
            <w:shd w:fill="FFFFFF"/>
            <w:tcMar>
              <w:top w:w="70" w:type="dxa"/>
              <w:bottom w:w="70" w:type="dxa"/>
              <w:left w:w="80" w:type="dxa"/>
              <w:right w:w="80" w:type="dxa"/>
            </w:tcMar>
          </w:tcPr>
          <w:p>
            <w:pPr>
              <w:spacing w:after="0"/>
            </w:pPr>
            <w:r>
              <w:rPr>
                <w:rFonts w:ascii="Calibri" w:hAnsi="Calibri"/>
                <w:b w:val="0"/>
                <w:color w:val="0F172A"/>
                <w:sz w:val="17"/>
              </w:rPr>
              <w:t>20</w:t>
            </w:r>
          </w:p>
        </w:tc>
        <w:tc>
          <w:tcPr>
            <w:tcW w:type="dxa" w:w="3312"/>
            <w:shd w:fill="FFFFFF"/>
            <w:tcMar>
              <w:top w:w="70" w:type="dxa"/>
              <w:bottom w:w="70" w:type="dxa"/>
              <w:left w:w="80" w:type="dxa"/>
              <w:right w:w="80" w:type="dxa"/>
            </w:tcMar>
          </w:tcPr>
          <w:p>
            <w:pPr>
              <w:spacing w:after="0"/>
            </w:pPr>
            <w:r>
              <w:rPr>
                <w:rFonts w:ascii="Calibri" w:hAnsi="Calibri"/>
                <w:b/>
                <w:color w:val="0F172A"/>
                <w:sz w:val="17"/>
              </w:rPr>
              <w:t>Multi-Sucursal / Multi-Empresa</w:t>
            </w:r>
          </w:p>
        </w:tc>
        <w:tc>
          <w:tcPr>
            <w:tcW w:type="dxa" w:w="1872"/>
            <w:shd w:fill="FFFFFF"/>
            <w:tcMar>
              <w:top w:w="70" w:type="dxa"/>
              <w:bottom w:w="70" w:type="dxa"/>
              <w:left w:w="80" w:type="dxa"/>
              <w:right w:w="80" w:type="dxa"/>
            </w:tcMar>
          </w:tcPr>
          <w:p>
            <w:pPr>
              <w:spacing w:after="0"/>
            </w:pPr>
            <w:r>
              <w:rPr>
                <w:rFonts w:ascii="Calibri" w:hAnsi="Calibri"/>
                <w:b/>
                <w:color w:val="4F46E5"/>
                <w:sz w:val="17"/>
              </w:rPr>
              <w:t>L. 110</w:t>
            </w:r>
          </w:p>
        </w:tc>
        <w:tc>
          <w:tcPr>
            <w:tcW w:type="dxa" w:w="3600"/>
            <w:shd w:fill="FFFFFF"/>
            <w:tcMar>
              <w:top w:w="70" w:type="dxa"/>
              <w:bottom w:w="70" w:type="dxa"/>
              <w:left w:w="80" w:type="dxa"/>
              <w:right w:w="80" w:type="dxa"/>
            </w:tcMar>
          </w:tcPr>
          <w:p>
            <w:pPr>
              <w:spacing w:after="0"/>
            </w:pPr>
            <w:r>
              <w:rPr>
                <w:rFonts w:ascii="Calibri" w:hAnsi="Calibri"/>
                <w:b w:val="0"/>
                <w:color w:val="0F172A"/>
                <w:sz w:val="17"/>
              </w:rPr>
              <w:t>Administración unificada de varias empresas o tiendas bajo un solo login.</w:t>
            </w:r>
          </w:p>
        </w:tc>
      </w:tr>
      <w:tr>
        <w:tc>
          <w:tcPr>
            <w:tcW w:type="dxa" w:w="576"/>
            <w:shd w:fill="F8FAFC"/>
            <w:tcMar>
              <w:top w:w="70" w:type="dxa"/>
              <w:bottom w:w="70" w:type="dxa"/>
              <w:left w:w="80" w:type="dxa"/>
              <w:right w:w="80" w:type="dxa"/>
            </w:tcMar>
          </w:tcPr>
          <w:p>
            <w:pPr>
              <w:spacing w:after="0"/>
            </w:pPr>
            <w:r>
              <w:rPr>
                <w:rFonts w:ascii="Calibri" w:hAnsi="Calibri"/>
                <w:b w:val="0"/>
                <w:color w:val="0F172A"/>
                <w:sz w:val="17"/>
              </w:rPr>
              <w:t>21</w:t>
            </w:r>
          </w:p>
        </w:tc>
        <w:tc>
          <w:tcPr>
            <w:tcW w:type="dxa" w:w="3312"/>
            <w:shd w:fill="F8FAFC"/>
            <w:tcMar>
              <w:top w:w="70" w:type="dxa"/>
              <w:bottom w:w="70" w:type="dxa"/>
              <w:left w:w="80" w:type="dxa"/>
              <w:right w:w="80" w:type="dxa"/>
            </w:tcMar>
          </w:tcPr>
          <w:p>
            <w:pPr>
              <w:spacing w:after="0"/>
            </w:pPr>
            <w:r>
              <w:rPr>
                <w:rFonts w:ascii="Calibri" w:hAnsi="Calibri"/>
                <w:b/>
                <w:color w:val="0F172A"/>
                <w:sz w:val="17"/>
              </w:rPr>
              <w:t>Asistente IA Portal Pilot (Groq API)</w:t>
            </w:r>
          </w:p>
        </w:tc>
        <w:tc>
          <w:tcPr>
            <w:tcW w:type="dxa" w:w="1872"/>
            <w:shd w:fill="F8FAFC"/>
            <w:tcMar>
              <w:top w:w="70" w:type="dxa"/>
              <w:bottom w:w="70" w:type="dxa"/>
              <w:left w:w="80" w:type="dxa"/>
              <w:right w:w="80" w:type="dxa"/>
            </w:tcMar>
          </w:tcPr>
          <w:p>
            <w:pPr>
              <w:spacing w:after="0"/>
            </w:pPr>
            <w:r>
              <w:rPr>
                <w:rFonts w:ascii="Calibri" w:hAnsi="Calibri"/>
                <w:b/>
                <w:color w:val="4F46E5"/>
                <w:sz w:val="17"/>
              </w:rPr>
              <w:t>L. 120</w:t>
            </w:r>
          </w:p>
        </w:tc>
        <w:tc>
          <w:tcPr>
            <w:tcW w:type="dxa" w:w="3600"/>
            <w:shd w:fill="F8FAFC"/>
            <w:tcMar>
              <w:top w:w="70" w:type="dxa"/>
              <w:bottom w:w="70" w:type="dxa"/>
              <w:left w:w="80" w:type="dxa"/>
              <w:right w:w="80" w:type="dxa"/>
            </w:tcMar>
          </w:tcPr>
          <w:p>
            <w:pPr>
              <w:spacing w:after="0"/>
            </w:pPr>
            <w:r>
              <w:rPr>
                <w:rFonts w:ascii="Calibri" w:hAnsi="Calibri"/>
                <w:b w:val="0"/>
                <w:color w:val="0F172A"/>
                <w:sz w:val="17"/>
              </w:rPr>
              <w:t>IA en la nube para redacción de cobranzas, análisis comercial y consultas.</w:t>
            </w:r>
          </w:p>
        </w:tc>
      </w:tr>
    </w:tbl>
    <w:p>
      <w:pPr>
        <w:spacing w:after="160"/>
      </w:pPr>
    </w:p>
    <w:p>
      <w:pPr>
        <w:keepNext/>
        <w:spacing w:before="240" w:after="80"/>
      </w:pPr>
      <w:r>
        <w:rPr>
          <w:rFonts w:ascii="Calibri" w:hAnsi="Calibri"/>
          <w:b/>
          <w:color w:val="312E81"/>
          <w:sz w:val="25"/>
        </w:rPr>
        <w:t>6.1. Curva de Elasticidad y Descuentos por Volumen</w:t>
      </w:r>
    </w:p>
    <w:p>
      <w:pPr>
        <w:spacing w:before="0" w:after="120" w:line="276" w:lineRule="auto"/>
      </w:pPr>
      <w:r>
        <w:rPr>
          <w:rFonts w:ascii="Calibri" w:hAnsi="Calibri"/>
          <w:b/>
          <w:color w:val="1E293B"/>
          <w:sz w:val="20"/>
        </w:rPr>
        <w:t xml:space="preserve">Incentivo de Escalamiento: </w:t>
      </w:r>
      <w:r>
        <w:rPr>
          <w:rFonts w:ascii="Calibri" w:hAnsi="Calibri"/>
          <w:color w:val="1E293B"/>
          <w:sz w:val="20"/>
        </w:rPr>
        <w:t>Con el propósito de incentivar la adopción transversal de funciones sin erosionar el margen, el cotizador aplica descuentos algorítmicos automatizados:</w:t>
      </w:r>
    </w:p>
    <w:p>
      <w:pPr>
        <w:pStyle w:val="ListBullet"/>
        <w:spacing w:before="0" w:after="60" w:line="276" w:lineRule="auto"/>
      </w:pPr>
      <w:r>
        <w:rPr>
          <w:rFonts w:ascii="Calibri" w:hAnsi="Calibri"/>
          <w:b/>
          <w:color w:val="1E293B"/>
          <w:sz w:val="20"/>
        </w:rPr>
        <w:t xml:space="preserve">De 1 a 4 módulos: </w:t>
      </w:r>
      <w:r>
        <w:rPr>
          <w:rFonts w:ascii="Calibri" w:hAnsi="Calibri"/>
          <w:color w:val="1E293B"/>
          <w:sz w:val="20"/>
        </w:rPr>
        <w:t>Tarifa nominal pura (L. 150 base + sumatoria de módulos seleccionados).</w:t>
      </w:r>
    </w:p>
    <w:p>
      <w:pPr>
        <w:pStyle w:val="ListBullet"/>
        <w:spacing w:before="0" w:after="60" w:line="276" w:lineRule="auto"/>
      </w:pPr>
      <w:r>
        <w:rPr>
          <w:rFonts w:ascii="Calibri" w:hAnsi="Calibri"/>
          <w:b/>
          <w:color w:val="1E293B"/>
          <w:sz w:val="20"/>
        </w:rPr>
        <w:t xml:space="preserve">De 5 a 9 módulos: </w:t>
      </w:r>
      <w:r>
        <w:rPr>
          <w:rFonts w:ascii="Calibri" w:hAnsi="Calibri"/>
          <w:color w:val="1E293B"/>
          <w:sz w:val="20"/>
        </w:rPr>
        <w:t>10% de descuento sobre el subtotal de módulos adicionales.</w:t>
      </w:r>
    </w:p>
    <w:p>
      <w:pPr>
        <w:pStyle w:val="ListBullet"/>
        <w:spacing w:before="0" w:after="60" w:line="276" w:lineRule="auto"/>
      </w:pPr>
      <w:r>
        <w:rPr>
          <w:rFonts w:ascii="Calibri" w:hAnsi="Calibri"/>
          <w:b/>
          <w:color w:val="1E293B"/>
          <w:sz w:val="20"/>
        </w:rPr>
        <w:t xml:space="preserve">De 10 a 15 módulos: </w:t>
      </w:r>
      <w:r>
        <w:rPr>
          <w:rFonts w:ascii="Calibri" w:hAnsi="Calibri"/>
          <w:color w:val="1E293B"/>
          <w:sz w:val="20"/>
        </w:rPr>
        <w:t>15% de descuento sobre el subtotal de módulos adicionales.</w:t>
      </w:r>
    </w:p>
    <w:p>
      <w:pPr>
        <w:pStyle w:val="ListBullet"/>
        <w:spacing w:before="0" w:after="60" w:line="276" w:lineRule="auto"/>
      </w:pPr>
      <w:r>
        <w:rPr>
          <w:rFonts w:ascii="Calibri" w:hAnsi="Calibri"/>
          <w:b/>
          <w:color w:val="1E293B"/>
          <w:sz w:val="20"/>
        </w:rPr>
        <w:t xml:space="preserve">De 16 a 21 módulos (Suite Completa): </w:t>
      </w:r>
      <w:r>
        <w:rPr>
          <w:rFonts w:ascii="Calibri" w:hAnsi="Calibri"/>
          <w:color w:val="1E293B"/>
          <w:sz w:val="20"/>
        </w:rPr>
        <w:t>25% de descuento sobre el subtotal de módulos, alcanzando un valor tope cercano a L. 1,299 HNL/mes por la suite empresarial completa.</w:t>
      </w:r>
    </w:p>
    <w:p>
      <w:pPr>
        <w:keepNext/>
        <w:spacing w:before="360" w:after="120"/>
      </w:pPr>
      <w:r>
        <w:rPr>
          <w:rFonts w:ascii="Calibri" w:hAnsi="Calibri"/>
          <w:b/>
          <w:color w:val="0F172A"/>
          <w:sz w:val="30"/>
        </w:rPr>
        <w:t>7. Viabilidad Financiera y Punto de Equilibrio (Break-Even)</w:t>
      </w:r>
    </w:p>
    <w:p>
      <w:pPr>
        <w:spacing w:before="0" w:after="120" w:line="276" w:lineRule="auto"/>
      </w:pPr>
      <w:r>
        <w:rPr>
          <w:rFonts w:ascii="Calibri" w:hAnsi="Calibri"/>
          <w:b/>
          <w:color w:val="1E293B"/>
          <w:sz w:val="20"/>
        </w:rPr>
        <w:t xml:space="preserve">Estructura de Gastos Fijos (OPEX Mensual): </w:t>
      </w:r>
      <w:r>
        <w:rPr>
          <w:rFonts w:ascii="Calibri" w:hAnsi="Calibri"/>
          <w:color w:val="1E293B"/>
          <w:sz w:val="20"/>
        </w:rPr>
        <w:t>De acuerdo con la auditoría de costos internos documentada en el expediente de ingeniería de Portal Pilot, la estructura de costos operativos mensuales para garantizar la solvencia técnica y salarial de la empresa asciende a:</w:t>
      </w:r>
    </w:p>
    <w:p>
      <w:pPr>
        <w:pStyle w:val="ListBullet"/>
        <w:spacing w:before="0" w:after="60" w:line="276" w:lineRule="auto"/>
      </w:pPr>
      <w:r>
        <w:rPr>
          <w:rFonts w:ascii="Calibri" w:hAnsi="Calibri"/>
          <w:b/>
          <w:color w:val="1E293B"/>
          <w:sz w:val="20"/>
        </w:rPr>
        <w:t xml:space="preserve">Infraestructura Cloud, Base de Datos y APIs: </w:t>
      </w:r>
      <w:r>
        <w:rPr>
          <w:rFonts w:ascii="Calibri" w:hAnsi="Calibri"/>
          <w:color w:val="1E293B"/>
          <w:sz w:val="20"/>
        </w:rPr>
        <w:t>L. 3,870 HNL / mes</w:t>
      </w:r>
    </w:p>
    <w:p>
      <w:pPr>
        <w:pStyle w:val="ListBullet"/>
        <w:spacing w:before="0" w:after="60" w:line="276" w:lineRule="auto"/>
      </w:pPr>
      <w:r>
        <w:rPr>
          <w:rFonts w:ascii="Calibri" w:hAnsi="Calibri"/>
          <w:b/>
          <w:color w:val="1E293B"/>
          <w:sz w:val="20"/>
        </w:rPr>
        <w:t xml:space="preserve">Compensación Salarial Equipo Fundador (4 Ingenieros): </w:t>
      </w:r>
      <w:r>
        <w:rPr>
          <w:rFonts w:ascii="Calibri" w:hAnsi="Calibri"/>
          <w:color w:val="1E293B"/>
          <w:sz w:val="20"/>
        </w:rPr>
        <w:t>L. 81,038 HNL / mes</w:t>
      </w:r>
    </w:p>
    <w:p>
      <w:pPr>
        <w:pStyle w:val="ListBullet"/>
        <w:spacing w:before="0" w:after="60" w:line="276" w:lineRule="auto"/>
      </w:pPr>
      <w:r>
        <w:rPr>
          <w:rFonts w:ascii="Calibri" w:hAnsi="Calibri"/>
          <w:b/>
          <w:color w:val="1E293B"/>
          <w:sz w:val="20"/>
        </w:rPr>
        <w:t xml:space="preserve">Presupuesto de Mercadeo Digital y Captación Local: </w:t>
      </w:r>
      <w:r>
        <w:rPr>
          <w:rFonts w:ascii="Calibri" w:hAnsi="Calibri"/>
          <w:color w:val="1E293B"/>
          <w:sz w:val="20"/>
        </w:rPr>
        <w:t>L. 5,676 HNL / mes</w:t>
      </w:r>
    </w:p>
    <w:p>
      <w:pPr>
        <w:pStyle w:val="ListBullet"/>
        <w:spacing w:before="0" w:after="60" w:line="276" w:lineRule="auto"/>
      </w:pPr>
      <w:r>
        <w:rPr>
          <w:rFonts w:ascii="Calibri" w:hAnsi="Calibri"/>
          <w:b/>
          <w:color w:val="1E293B"/>
          <w:sz w:val="20"/>
        </w:rPr>
        <w:t xml:space="preserve">PUNTO DE EQUILIBRIO OPERATIVO TOTAL: </w:t>
      </w:r>
      <w:r>
        <w:rPr>
          <w:rFonts w:ascii="Calibri" w:hAnsi="Calibri"/>
          <w:color w:val="1E293B"/>
          <w:sz w:val="20"/>
        </w:rPr>
        <w:t>L. 90,584 HNL / mes</w:t>
      </w:r>
    </w:p>
    <w:p>
      <w:pPr>
        <w:spacing w:before="0" w:after="120" w:line="276" w:lineRule="auto"/>
      </w:pPr>
      <w:r>
        <w:rPr>
          <w:rFonts w:ascii="Calibri" w:hAnsi="Calibri"/>
          <w:b/>
          <w:color w:val="1E293B"/>
          <w:sz w:val="20"/>
        </w:rPr>
        <w:t xml:space="preserve">Análisis Comparativo de Penetración: </w:t>
      </w:r>
      <w:r>
        <w:rPr>
          <w:rFonts w:ascii="Calibri" w:hAnsi="Calibri"/>
          <w:color w:val="1E293B"/>
          <w:sz w:val="20"/>
        </w:rPr>
        <w:t>Bajo el esquema obsoleto (planes de L. 1,499 a L. 4,999), la empresa requería captar 60 clientes de alto perfil, los cuales tardaban hasta 6 meses en tomar una decisión de compra. Con el nuevo esquema democratizado, la captación se acelera radicalmente:</w:t>
      </w:r>
    </w:p>
    <w:tbl>
      <w:tblPr>
        <w:tblW w:type="auto" w:w="0"/>
        <w:jc w:val="center"/>
        <w:tblLayout w:type="fixed"/>
        <w:tblLook w:firstColumn="1" w:firstRow="1" w:lastColumn="0" w:lastRow="0" w:noHBand="0" w:noVBand="1" w:val="04A0"/>
        <w:tblBorders>
          <w:top w:val="single" w:sz="4" w:space="0" w:color="94A3B8"/>
          <w:bottom w:val="single" w:sz="4" w:space="0" w:color="94A3B8"/>
          <w:insideH w:val="single" w:sz="4" w:space="0" w:color="94A3B8"/>
          <w:insideV w:val="none"/>
          <w:left w:val="none"/>
          <w:right w:val="none"/>
        </w:tblBorders>
      </w:tblPr>
      <w:tblGrid>
        <w:gridCol w:w="2340"/>
        <w:gridCol w:w="2340"/>
        <w:gridCol w:w="2340"/>
        <w:gridCol w:w="2340"/>
      </w:tblGrid>
      <w:tr>
        <w:tc>
          <w:tcPr>
            <w:tcW w:type="dxa" w:w="3600"/>
            <w:shd w:fill="0F172A"/>
            <w:tcMar>
              <w:top w:w="100" w:type="dxa"/>
              <w:bottom w:w="100" w:type="dxa"/>
              <w:left w:w="80" w:type="dxa"/>
              <w:right w:w="80" w:type="dxa"/>
            </w:tcMar>
          </w:tcPr>
          <w:p>
            <w:pPr>
              <w:spacing w:after="0"/>
            </w:pPr>
            <w:r>
              <w:rPr>
                <w:rFonts w:ascii="Calibri" w:hAnsi="Calibri"/>
                <w:b/>
                <w:color w:val="FFFFFF"/>
                <w:sz w:val="17"/>
              </w:rPr>
              <w:t>Segmento / Plan Comercial</w:t>
            </w:r>
          </w:p>
        </w:tc>
        <w:tc>
          <w:tcPr>
            <w:tcW w:type="dxa" w:w="1728"/>
            <w:shd w:fill="0F172A"/>
            <w:tcMar>
              <w:top w:w="100" w:type="dxa"/>
              <w:bottom w:w="100" w:type="dxa"/>
              <w:left w:w="80" w:type="dxa"/>
              <w:right w:w="80" w:type="dxa"/>
            </w:tcMar>
          </w:tcPr>
          <w:p>
            <w:pPr>
              <w:spacing w:after="0"/>
            </w:pPr>
            <w:r>
              <w:rPr>
                <w:rFonts w:ascii="Calibri" w:hAnsi="Calibri"/>
                <w:b/>
                <w:color w:val="FFFFFF"/>
                <w:sz w:val="17"/>
              </w:rPr>
              <w:t>Meta Clientes</w:t>
            </w:r>
          </w:p>
        </w:tc>
        <w:tc>
          <w:tcPr>
            <w:tcW w:type="dxa" w:w="1872"/>
            <w:shd w:fill="0F172A"/>
            <w:tcMar>
              <w:top w:w="100" w:type="dxa"/>
              <w:bottom w:w="100" w:type="dxa"/>
              <w:left w:w="80" w:type="dxa"/>
              <w:right w:w="80" w:type="dxa"/>
            </w:tcMar>
          </w:tcPr>
          <w:p>
            <w:pPr>
              <w:spacing w:after="0"/>
            </w:pPr>
            <w:r>
              <w:rPr>
                <w:rFonts w:ascii="Calibri" w:hAnsi="Calibri"/>
                <w:b/>
                <w:color w:val="FFFFFF"/>
                <w:sz w:val="17"/>
              </w:rPr>
              <w:t>Tarifa / Mes</w:t>
            </w:r>
          </w:p>
        </w:tc>
        <w:tc>
          <w:tcPr>
            <w:tcW w:type="dxa" w:w="2160"/>
            <w:shd w:fill="0F172A"/>
            <w:tcMar>
              <w:top w:w="100" w:type="dxa"/>
              <w:bottom w:w="100" w:type="dxa"/>
              <w:left w:w="80" w:type="dxa"/>
              <w:right w:w="80" w:type="dxa"/>
            </w:tcMar>
          </w:tcPr>
          <w:p>
            <w:pPr>
              <w:spacing w:after="0"/>
            </w:pPr>
            <w:r>
              <w:rPr>
                <w:rFonts w:ascii="Calibri" w:hAnsi="Calibri"/>
                <w:b/>
                <w:color w:val="FFFFFF"/>
                <w:sz w:val="17"/>
              </w:rPr>
              <w:t>Ingreso Recurrente (MRR)</w:t>
            </w:r>
          </w:p>
        </w:tc>
      </w:tr>
      <w:tr>
        <w:tc>
          <w:tcPr>
            <w:tcW w:type="dxa" w:w="3600"/>
            <w:shd w:fill="F8FAFC"/>
            <w:tcMar>
              <w:top w:w="80" w:type="dxa"/>
              <w:bottom w:w="80" w:type="dxa"/>
              <w:left w:w="80" w:type="dxa"/>
              <w:right w:w="80" w:type="dxa"/>
            </w:tcMar>
          </w:tcPr>
          <w:p>
            <w:pPr>
              <w:spacing w:after="0"/>
            </w:pPr>
            <w:r>
              <w:rPr>
                <w:rFonts w:ascii="Calibri" w:hAnsi="Calibri"/>
                <w:b/>
                <w:color w:val="0F172A"/>
                <w:sz w:val="18"/>
              </w:rPr>
              <w:t>Pulperías / Mercaditos de Barrio</w:t>
            </w:r>
          </w:p>
        </w:tc>
        <w:tc>
          <w:tcPr>
            <w:tcW w:type="dxa" w:w="1728"/>
            <w:shd w:fill="F8FAFC"/>
            <w:tcMar>
              <w:top w:w="80" w:type="dxa"/>
              <w:bottom w:w="80" w:type="dxa"/>
              <w:left w:w="80" w:type="dxa"/>
              <w:right w:w="80" w:type="dxa"/>
            </w:tcMar>
          </w:tcPr>
          <w:p>
            <w:pPr>
              <w:spacing w:after="0"/>
            </w:pPr>
            <w:r>
              <w:rPr>
                <w:rFonts w:ascii="Calibri" w:hAnsi="Calibri"/>
                <w:b w:val="0"/>
                <w:color w:val="0F172A"/>
                <w:sz w:val="18"/>
              </w:rPr>
              <w:t>70</w:t>
            </w:r>
          </w:p>
        </w:tc>
        <w:tc>
          <w:tcPr>
            <w:tcW w:type="dxa" w:w="1872"/>
            <w:shd w:fill="F8FAFC"/>
            <w:tcMar>
              <w:top w:w="80" w:type="dxa"/>
              <w:bottom w:w="80" w:type="dxa"/>
              <w:left w:w="80" w:type="dxa"/>
              <w:right w:w="80" w:type="dxa"/>
            </w:tcMar>
          </w:tcPr>
          <w:p>
            <w:pPr>
              <w:spacing w:after="0"/>
            </w:pPr>
            <w:r>
              <w:rPr>
                <w:rFonts w:ascii="Calibri" w:hAnsi="Calibri"/>
                <w:b w:val="0"/>
                <w:color w:val="0F172A"/>
                <w:sz w:val="18"/>
              </w:rPr>
              <w:t>L. 299</w:t>
            </w:r>
          </w:p>
        </w:tc>
        <w:tc>
          <w:tcPr>
            <w:tcW w:type="dxa" w:w="2160"/>
            <w:shd w:fill="F8FAFC"/>
            <w:tcMar>
              <w:top w:w="80" w:type="dxa"/>
              <w:bottom w:w="80" w:type="dxa"/>
              <w:left w:w="80" w:type="dxa"/>
              <w:right w:w="80" w:type="dxa"/>
            </w:tcMar>
          </w:tcPr>
          <w:p>
            <w:pPr>
              <w:spacing w:after="0"/>
            </w:pPr>
            <w:r>
              <w:rPr>
                <w:rFonts w:ascii="Calibri" w:hAnsi="Calibri"/>
                <w:b w:val="0"/>
                <w:color w:val="0F172A"/>
                <w:sz w:val="18"/>
              </w:rPr>
              <w:t>L. 20,930 HNL</w:t>
            </w:r>
          </w:p>
        </w:tc>
      </w:tr>
      <w:tr>
        <w:tc>
          <w:tcPr>
            <w:tcW w:type="dxa" w:w="3600"/>
            <w:shd w:fill="FFFFFF"/>
            <w:tcMar>
              <w:top w:w="80" w:type="dxa"/>
              <w:bottom w:w="80" w:type="dxa"/>
              <w:left w:w="80" w:type="dxa"/>
              <w:right w:w="80" w:type="dxa"/>
            </w:tcMar>
          </w:tcPr>
          <w:p>
            <w:pPr>
              <w:spacing w:after="0"/>
            </w:pPr>
            <w:r>
              <w:rPr>
                <w:rFonts w:ascii="Calibri" w:hAnsi="Calibri"/>
                <w:b/>
                <w:color w:val="0F172A"/>
                <w:sz w:val="18"/>
              </w:rPr>
              <w:t>Tiendas / Supermercados Minoristas</w:t>
            </w:r>
          </w:p>
        </w:tc>
        <w:tc>
          <w:tcPr>
            <w:tcW w:type="dxa" w:w="1728"/>
            <w:shd w:fill="FFFFFF"/>
            <w:tcMar>
              <w:top w:w="80" w:type="dxa"/>
              <w:bottom w:w="80" w:type="dxa"/>
              <w:left w:w="80" w:type="dxa"/>
              <w:right w:w="80" w:type="dxa"/>
            </w:tcMar>
          </w:tcPr>
          <w:p>
            <w:pPr>
              <w:spacing w:after="0"/>
            </w:pPr>
            <w:r>
              <w:rPr>
                <w:rFonts w:ascii="Calibri" w:hAnsi="Calibri"/>
                <w:b w:val="0"/>
                <w:color w:val="0F172A"/>
                <w:sz w:val="18"/>
              </w:rPr>
              <w:t>50</w:t>
            </w:r>
          </w:p>
        </w:tc>
        <w:tc>
          <w:tcPr>
            <w:tcW w:type="dxa" w:w="1872"/>
            <w:shd w:fill="FFFFFF"/>
            <w:tcMar>
              <w:top w:w="80" w:type="dxa"/>
              <w:bottom w:w="80" w:type="dxa"/>
              <w:left w:w="80" w:type="dxa"/>
              <w:right w:w="80" w:type="dxa"/>
            </w:tcMar>
          </w:tcPr>
          <w:p>
            <w:pPr>
              <w:spacing w:after="0"/>
            </w:pPr>
            <w:r>
              <w:rPr>
                <w:rFonts w:ascii="Calibri" w:hAnsi="Calibri"/>
                <w:b w:val="0"/>
                <w:color w:val="0F172A"/>
                <w:sz w:val="18"/>
              </w:rPr>
              <w:t>L. 799</w:t>
            </w:r>
          </w:p>
        </w:tc>
        <w:tc>
          <w:tcPr>
            <w:tcW w:type="dxa" w:w="2160"/>
            <w:shd w:fill="FFFFFF"/>
            <w:tcMar>
              <w:top w:w="80" w:type="dxa"/>
              <w:bottom w:w="80" w:type="dxa"/>
              <w:left w:w="80" w:type="dxa"/>
              <w:right w:w="80" w:type="dxa"/>
            </w:tcMar>
          </w:tcPr>
          <w:p>
            <w:pPr>
              <w:spacing w:after="0"/>
            </w:pPr>
            <w:r>
              <w:rPr>
                <w:rFonts w:ascii="Calibri" w:hAnsi="Calibri"/>
                <w:b w:val="0"/>
                <w:color w:val="0F172A"/>
                <w:sz w:val="18"/>
              </w:rPr>
              <w:t>L. 39,950 HNL</w:t>
            </w:r>
          </w:p>
        </w:tc>
      </w:tr>
      <w:tr>
        <w:tc>
          <w:tcPr>
            <w:tcW w:type="dxa" w:w="3600"/>
            <w:shd w:fill="F8FAFC"/>
            <w:tcMar>
              <w:top w:w="80" w:type="dxa"/>
              <w:bottom w:w="80" w:type="dxa"/>
              <w:left w:w="80" w:type="dxa"/>
              <w:right w:w="80" w:type="dxa"/>
            </w:tcMar>
          </w:tcPr>
          <w:p>
            <w:pPr>
              <w:spacing w:after="0"/>
            </w:pPr>
            <w:r>
              <w:rPr>
                <w:rFonts w:ascii="Calibri" w:hAnsi="Calibri"/>
                <w:b/>
                <w:color w:val="0F172A"/>
                <w:sz w:val="18"/>
              </w:rPr>
              <w:t>Clubes / Centros de Membresía / Bares</w:t>
            </w:r>
          </w:p>
        </w:tc>
        <w:tc>
          <w:tcPr>
            <w:tcW w:type="dxa" w:w="1728"/>
            <w:shd w:fill="F8FAFC"/>
            <w:tcMar>
              <w:top w:w="80" w:type="dxa"/>
              <w:bottom w:w="80" w:type="dxa"/>
              <w:left w:w="80" w:type="dxa"/>
              <w:right w:w="80" w:type="dxa"/>
            </w:tcMar>
          </w:tcPr>
          <w:p>
            <w:pPr>
              <w:spacing w:after="0"/>
            </w:pPr>
            <w:r>
              <w:rPr>
                <w:rFonts w:ascii="Calibri" w:hAnsi="Calibri"/>
                <w:b w:val="0"/>
                <w:color w:val="0F172A"/>
                <w:sz w:val="18"/>
              </w:rPr>
              <w:t>18</w:t>
            </w:r>
          </w:p>
        </w:tc>
        <w:tc>
          <w:tcPr>
            <w:tcW w:type="dxa" w:w="1872"/>
            <w:shd w:fill="F8FAFC"/>
            <w:tcMar>
              <w:top w:w="80" w:type="dxa"/>
              <w:bottom w:w="80" w:type="dxa"/>
              <w:left w:w="80" w:type="dxa"/>
              <w:right w:w="80" w:type="dxa"/>
            </w:tcMar>
          </w:tcPr>
          <w:p>
            <w:pPr>
              <w:spacing w:after="0"/>
            </w:pPr>
            <w:r>
              <w:rPr>
                <w:rFonts w:ascii="Calibri" w:hAnsi="Calibri"/>
                <w:b w:val="0"/>
                <w:color w:val="0F172A"/>
                <w:sz w:val="18"/>
              </w:rPr>
              <w:t>L. 1,399</w:t>
            </w:r>
          </w:p>
        </w:tc>
        <w:tc>
          <w:tcPr>
            <w:tcW w:type="dxa" w:w="2160"/>
            <w:shd w:fill="F8FAFC"/>
            <w:tcMar>
              <w:top w:w="80" w:type="dxa"/>
              <w:bottom w:w="80" w:type="dxa"/>
              <w:left w:w="80" w:type="dxa"/>
              <w:right w:w="80" w:type="dxa"/>
            </w:tcMar>
          </w:tcPr>
          <w:p>
            <w:pPr>
              <w:spacing w:after="0"/>
            </w:pPr>
            <w:r>
              <w:rPr>
                <w:rFonts w:ascii="Calibri" w:hAnsi="Calibri"/>
                <w:b w:val="0"/>
                <w:color w:val="0F172A"/>
                <w:sz w:val="18"/>
              </w:rPr>
              <w:t>L. 25,182 HNL</w:t>
            </w:r>
          </w:p>
        </w:tc>
      </w:tr>
      <w:tr>
        <w:tc>
          <w:tcPr>
            <w:tcW w:type="dxa" w:w="3600"/>
            <w:shd w:fill="FFFFFF"/>
            <w:tcMar>
              <w:top w:w="80" w:type="dxa"/>
              <w:bottom w:w="80" w:type="dxa"/>
              <w:left w:w="80" w:type="dxa"/>
              <w:right w:w="80" w:type="dxa"/>
            </w:tcMar>
          </w:tcPr>
          <w:p>
            <w:pPr>
              <w:spacing w:after="0"/>
            </w:pPr>
            <w:r>
              <w:rPr>
                <w:rFonts w:ascii="Calibri" w:hAnsi="Calibri"/>
                <w:b/>
                <w:color w:val="0F172A"/>
                <w:sz w:val="18"/>
              </w:rPr>
              <w:t>Planes Personalizados (Promedio)</w:t>
            </w:r>
          </w:p>
        </w:tc>
        <w:tc>
          <w:tcPr>
            <w:tcW w:type="dxa" w:w="1728"/>
            <w:shd w:fill="FFFFFF"/>
            <w:tcMar>
              <w:top w:w="80" w:type="dxa"/>
              <w:bottom w:w="80" w:type="dxa"/>
              <w:left w:w="80" w:type="dxa"/>
              <w:right w:w="80" w:type="dxa"/>
            </w:tcMar>
          </w:tcPr>
          <w:p>
            <w:pPr>
              <w:spacing w:after="0"/>
            </w:pPr>
            <w:r>
              <w:rPr>
                <w:rFonts w:ascii="Calibri" w:hAnsi="Calibri"/>
                <w:b w:val="0"/>
                <w:color w:val="0F172A"/>
                <w:sz w:val="18"/>
              </w:rPr>
              <w:t>15</w:t>
            </w:r>
          </w:p>
        </w:tc>
        <w:tc>
          <w:tcPr>
            <w:tcW w:type="dxa" w:w="1872"/>
            <w:shd w:fill="FFFFFF"/>
            <w:tcMar>
              <w:top w:w="80" w:type="dxa"/>
              <w:bottom w:w="80" w:type="dxa"/>
              <w:left w:w="80" w:type="dxa"/>
              <w:right w:w="80" w:type="dxa"/>
            </w:tcMar>
          </w:tcPr>
          <w:p>
            <w:pPr>
              <w:spacing w:after="0"/>
            </w:pPr>
            <w:r>
              <w:rPr>
                <w:rFonts w:ascii="Calibri" w:hAnsi="Calibri"/>
                <w:b w:val="0"/>
                <w:color w:val="0F172A"/>
                <w:sz w:val="18"/>
              </w:rPr>
              <w:t>L. 650</w:t>
            </w:r>
          </w:p>
        </w:tc>
        <w:tc>
          <w:tcPr>
            <w:tcW w:type="dxa" w:w="2160"/>
            <w:shd w:fill="FFFFFF"/>
            <w:tcMar>
              <w:top w:w="80" w:type="dxa"/>
              <w:bottom w:w="80" w:type="dxa"/>
              <w:left w:w="80" w:type="dxa"/>
              <w:right w:w="80" w:type="dxa"/>
            </w:tcMar>
          </w:tcPr>
          <w:p>
            <w:pPr>
              <w:spacing w:after="0"/>
            </w:pPr>
            <w:r>
              <w:rPr>
                <w:rFonts w:ascii="Calibri" w:hAnsi="Calibri"/>
                <w:b w:val="0"/>
                <w:color w:val="0F172A"/>
                <w:sz w:val="18"/>
              </w:rPr>
              <w:t>L. 9,750 HNL</w:t>
            </w:r>
          </w:p>
        </w:tc>
      </w:tr>
      <w:tr>
        <w:tc>
          <w:tcPr>
            <w:tcW w:type="dxa" w:w="3600"/>
            <w:shd w:fill="E2E8F0"/>
            <w:tcMar>
              <w:top w:w="80" w:type="dxa"/>
              <w:bottom w:w="80" w:type="dxa"/>
              <w:left w:w="80" w:type="dxa"/>
              <w:right w:w="80" w:type="dxa"/>
            </w:tcMar>
          </w:tcPr>
          <w:p>
            <w:pPr>
              <w:spacing w:after="0"/>
            </w:pPr>
            <w:r>
              <w:rPr>
                <w:rFonts w:ascii="Calibri" w:hAnsi="Calibri"/>
                <w:b/>
                <w:color w:val="059669"/>
                <w:sz w:val="18"/>
              </w:rPr>
              <w:t>TOTAL MENSUAL ESTIMADO (MRR)</w:t>
            </w:r>
          </w:p>
        </w:tc>
        <w:tc>
          <w:tcPr>
            <w:tcW w:type="dxa" w:w="1728"/>
            <w:shd w:fill="E2E8F0"/>
            <w:tcMar>
              <w:top w:w="80" w:type="dxa"/>
              <w:bottom w:w="80" w:type="dxa"/>
              <w:left w:w="80" w:type="dxa"/>
              <w:right w:w="80" w:type="dxa"/>
            </w:tcMar>
          </w:tcPr>
          <w:p>
            <w:pPr>
              <w:spacing w:after="0"/>
            </w:pPr>
            <w:r>
              <w:rPr>
                <w:rFonts w:ascii="Calibri" w:hAnsi="Calibri"/>
                <w:b/>
                <w:color w:val="059669"/>
                <w:sz w:val="18"/>
              </w:rPr>
              <w:t>153 clientes</w:t>
            </w:r>
          </w:p>
        </w:tc>
        <w:tc>
          <w:tcPr>
            <w:tcW w:type="dxa" w:w="1872"/>
            <w:shd w:fill="E2E8F0"/>
            <w:tcMar>
              <w:top w:w="80" w:type="dxa"/>
              <w:bottom w:w="80" w:type="dxa"/>
              <w:left w:w="80" w:type="dxa"/>
              <w:right w:w="80" w:type="dxa"/>
            </w:tcMar>
          </w:tcPr>
          <w:p>
            <w:pPr>
              <w:spacing w:after="0"/>
            </w:pPr>
            <w:r>
              <w:rPr>
                <w:rFonts w:ascii="Calibri" w:hAnsi="Calibri"/>
                <w:b/>
                <w:color w:val="059669"/>
                <w:sz w:val="18"/>
              </w:rPr>
              <w:t>—</w:t>
            </w:r>
          </w:p>
        </w:tc>
        <w:tc>
          <w:tcPr>
            <w:tcW w:type="dxa" w:w="2160"/>
            <w:shd w:fill="E2E8F0"/>
            <w:tcMar>
              <w:top w:w="80" w:type="dxa"/>
              <w:bottom w:w="80" w:type="dxa"/>
              <w:left w:w="80" w:type="dxa"/>
              <w:right w:w="80" w:type="dxa"/>
            </w:tcMar>
          </w:tcPr>
          <w:p>
            <w:pPr>
              <w:spacing w:after="0"/>
            </w:pPr>
            <w:r>
              <w:rPr>
                <w:rFonts w:ascii="Calibri" w:hAnsi="Calibri"/>
                <w:b/>
                <w:color w:val="059669"/>
                <w:sz w:val="18"/>
              </w:rPr>
              <w:t>L. 95,812 HNL</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EEF2FF"/>
            <w:tcMar>
              <w:top w:w="160" w:type="dxa"/>
              <w:bottom w:w="160" w:type="dxa"/>
              <w:left w:w="220" w:type="dxa"/>
              <w:right w:w="200" w:type="dxa"/>
            </w:tcMar>
            <w:tcBorders>
              <w:left w:val="single" w:sz="24" w:space="0" w:color="4F46E5"/>
              <w:top w:val="none"/>
              <w:right w:val="none"/>
              <w:bottom w:val="none"/>
            </w:tcBorders>
          </w:tcPr>
          <w:p>
            <w:pPr>
              <w:spacing w:before="0" w:after="80"/>
            </w:pPr>
            <w:r>
              <w:rPr>
                <w:rFonts w:ascii="Calibri" w:hAnsi="Calibri"/>
                <w:b/>
                <w:color w:val="312E81"/>
                <w:sz w:val="20"/>
              </w:rPr>
              <w:t>📌 DICTAMEN DE SOLVENCIA Y EXCEDENTE FINANCIERO</w:t>
              <w:br/>
            </w:r>
            <w:r>
              <w:rPr>
                <w:rFonts w:ascii="Calibri" w:hAnsi="Calibri"/>
                <w:color w:val="1E293B"/>
                <w:sz w:val="19"/>
              </w:rPr>
              <w:t>Con una base instalada de únicamente 153 clientes activos a nivel nacional (equivalente al 0.05% de las MiPyMEs registradas en Tegucigalpa y San Pedro Sula), Portal Pilot genera un MRR de L. 95,812 HNL. Esto cubre el 100% de los costos operativos y salariales (L. 90,584 HNL), generando un superávit neto inmediato de L. 5,228 HNL mensuales que se reinvierte en expansión de red.</w:t>
            </w:r>
          </w:p>
        </w:tc>
      </w:tr>
    </w:tbl>
    <w:p>
      <w:pPr>
        <w:spacing w:before="0" w:after="120"/>
      </w:pPr>
    </w:p>
    <w:p>
      <w:pPr>
        <w:keepNext/>
        <w:spacing w:before="360" w:after="120"/>
      </w:pPr>
      <w:r>
        <w:rPr>
          <w:rFonts w:ascii="Calibri" w:hAnsi="Calibri"/>
          <w:b/>
          <w:color w:val="0F172A"/>
          <w:sz w:val="30"/>
        </w:rPr>
        <w:t>8. Conclusiones y Plan de Ejecución Go-to-Market</w:t>
      </w:r>
    </w:p>
    <w:p>
      <w:pPr>
        <w:pStyle w:val="ListBullet"/>
        <w:spacing w:before="0" w:after="60" w:line="276" w:lineRule="auto"/>
      </w:pPr>
      <w:r>
        <w:rPr>
          <w:rFonts w:ascii="Calibri" w:hAnsi="Calibri"/>
          <w:b/>
          <w:color w:val="1E293B"/>
          <w:sz w:val="20"/>
        </w:rPr>
        <w:t xml:space="preserve">Alineación Product-Market Fit: </w:t>
      </w:r>
      <w:r>
        <w:rPr>
          <w:rFonts w:ascii="Calibri" w:hAnsi="Calibri"/>
          <w:color w:val="1E293B"/>
          <w:sz w:val="20"/>
        </w:rPr>
        <w:t>Eliminar planes abstractos y hablar el lenguaje del comerciante ('¿Cómo funciona tu negocio?') reduce el ciclo de ventas de semanas a minutos. La interfaz de planes.html y registrov2.html automatiza el embudo de conversión.</w:t>
      </w:r>
    </w:p>
    <w:p>
      <w:pPr>
        <w:pStyle w:val="ListBullet"/>
        <w:spacing w:before="0" w:after="60" w:line="276" w:lineRule="auto"/>
      </w:pPr>
      <w:r>
        <w:rPr>
          <w:rFonts w:ascii="Calibri" w:hAnsi="Calibri"/>
          <w:b/>
          <w:color w:val="1E293B"/>
          <w:sz w:val="20"/>
        </w:rPr>
        <w:t xml:space="preserve">Democratización Tecnológica: </w:t>
      </w:r>
      <w:r>
        <w:rPr>
          <w:rFonts w:ascii="Calibri" w:hAnsi="Calibri"/>
          <w:color w:val="1E293B"/>
          <w:sz w:val="20"/>
        </w:rPr>
        <w:t>Al fijar el costo de entrada de la Pulpería en L. 10.00 diarios, Portal Pilot se posiciona como una utilidad básica indispensable, con menor fricción que el servicio eléctrico o de telefonía móvil.</w:t>
      </w:r>
    </w:p>
    <w:p>
      <w:pPr>
        <w:pStyle w:val="ListBullet"/>
        <w:spacing w:before="0" w:after="60" w:line="276" w:lineRule="auto"/>
      </w:pPr>
      <w:r>
        <w:rPr>
          <w:rFonts w:ascii="Calibri" w:hAnsi="Calibri"/>
          <w:b/>
          <w:color w:val="1E293B"/>
          <w:sz w:val="20"/>
        </w:rPr>
        <w:t xml:space="preserve">Resiliencia Legal y Fiscal: </w:t>
      </w:r>
      <w:r>
        <w:rPr>
          <w:rFonts w:ascii="Calibri" w:hAnsi="Calibri"/>
          <w:color w:val="1E293B"/>
          <w:sz w:val="20"/>
        </w:rPr>
        <w:t>La integración nativa de los parámetros del SAR convierte al sistema en la solución por excelencia para evitar multas, consolidando la confianza del microempresario ante auditorías tributarias.</w:t>
      </w:r>
    </w:p>
    <w:p>
      <w:pPr>
        <w:spacing w:after="400"/>
      </w:pPr>
    </w:p>
    <w:p>
      <w:pPr>
        <w:keepNext/>
      </w:pPr>
      <w:r>
        <w:rPr>
          <w:rFonts w:ascii="Calibri" w:hAnsi="Calibri"/>
          <w:i/>
          <w:color w:val="64748B"/>
          <w:sz w:val="19"/>
        </w:rPr>
        <w:t>Dictamen emitido y suscrito por el Comité de Finanzas y Dirección Estratégica:</w:t>
        <w:br/>
        <w:br/>
      </w:r>
      <w:r>
        <w:rPr>
          <w:rFonts w:ascii="Courier New" w:hAnsi="Courier New"/>
          <w:b/>
          <w:color w:val="0F172A"/>
          <w:sz w:val="17"/>
        </w:rPr>
        <w:t>________________________________________          ________________________________________</w:t>
        <w:br/>
        <w:t>Joseph Sánchez — Lead Tech &amp; Architect              Amy Fajardo — Product &amp; UX Strategy</w:t>
        <w:br/>
        <w:br/>
        <w:t>________________________________________          ________________________________________</w:t>
        <w:br/>
        <w:t>Sofía Guzmán — Finanzas y Cumplimiento SAR          José Cárcamo — Operaciones e Infraestructura Cloud</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