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Sardar Uddin, PhD</w:t>
      </w:r>
    </w:p>
    <w:p>
      <w:pPr>
        <w:jc w:val="center"/>
      </w:pPr>
      <w:r>
        <w:rPr>
          <w:sz w:val="20"/>
        </w:rPr>
        <w:t>sardarzain@gmail.com  |  (516) 721-7734</w:t>
      </w:r>
    </w:p>
    <w:p>
      <w:pPr>
        <w:pBdr>
          <w:bottom w:val="single" w:sz="6" w:space="1" w:color="000000"/>
        </w:pBdr>
        <w:spacing w:before="160" w:after="40"/>
      </w:pPr>
      <w:r>
        <w:rPr>
          <w:b/>
          <w:sz w:val="22"/>
        </w:rPr>
        <w:t>SUMMARY</w:t>
      </w:r>
    </w:p>
    <w:p>
      <w:pPr>
        <w:spacing w:before="40" w:after="40"/>
      </w:pPr>
      <w:r>
        <w:rPr>
          <w:sz w:val="20"/>
        </w:rPr>
        <w:t>Senior Clinical Scientist with 10+ years leading FIH and Phase I–IV studies in immunology (RA, MS), autoimmune/inflammatory disorders, and oncology. Deep background in biologics (monoclonal and bispecific antibodies), CAR-T, cell/gene therapy, and small molecules. Designed and executed clinical development strategy, protocol writing, and regulatory submissions (IND, NDA, BLA, MAA, IB, DSUR, ICF). Applied GenAI, AI/ML, and LLMs to biomarker discovery, data analysis, and literature mining. Published 40+ peer-reviewed articles.</w:t>
      </w:r>
    </w:p>
    <w:p>
      <w:pPr>
        <w:pBdr>
          <w:bottom w:val="single" w:sz="6" w:space="1" w:color="000000"/>
        </w:pBdr>
        <w:spacing w:before="160" w:after="40"/>
      </w:pPr>
      <w:r>
        <w:rPr>
          <w:b/>
          <w:sz w:val="22"/>
        </w:rPr>
        <w:t>COMPETENCIES</w:t>
      </w:r>
    </w:p>
    <w:p>
      <w:pPr>
        <w:spacing w:before="20" w:after="20"/>
      </w:pPr>
      <w:r>
        <w:rPr>
          <w:b/>
          <w:sz w:val="20"/>
        </w:rPr>
        <w:t xml:space="preserve">Clinical Research: </w:t>
      </w:r>
      <w:r>
        <w:rPr>
          <w:sz w:val="20"/>
        </w:rPr>
        <w:t>Phase I–III Study Design | Drug &amp; Biomarker Development | FIH | Clinical Strategy | Protocol Development | Biologics, CAR-T, Cell Therapy | PKPD</w:t>
      </w:r>
    </w:p>
    <w:p>
      <w:pPr>
        <w:spacing w:before="20" w:after="20"/>
      </w:pPr>
      <w:r>
        <w:rPr>
          <w:b/>
          <w:sz w:val="20"/>
        </w:rPr>
        <w:t xml:space="preserve">Regulatory: </w:t>
      </w:r>
      <w:r>
        <w:rPr>
          <w:sz w:val="20"/>
        </w:rPr>
        <w:t>IND, IB, DSUR, NDA, BLA, 505(b)(2) Submissions | GCP &amp; ICH Guidelines | FDA &amp; EMA Communications</w:t>
      </w:r>
    </w:p>
    <w:p>
      <w:pPr>
        <w:spacing w:before="20" w:after="20"/>
      </w:pPr>
      <w:r>
        <w:rPr>
          <w:b/>
          <w:sz w:val="20"/>
        </w:rPr>
        <w:t xml:space="preserve">Operations: </w:t>
      </w:r>
      <w:r>
        <w:rPr>
          <w:sz w:val="20"/>
        </w:rPr>
        <w:t>End-to-End Study Management | Medical Monitoring | Clinical Assessment | Budget &amp; Resource Management | Risk Identification, Assessment &amp; Mitigation | CRO/Vendor Management</w:t>
      </w:r>
    </w:p>
    <w:p>
      <w:pPr>
        <w:spacing w:before="20" w:after="20"/>
      </w:pPr>
      <w:r>
        <w:rPr>
          <w:b/>
          <w:sz w:val="20"/>
        </w:rPr>
        <w:t xml:space="preserve">Analytics: </w:t>
      </w:r>
      <w:r>
        <w:rPr>
          <w:sz w:val="20"/>
        </w:rPr>
        <w:t>Data Analysis &amp; Management | Data Monitoring &amp; Verification | Data Listing Review | Biostatistics (SAPs) | Safety &amp; SAE Monitoring | Data Quality Assurance</w:t>
      </w:r>
    </w:p>
    <w:p>
      <w:pPr>
        <w:spacing w:before="20" w:after="20"/>
      </w:pPr>
      <w:r>
        <w:rPr>
          <w:b/>
          <w:sz w:val="20"/>
        </w:rPr>
        <w:t xml:space="preserve">Communication: </w:t>
      </w:r>
      <w:r>
        <w:rPr>
          <w:sz w:val="20"/>
        </w:rPr>
        <w:t>Cross-Functional Collaboration | Scientific Writing &amp; Presentation | Business Development | Investigator Meetings | KOL, CRO, Sponsor &amp; Stakeholder Reporting</w:t>
      </w:r>
    </w:p>
    <w:p>
      <w:pPr>
        <w:spacing w:before="20" w:after="20"/>
      </w:pPr>
      <w:r>
        <w:rPr>
          <w:b/>
          <w:sz w:val="20"/>
        </w:rPr>
        <w:t xml:space="preserve">Technology: </w:t>
      </w:r>
      <w:r>
        <w:rPr>
          <w:sz w:val="20"/>
        </w:rPr>
        <w:t>EDC (Medidata RAVE, Veeva Vault) | CTMS &amp; eTMF | AI/ML Integration | Data Platforms | R, Python, SPSS, Prism | MS Office</w:t>
      </w:r>
    </w:p>
    <w:p>
      <w:pPr>
        <w:pBdr>
          <w:bottom w:val="single" w:sz="6" w:space="1" w:color="000000"/>
        </w:pBdr>
        <w:spacing w:before="160" w:after="40"/>
      </w:pPr>
      <w:r>
        <w:rPr>
          <w:b/>
          <w:sz w:val="22"/>
        </w:rPr>
        <w:t>PROFESSIONAL EXPERIENCE</w:t>
      </w:r>
    </w:p>
    <w:p>
      <w:pPr>
        <w:spacing w:before="80" w:after="0"/>
      </w:pPr>
      <w:r>
        <w:rPr>
          <w:b/>
          <w:sz w:val="21"/>
        </w:rPr>
        <w:t>L2P Research</w:t>
      </w:r>
      <w:r>
        <w:rPr>
          <w:b w:val="0"/>
          <w:i/>
          <w:sz w:val="21"/>
        </w:rPr>
        <w:t xml:space="preserve">  —  Director, Senior Clinical Scientist</w:t>
      </w:r>
      <w:r>
        <w:rPr>
          <w:sz w:val="20"/>
        </w:rPr>
        <w:t xml:space="preserve">  |  Nov. 2023 – Present</w:t>
      </w:r>
    </w:p>
    <w:p>
      <w:pPr>
        <w:pStyle w:val="ListBullet"/>
        <w:spacing w:before="20" w:after="20"/>
        <w:ind w:left="360"/>
      </w:pPr>
      <w:r>
        <w:rPr>
          <w:sz w:val="20"/>
        </w:rPr>
        <w:t>Led translational, FIH, and clinical strategy for immunology, autoimmune (MS, RA), and immuno-oncology programs — feasibility assessment, site selection, and SIVs.</w:t>
      </w:r>
    </w:p>
    <w:p>
      <w:pPr>
        <w:pStyle w:val="ListBullet"/>
        <w:spacing w:before="20" w:after="20"/>
        <w:ind w:left="360"/>
      </w:pPr>
      <w:r>
        <w:rPr>
          <w:sz w:val="20"/>
        </w:rPr>
        <w:t>Assessed safety and efficacy of small molecules, monoclonal and bispecific antibodies, CAR-T, and combination vs. monotherapy designs across Phase I–III.</w:t>
      </w:r>
    </w:p>
    <w:p>
      <w:pPr>
        <w:pStyle w:val="ListBullet"/>
        <w:spacing w:before="20" w:after="20"/>
        <w:ind w:left="360"/>
      </w:pPr>
      <w:r>
        <w:rPr>
          <w:sz w:val="20"/>
        </w:rPr>
        <w:t>Served as scientific lead on Clinical Trial Teams for Phase I–III studies; primary contact for CROs, sites, investigators, and internal stakeholders.</w:t>
      </w:r>
    </w:p>
    <w:p>
      <w:pPr>
        <w:pStyle w:val="ListBullet"/>
        <w:spacing w:before="20" w:after="20"/>
        <w:ind w:left="360"/>
      </w:pPr>
      <w:r>
        <w:rPr>
          <w:sz w:val="20"/>
        </w:rPr>
        <w:t>Led Phase I–III investigator meetings and SIVs; handled protocol inquiries, AE narrative reviews, and KOL/HCP/sponsor engagement.</w:t>
      </w:r>
    </w:p>
    <w:p>
      <w:pPr>
        <w:pStyle w:val="ListBullet"/>
        <w:spacing w:before="20" w:after="20"/>
        <w:ind w:left="360"/>
      </w:pPr>
      <w:r>
        <w:rPr>
          <w:sz w:val="20"/>
        </w:rPr>
        <w:t>Oversaw CRO medical monitor activity: clinical inquiries, safety escalations, trend analysis, endpoint development, and protocol amendments.</w:t>
      </w:r>
    </w:p>
    <w:p>
      <w:pPr>
        <w:pStyle w:val="ListBullet"/>
        <w:spacing w:before="20" w:after="20"/>
        <w:ind w:left="360"/>
      </w:pPr>
      <w:r>
        <w:rPr>
          <w:sz w:val="20"/>
        </w:rPr>
        <w:t>Partnered with Medical Directors, Biostatistics, Data Management, and Regulatory Affairs to execute protocol, protect patient safety, and maintain data integrity.</w:t>
      </w:r>
    </w:p>
    <w:p>
      <w:pPr>
        <w:pStyle w:val="ListBullet"/>
        <w:spacing w:before="20" w:after="20"/>
        <w:ind w:left="360"/>
      </w:pPr>
      <w:r>
        <w:rPr>
          <w:sz w:val="20"/>
        </w:rPr>
        <w:t>Contributed to eCRF design, data review plans, SAPs, database lock, clinical data visualizations, and TLF generation.</w:t>
      </w:r>
    </w:p>
    <w:p>
      <w:pPr>
        <w:pStyle w:val="ListBullet"/>
        <w:spacing w:before="20" w:after="20"/>
        <w:ind w:left="360"/>
      </w:pPr>
      <w:r>
        <w:rPr>
          <w:sz w:val="20"/>
        </w:rPr>
        <w:t>Ran risk-based quality oversight and medical monitoring using CTCAE criteria, SAE reconciliation, proactive signal detection, and efficacy analysis.</w:t>
      </w:r>
    </w:p>
    <w:p>
      <w:pPr>
        <w:pStyle w:val="ListBullet"/>
        <w:spacing w:before="20" w:after="20"/>
        <w:ind w:left="360"/>
      </w:pPr>
      <w:r>
        <w:rPr>
          <w:sz w:val="20"/>
        </w:rPr>
        <w:t>Built study start-up materials: ICFs, EDC specifications, and safety monitoring plans.</w:t>
      </w:r>
    </w:p>
    <w:p>
      <w:pPr>
        <w:pStyle w:val="ListBullet"/>
        <w:spacing w:before="20" w:after="20"/>
        <w:ind w:left="360"/>
      </w:pPr>
      <w:r>
        <w:rPr>
          <w:sz w:val="20"/>
        </w:rPr>
        <w:t>Directed risk identification and mitigation; led dose escalation and DSMB/DMC governance for pivotal trials.</w:t>
      </w:r>
    </w:p>
    <w:p>
      <w:pPr>
        <w:pStyle w:val="ListBullet"/>
        <w:spacing w:before="20" w:after="20"/>
        <w:ind w:left="360"/>
      </w:pPr>
      <w:r>
        <w:rPr>
          <w:sz w:val="20"/>
        </w:rPr>
        <w:t>Led data cleaning, query management, discrepancy resolution, and dataset validation.</w:t>
      </w:r>
    </w:p>
    <w:p>
      <w:pPr>
        <w:pStyle w:val="ListBullet"/>
        <w:spacing w:before="20" w:after="20"/>
        <w:ind w:left="360"/>
      </w:pPr>
      <w:r>
        <w:rPr>
          <w:sz w:val="20"/>
        </w:rPr>
        <w:t>Authored INDs, BLAs, CSRs, IBs, DSURs, and NDA/MAA briefing packages per ICH/GCP and FDA guidelines.</w:t>
      </w:r>
    </w:p>
    <w:p>
      <w:pPr>
        <w:pStyle w:val="ListBullet"/>
        <w:spacing w:before="20" w:after="20"/>
        <w:ind w:left="360"/>
      </w:pPr>
      <w:r>
        <w:rPr>
          <w:sz w:val="20"/>
        </w:rPr>
        <w:t>Deployed GenAI and AI/LLM platforms for biomarker discovery and literature mining to accelerate target validation.</w:t>
      </w:r>
    </w:p>
    <w:p>
      <w:pPr>
        <w:pStyle w:val="ListBullet"/>
        <w:spacing w:before="20" w:after="20"/>
        <w:ind w:left="360"/>
      </w:pPr>
      <w:r>
        <w:rPr>
          <w:sz w:val="20"/>
        </w:rPr>
        <w:t>Maintained scientific leadership from study start-up through database lock, including MDRPs.</w:t>
      </w:r>
    </w:p>
    <w:p>
      <w:pPr>
        <w:spacing w:before="80" w:after="0"/>
      </w:pPr>
      <w:r>
        <w:rPr>
          <w:b/>
          <w:sz w:val="21"/>
        </w:rPr>
        <w:t>Endo Pharmaceuticals</w:t>
      </w:r>
      <w:r>
        <w:rPr>
          <w:b w:val="0"/>
          <w:i/>
          <w:sz w:val="21"/>
        </w:rPr>
        <w:t xml:space="preserve">  —  Senior Early Development and Clinical Scientist</w:t>
      </w:r>
      <w:r>
        <w:rPr>
          <w:sz w:val="20"/>
        </w:rPr>
        <w:t xml:space="preserve">  |  Nov. 2021 – Nov. 2023</w:t>
      </w:r>
    </w:p>
    <w:p>
      <w:pPr>
        <w:pStyle w:val="ListBullet"/>
        <w:spacing w:before="20" w:after="20"/>
        <w:ind w:left="360"/>
      </w:pPr>
      <w:r>
        <w:rPr>
          <w:sz w:val="20"/>
        </w:rPr>
        <w:t>Executed Phase I–III oncology and immunology studies using immunotherapy, biologics, and small molecules.</w:t>
      </w:r>
    </w:p>
    <w:p>
      <w:pPr>
        <w:pStyle w:val="ListBullet"/>
        <w:spacing w:before="20" w:after="20"/>
        <w:ind w:left="360"/>
      </w:pPr>
      <w:r>
        <w:rPr>
          <w:sz w:val="20"/>
        </w:rPr>
        <w:t>Analyzed oncology datasets with statistical methods to generate real-world evidence and clinical insights.</w:t>
      </w:r>
    </w:p>
    <w:p>
      <w:pPr>
        <w:pStyle w:val="ListBullet"/>
        <w:spacing w:before="20" w:after="20"/>
        <w:ind w:left="360"/>
      </w:pPr>
      <w:r>
        <w:rPr>
          <w:sz w:val="20"/>
        </w:rPr>
        <w:t>Led Phase I–III immune/autoimmune disorder trials: protocol design, data review, CRO engagement, database lock, and regulatory submissions.</w:t>
      </w:r>
    </w:p>
    <w:p>
      <w:pPr>
        <w:pStyle w:val="ListBullet"/>
        <w:spacing w:before="20" w:after="20"/>
        <w:ind w:left="360"/>
      </w:pPr>
      <w:r>
        <w:rPr>
          <w:sz w:val="20"/>
        </w:rPr>
        <w:t>Managed 3 CRO/vendor relationships, holding them to contract terms on time, cost, and quality.</w:t>
      </w:r>
    </w:p>
    <w:p>
      <w:pPr>
        <w:pStyle w:val="ListBullet"/>
        <w:spacing w:before="20" w:after="20"/>
        <w:ind w:left="360"/>
      </w:pPr>
      <w:r>
        <w:rPr>
          <w:sz w:val="20"/>
        </w:rPr>
        <w:t>Linked translational data to clinical endpoints to guide early-phase go/no-go decisions.</w:t>
      </w:r>
    </w:p>
    <w:p>
      <w:pPr>
        <w:pStyle w:val="ListBullet"/>
        <w:spacing w:before="20" w:after="20"/>
        <w:ind w:left="360"/>
      </w:pPr>
      <w:r>
        <w:rPr>
          <w:sz w:val="20"/>
        </w:rPr>
        <w:t>Conducted literature reviews, competitive landscape assessments, and regulatory/scientific trend analyses to inform protocol design and endpoint selection.</w:t>
      </w:r>
    </w:p>
    <w:p>
      <w:pPr>
        <w:pStyle w:val="ListBullet"/>
        <w:spacing w:before="20" w:after="20"/>
        <w:ind w:left="360"/>
      </w:pPr>
      <w:r>
        <w:rPr>
          <w:sz w:val="20"/>
        </w:rPr>
        <w:t>Led protocol development and amendments for late-stage oncology programs.</w:t>
      </w:r>
    </w:p>
    <w:p>
      <w:pPr>
        <w:pStyle w:val="ListBullet"/>
        <w:spacing w:before="20" w:after="20"/>
        <w:ind w:left="360"/>
      </w:pPr>
      <w:r>
        <w:rPr>
          <w:sz w:val="20"/>
        </w:rPr>
        <w:t>Prepared CSRs, IBs, ICFs, and DSURs for regulatory submissions.</w:t>
      </w:r>
    </w:p>
    <w:p>
      <w:pPr>
        <w:pStyle w:val="ListBullet"/>
        <w:spacing w:before="20" w:after="20"/>
        <w:ind w:left="360"/>
      </w:pPr>
      <w:r>
        <w:rPr>
          <w:sz w:val="20"/>
        </w:rPr>
        <w:t>Reviewed and authored SOPs, SAEs, CSRs, ICFs, SOWs, and IBs; built clinical trial databases and eCRFs.</w:t>
      </w:r>
    </w:p>
    <w:p>
      <w:pPr>
        <w:pStyle w:val="ListBullet"/>
        <w:spacing w:before="20" w:after="20"/>
        <w:ind w:left="360"/>
      </w:pPr>
      <w:r>
        <w:rPr>
          <w:sz w:val="20"/>
        </w:rPr>
        <w:t>Managed study budgets, timelines, patient enrollment, and vendor oversight for late-stage oncology studies.</w:t>
      </w:r>
    </w:p>
    <w:p>
      <w:pPr>
        <w:pStyle w:val="ListBullet"/>
        <w:spacing w:before="20" w:after="20"/>
        <w:ind w:left="360"/>
      </w:pPr>
      <w:r>
        <w:rPr>
          <w:sz w:val="20"/>
        </w:rPr>
        <w:t>Drove 5 projects across global cross-functional R&amp;D, regulatory, pharmacovigilance, PKPD, and data analysis teams.</w:t>
      </w:r>
    </w:p>
    <w:p>
      <w:pPr>
        <w:pStyle w:val="ListBullet"/>
        <w:spacing w:before="20" w:after="20"/>
        <w:ind w:left="360"/>
      </w:pPr>
      <w:r>
        <w:rPr>
          <w:sz w:val="20"/>
        </w:rPr>
        <w:t>Presented clinical materials to DSMB/DMC, safety governance committees, advisory boards, steering committees, and executive reviews.</w:t>
      </w:r>
    </w:p>
    <w:p>
      <w:pPr>
        <w:pStyle w:val="ListBullet"/>
        <w:spacing w:before="20" w:after="20"/>
        <w:ind w:left="360"/>
      </w:pPr>
      <w:r>
        <w:rPr>
          <w:sz w:val="20"/>
        </w:rPr>
        <w:t>Built and maintained relationships with KOLs, HCPs, CROs, and regulators.</w:t>
      </w:r>
    </w:p>
    <w:p>
      <w:pPr>
        <w:pStyle w:val="ListBullet"/>
        <w:spacing w:before="20" w:after="20"/>
        <w:ind w:left="360"/>
      </w:pPr>
      <w:r>
        <w:rPr>
          <w:sz w:val="20"/>
        </w:rPr>
        <w:t>Mentored junior clinical scientists on protocol development and data interpretation.</w:t>
      </w:r>
    </w:p>
    <w:p>
      <w:pPr>
        <w:spacing w:before="80" w:after="0"/>
      </w:pPr>
      <w:r>
        <w:rPr>
          <w:b/>
          <w:sz w:val="21"/>
        </w:rPr>
        <w:t>Cepheid</w:t>
      </w:r>
      <w:r>
        <w:rPr>
          <w:b w:val="0"/>
          <w:i/>
          <w:sz w:val="21"/>
        </w:rPr>
        <w:t xml:space="preserve">  —  Clinical Scientist</w:t>
      </w:r>
      <w:r>
        <w:rPr>
          <w:sz w:val="20"/>
        </w:rPr>
        <w:t xml:space="preserve">  |  June 2021 – Oct. 2021</w:t>
      </w:r>
    </w:p>
    <w:p>
      <w:pPr>
        <w:pStyle w:val="ListBullet"/>
        <w:spacing w:before="20" w:after="20"/>
        <w:ind w:left="360"/>
      </w:pPr>
      <w:r>
        <w:rPr>
          <w:sz w:val="20"/>
        </w:rPr>
        <w:t>Communicated clinical reports and conducted diagnostic and gap analyses.</w:t>
      </w:r>
    </w:p>
    <w:p>
      <w:pPr>
        <w:pStyle w:val="ListBullet"/>
        <w:spacing w:before="20" w:after="20"/>
        <w:ind w:left="360"/>
      </w:pPr>
      <w:r>
        <w:rPr>
          <w:sz w:val="20"/>
        </w:rPr>
        <w:t>Designed and reviewed 2 clinical studies and data review plans for EMA submission.</w:t>
      </w:r>
    </w:p>
    <w:p>
      <w:pPr>
        <w:spacing w:before="80" w:after="0"/>
      </w:pPr>
      <w:r>
        <w:rPr>
          <w:b/>
          <w:sz w:val="21"/>
        </w:rPr>
        <w:t>ZetrOZ Systems</w:t>
      </w:r>
      <w:r>
        <w:rPr>
          <w:b w:val="0"/>
          <w:i/>
          <w:sz w:val="21"/>
        </w:rPr>
        <w:t xml:space="preserve">  —  Senior Clinical Scientist and Engineer</w:t>
      </w:r>
      <w:r>
        <w:rPr>
          <w:sz w:val="20"/>
        </w:rPr>
        <w:t xml:space="preserve">  |  Oct. 2019 – May 2021</w:t>
      </w:r>
    </w:p>
    <w:p>
      <w:pPr>
        <w:pStyle w:val="ListBullet"/>
        <w:spacing w:before="20" w:after="20"/>
        <w:ind w:left="360"/>
      </w:pPr>
      <w:r>
        <w:rPr>
          <w:sz w:val="20"/>
        </w:rPr>
        <w:t>Doubled company revenue through KOL engagement, technical expert collaboration, and business development.</w:t>
      </w:r>
    </w:p>
    <w:p>
      <w:pPr>
        <w:pStyle w:val="ListBullet"/>
        <w:spacing w:before="20" w:after="20"/>
        <w:ind w:left="360"/>
      </w:pPr>
      <w:r>
        <w:rPr>
          <w:sz w:val="20"/>
        </w:rPr>
        <w:t>Managed and designed efficacy studies for wearable SAM® devices targeting pain management, trauma, and drug delivery.</w:t>
      </w:r>
    </w:p>
    <w:p>
      <w:pPr>
        <w:pStyle w:val="ListBullet"/>
        <w:spacing w:before="20" w:after="20"/>
        <w:ind w:left="360"/>
      </w:pPr>
      <w:r>
        <w:rPr>
          <w:sz w:val="20"/>
        </w:rPr>
        <w:t>Executed clinical trials per ISO, GCP, and ICH guidelines; communicated directly with FDA and sales/business teams.</w:t>
      </w:r>
    </w:p>
    <w:p>
      <w:pPr>
        <w:pStyle w:val="ListBullet"/>
        <w:spacing w:before="20" w:after="20"/>
        <w:ind w:left="360"/>
      </w:pPr>
      <w:r>
        <w:rPr>
          <w:sz w:val="20"/>
        </w:rPr>
        <w:t>Led clinical trial management, endpoints, data analysis, medical monitoring, and statistical analysis.</w:t>
      </w:r>
    </w:p>
    <w:p>
      <w:pPr>
        <w:pStyle w:val="ListBullet"/>
        <w:spacing w:before="20" w:after="20"/>
        <w:ind w:left="360"/>
      </w:pPr>
      <w:r>
        <w:rPr>
          <w:sz w:val="20"/>
        </w:rPr>
        <w:t>Submitted INDs, NDAs, and 510Ks to FDA; prepared all regulatory briefing documentation.</w:t>
      </w:r>
    </w:p>
    <w:p>
      <w:pPr>
        <w:pStyle w:val="ListBullet"/>
        <w:spacing w:before="20" w:after="20"/>
        <w:ind w:left="360"/>
      </w:pPr>
      <w:r>
        <w:rPr>
          <w:sz w:val="20"/>
        </w:rPr>
        <w:t>Translated clinical evidence into product validation and market-adoption strategies; partnered with Product, Sales, and Marketing.</w:t>
      </w:r>
    </w:p>
    <w:p>
      <w:pPr>
        <w:spacing w:before="80" w:after="0"/>
      </w:pPr>
      <w:r>
        <w:rPr>
          <w:b/>
          <w:sz w:val="21"/>
        </w:rPr>
        <w:t>Stony Brook University, Dept. of Orthopaedics</w:t>
      </w:r>
      <w:r>
        <w:rPr>
          <w:b w:val="0"/>
          <w:i/>
          <w:sz w:val="21"/>
        </w:rPr>
        <w:t xml:space="preserve">  —  Research Scientist</w:t>
      </w:r>
      <w:r>
        <w:rPr>
          <w:sz w:val="20"/>
        </w:rPr>
        <w:t xml:space="preserve">  |  May 2016 – Sept. 2019</w:t>
      </w:r>
    </w:p>
    <w:p>
      <w:pPr>
        <w:pStyle w:val="ListBullet"/>
        <w:spacing w:before="20" w:after="20"/>
        <w:ind w:left="360"/>
      </w:pPr>
      <w:r>
        <w:rPr>
          <w:sz w:val="20"/>
        </w:rPr>
        <w:t>Secured $4.8M in grants for translational and clinical research in musculoskeletal and autoimmune (RA) disorders.</w:t>
      </w:r>
    </w:p>
    <w:p>
      <w:pPr>
        <w:pStyle w:val="ListBullet"/>
        <w:spacing w:before="20" w:after="20"/>
        <w:ind w:left="360"/>
      </w:pPr>
      <w:r>
        <w:rPr>
          <w:sz w:val="20"/>
        </w:rPr>
        <w:t>Designed and conducted combination therapy studies in osteosarcoma and bone-related cancers.</w:t>
      </w:r>
    </w:p>
    <w:p>
      <w:pPr>
        <w:pStyle w:val="ListBullet"/>
        <w:spacing w:before="20" w:after="20"/>
        <w:ind w:left="360"/>
      </w:pPr>
      <w:r>
        <w:rPr>
          <w:sz w:val="20"/>
        </w:rPr>
        <w:t>Managed on-site study operations: study design, protocol safety, and patient safety.</w:t>
      </w:r>
    </w:p>
    <w:p>
      <w:pPr>
        <w:pStyle w:val="ListBullet"/>
        <w:spacing w:before="20" w:after="20"/>
        <w:ind w:left="360"/>
      </w:pPr>
      <w:r>
        <w:rPr>
          <w:sz w:val="20"/>
        </w:rPr>
        <w:t>Built PKPD models and analyzed drug holiday effects of methylphenidate on ADHD patients in clinical trials.</w:t>
      </w:r>
    </w:p>
    <w:p>
      <w:pPr>
        <w:pStyle w:val="ListBullet"/>
        <w:spacing w:before="20" w:after="20"/>
        <w:ind w:left="360"/>
      </w:pPr>
      <w:r>
        <w:rPr>
          <w:sz w:val="20"/>
        </w:rPr>
        <w:t>Collaborated with sponsor on protocol development, SAP design, data analysis, and conference presentations.</w:t>
      </w:r>
    </w:p>
    <w:p>
      <w:pPr>
        <w:pStyle w:val="ListBullet"/>
        <w:spacing w:before="20" w:after="20"/>
        <w:ind w:left="360"/>
      </w:pPr>
      <w:r>
        <w:rPr>
          <w:sz w:val="20"/>
        </w:rPr>
        <w:t>Assessed therapeutic efficacy across musculoskeletal, oncology, and autoimmune indications.</w:t>
      </w:r>
    </w:p>
    <w:p>
      <w:pPr>
        <w:pStyle w:val="ListBullet"/>
        <w:spacing w:before="20" w:after="20"/>
        <w:ind w:left="360"/>
      </w:pPr>
      <w:r>
        <w:rPr>
          <w:sz w:val="20"/>
        </w:rPr>
        <w:t>Collaborated with surgeons, HCPs, and scientists on Phase I–III clinical projects.</w:t>
      </w:r>
    </w:p>
    <w:p>
      <w:pPr>
        <w:pStyle w:val="ListBullet"/>
        <w:spacing w:before="20" w:after="20"/>
        <w:ind w:left="360"/>
      </w:pPr>
      <w:r>
        <w:rPr>
          <w:sz w:val="20"/>
        </w:rPr>
        <w:t>Managed, monitored, validated, analyzed, and reported data across studies.</w:t>
      </w:r>
    </w:p>
    <w:p>
      <w:pPr>
        <w:pStyle w:val="ListBullet"/>
        <w:spacing w:before="20" w:after="20"/>
        <w:ind w:left="360"/>
      </w:pPr>
      <w:r>
        <w:rPr>
          <w:sz w:val="20"/>
        </w:rPr>
        <w:t>Published 40+ peer-reviewed articles (GPP-compliant); presented at conferences.</w:t>
      </w:r>
    </w:p>
    <w:p>
      <w:pPr>
        <w:pStyle w:val="ListBullet"/>
        <w:spacing w:before="20" w:after="20"/>
        <w:ind w:left="360"/>
      </w:pPr>
      <w:r>
        <w:rPr>
          <w:sz w:val="20"/>
        </w:rPr>
        <w:t>Served as reviewer for Scientific Reports, Journal of Neuroinflammation, Neural Regeneration Research, Journal of Clinical Medicine, and International Journal of Medical Sciences.</w:t>
      </w:r>
    </w:p>
    <w:p>
      <w:pPr>
        <w:spacing w:before="80" w:after="0"/>
      </w:pPr>
      <w:r>
        <w:rPr>
          <w:b/>
          <w:sz w:val="21"/>
        </w:rPr>
        <w:t>Intellects</w:t>
      </w:r>
      <w:r>
        <w:rPr>
          <w:b w:val="0"/>
          <w:i/>
          <w:sz w:val="21"/>
        </w:rPr>
        <w:t xml:space="preserve">  —  Co-Founder</w:t>
      </w:r>
      <w:r>
        <w:rPr>
          <w:sz w:val="20"/>
        </w:rPr>
        <w:t xml:space="preserve">  |  2013 – 2015</w:t>
      </w:r>
    </w:p>
    <w:p>
      <w:pPr>
        <w:pStyle w:val="ListBullet"/>
        <w:spacing w:before="20" w:after="20"/>
        <w:ind w:left="360"/>
      </w:pPr>
      <w:r>
        <w:rPr>
          <w:sz w:val="20"/>
        </w:rPr>
        <w:t>Managed multiple projects and built solutions to address complex operational problems.</w:t>
      </w:r>
    </w:p>
    <w:p>
      <w:pPr>
        <w:pBdr>
          <w:bottom w:val="single" w:sz="6" w:space="1" w:color="000000"/>
        </w:pBdr>
        <w:spacing w:before="160" w:after="40"/>
      </w:pPr>
      <w:r>
        <w:rPr>
          <w:b/>
          <w:sz w:val="22"/>
        </w:rPr>
        <w:t>EDUCATION &amp; CERTIFICATIONS</w:t>
      </w:r>
    </w:p>
    <w:p>
      <w:pPr>
        <w:pStyle w:val="ListBullet"/>
        <w:spacing w:before="20" w:after="20"/>
        <w:ind w:left="360"/>
      </w:pPr>
      <w:r>
        <w:rPr>
          <w:sz w:val="20"/>
        </w:rPr>
        <w:t>PhD, Biomedical Engineering — Stony Brook University, 2012</w:t>
      </w:r>
    </w:p>
    <w:p>
      <w:pPr>
        <w:pStyle w:val="ListBullet"/>
        <w:spacing w:before="20" w:after="20"/>
        <w:ind w:left="360"/>
      </w:pPr>
      <w:r>
        <w:rPr>
          <w:sz w:val="20"/>
        </w:rPr>
        <w:t>BS, Biological Sciences — Stony Brook University, 2006</w:t>
      </w:r>
    </w:p>
    <w:p>
      <w:pPr>
        <w:pStyle w:val="ListBullet"/>
        <w:spacing w:before="20" w:after="20"/>
        <w:ind w:left="360"/>
      </w:pPr>
      <w:r>
        <w:rPr>
          <w:sz w:val="20"/>
        </w:rPr>
        <w:t>Associate of Clinical Research Professionals (ACRP) — 2021–2023  |  Drug Development Process, Clinical Trial Protocols, GCP, FDA 1572 Submission</w:t>
      </w:r>
    </w:p>
    <w:p>
      <w:pPr>
        <w:pStyle w:val="ListBullet"/>
        <w:spacing w:before="20" w:after="20"/>
        <w:ind w:left="360"/>
      </w:pPr>
      <w:r>
        <w:rPr>
          <w:sz w:val="20"/>
        </w:rPr>
        <w:t>CFA Level 1 — June 2018  |  Economic impact, financial modeling, pipeline &amp; post-market analysis</w:t>
      </w:r>
    </w:p>
    <w:p>
      <w:pPr>
        <w:pStyle w:val="ListBullet"/>
        <w:spacing w:before="20" w:after="20"/>
        <w:ind w:left="360"/>
      </w:pPr>
      <w:r>
        <w:rPr>
          <w:sz w:val="20"/>
        </w:rPr>
        <w:t>Alan Alda Center: Communicating Science / Improvisation for Scientists — 2016</w:t>
      </w:r>
    </w:p>
    <w:p>
      <w:pPr>
        <w:pStyle w:val="ListBullet"/>
        <w:spacing w:before="20" w:after="20"/>
        <w:ind w:left="360"/>
      </w:pPr>
      <w:r>
        <w:rPr>
          <w:sz w:val="20"/>
        </w:rPr>
        <w:t>NYU SciPhD: The Business of Science for Scientists — 2015  |  Business development, finances, team and project management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