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</w:r>
    </w:p>
    <w:p>
      <w:r>
        <w:t>на устройство систем вентиляции</w:t>
      </w:r>
    </w:p>
    <w:p/>
    <w:p>
      <w:r>
        <w:t>1. Общие данные</w:t>
      </w:r>
    </w:p>
    <w:p>
      <w:r>
        <w:t>Заказчик: ООО «SAMARQAND SAVDO MARKAZI», ИНН 304871256</w:t>
      </w:r>
    </w:p>
    <w:p>
      <w:r>
        <w:t>Объект: торгово-развлекательный центр, г. Самарканд, ул. Мирзо Улугбека, 44</w:t>
      </w:r>
    </w:p>
    <w:p>
      <w:r>
        <w:t>Стадия: рабочий проект</w:t>
      </w:r>
    </w:p>
    <w:p/>
    <w:p>
      <w:r>
        <w:t>2. Характеристика помещений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Наименование помещения</w:t>
            </w:r>
          </w:p>
        </w:tc>
        <w:tc>
          <w:tcPr>
            <w:tcW w:type="dxa" w:w="1728"/>
          </w:tcPr>
          <w:p>
            <w:r>
              <w:t>Площадь, м²</w:t>
            </w:r>
          </w:p>
        </w:tc>
        <w:tc>
          <w:tcPr>
            <w:tcW w:type="dxa" w:w="1728"/>
          </w:tcPr>
          <w:p>
            <w:r>
              <w:t>Высота, м</w:t>
            </w:r>
          </w:p>
        </w:tc>
        <w:tc>
          <w:tcPr>
            <w:tcW w:type="dxa" w:w="1728"/>
          </w:tcPr>
          <w:p>
            <w:r>
              <w:t>Кол-во людей</w:t>
            </w:r>
          </w:p>
        </w:tc>
        <w:tc>
          <w:tcPr>
            <w:tcW w:type="dxa" w:w="1728"/>
          </w:tcPr>
          <w:p>
            <w:r>
              <w:t>Назначение</w:t>
            </w:r>
          </w:p>
        </w:tc>
      </w:tr>
      <w:tr>
        <w:tc>
          <w:tcPr>
            <w:tcW w:type="dxa" w:w="1728"/>
          </w:tcPr>
          <w:p>
            <w:r>
              <w:t>Торговый зал 1 этаж</w:t>
            </w:r>
          </w:p>
        </w:tc>
        <w:tc>
          <w:tcPr>
            <w:tcW w:type="dxa" w:w="1728"/>
          </w:tcPr>
          <w:p>
            <w:r>
              <w:t>850</w:t>
            </w:r>
          </w:p>
        </w:tc>
        <w:tc>
          <w:tcPr>
            <w:tcW w:type="dxa" w:w="1728"/>
          </w:tcPr>
          <w:p>
            <w:r>
              <w:t>4,2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розничная торговля</w:t>
            </w:r>
          </w:p>
        </w:tc>
      </w:tr>
      <w:tr>
        <w:tc>
          <w:tcPr>
            <w:tcW w:type="dxa" w:w="1728"/>
          </w:tcPr>
          <w:p>
            <w:r>
              <w:t>Кафе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3,5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общественное питание, зал</w:t>
            </w:r>
          </w:p>
        </w:tc>
      </w:tr>
      <w:tr>
        <w:tc>
          <w:tcPr>
            <w:tcW w:type="dxa" w:w="1728"/>
          </w:tcPr>
          <w:p>
            <w:r>
              <w:t>Складские помещения</w:t>
            </w:r>
          </w:p>
        </w:tc>
        <w:tc>
          <w:tcPr>
            <w:tcW w:type="dxa" w:w="1728"/>
          </w:tcPr>
          <w:p>
            <w:r>
              <w:t>260</w:t>
            </w:r>
          </w:p>
        </w:tc>
        <w:tc>
          <w:tcPr>
            <w:tcW w:type="dxa" w:w="1728"/>
          </w:tcPr>
          <w:p>
            <w:r>
              <w:t>5,0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хранение товара</w:t>
            </w:r>
          </w:p>
        </w:tc>
      </w:tr>
      <w:tr>
        <w:tc>
          <w:tcPr>
            <w:tcW w:type="dxa" w:w="1728"/>
          </w:tcPr>
          <w:p>
            <w:r>
              <w:t>Санузлы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3,0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санитарные узлы</w:t>
            </w:r>
          </w:p>
        </w:tc>
      </w:tr>
    </w:tbl>
    <w:p/>
    <w:p>
      <w:r>
        <w:t>3. Требования к системам</w:t>
      </w:r>
    </w:p>
    <w:p>
      <w:r>
        <w:t>3.1. Предусмотреть приточно-вытяжную вентиляцию с механическим побуждением.</w:t>
      </w:r>
    </w:p>
    <w:p>
      <w:r>
        <w:t>3.2. Приточный воздух подлежит фильтрации и подогреву в холодный период.</w:t>
      </w:r>
    </w:p>
    <w:p>
      <w:r>
        <w:t>3.3. Санузлы — только вытяжка, с отдельной системой.</w:t>
      </w:r>
    </w:p>
    <w:p>
      <w:r>
        <w:t>3.4. Кратность воздухообмена принять согласно действующим нормам.</w:t>
      </w:r>
    </w:p>
    <w:p>
      <w:r>
        <w:t>3.5. Уровень шума в помещениях не должен превышать нормативный.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