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KP-2026-0001</w:t>
            </w:r>
          </w:p>
          <w:p>
            <w:r>
              <w:rPr>
                <w:b/>
              </w:rPr>
              <w:t>sana 20.08.2026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ВКП 50х30-4E25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3 372 000,00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404 640,00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3 776 640,00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4РВП 300х300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132 000,00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1 056 000,00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126 720,00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1 182 720,00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ДКСп 300х300х350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216 000,00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432 000,00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51 840,00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483 840,00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4 860 000,00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5 443 200,00</w:t>
            </w:r>
          </w:p>
        </w:tc>
      </w:tr>
    </w:tbl>
    <w:p/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*Narxlar 12 000 so'm/dollar kursida hisoblangan (20.08.2026 holatiga).</w:t>
      </w:r>
    </w:p>
    <w:p>
      <w:pPr>
        <w:jc w:val="center"/>
      </w:pPr>
      <w:r>
        <w:rPr>
          <w:sz w:val="18"/>
        </w:rPr>
        <w:t>*Mahsulot narxlari 20.08.2026y. dan 19.09.2026y.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p/>
    <w:p>
      <w:r>
        <w:rPr>
          <w:sz w:val="16"/>
        </w:rPr>
        <w:t>Savdo menejeri: Яхшибоев Бауржон</w:t>
      </w:r>
    </w:p>
    <w:p>
      <w:r>
        <w:rPr>
          <w:sz w:val="16"/>
        </w:rPr>
        <w:t>tel: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