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Title</w:t>
      </w:r>
    </w:p>
    <w:p>
      <w:pPr>
        <w:ind w:left="567"/>
      </w:pPr>
      <w:r>
        <w:t>Interpretable Machine Learning for Predicting GHS Chemical Hazard</w:t>
      </w:r>
    </w:p>
    <w:p>
      <w:r>
        <w:t>Classifications: A Multi-Label Approach Using 243,323 Compounds and Scaffold-Based Validation</w:t>
      </w:r>
    </w:p>
    <w:p>
      <w:pPr>
        <w:pStyle w:val="Heading3"/>
      </w:pPr>
      <w:r>
        <w:t>Running Title</w:t>
      </w:r>
    </w:p>
    <w:p>
      <w:pPr>
        <w:ind w:left="567"/>
      </w:pPr>
      <w:r>
        <w:t>Interpretable multi-label prediction of GHS hazard classifications</w:t>
      </w:r>
    </w:p>
    <w:p>
      <w:pPr>
        <w:pStyle w:val="Heading3"/>
      </w:pPr>
      <w:r>
        <w:t>Author</w:t>
      </w:r>
    </w:p>
    <w:p>
      <w:pPr>
        <w:ind w:left="567"/>
      </w:pPr>
      <w:r>
        <w:t>Sareer Ahmad*</w:t>
      </w:r>
    </w:p>
    <w:p>
      <w:pPr>
        <w:pStyle w:val="Heading3"/>
      </w:pPr>
      <w:r>
        <w:t>Affiliation</w:t>
      </w:r>
    </w:p>
    <w:p>
      <w:pPr>
        <w:ind w:left="567"/>
      </w:pPr>
      <w:r>
        <w:t>Federal Directorate of Education,</w:t>
      </w:r>
    </w:p>
    <w:p>
      <w:r>
        <w:t>Islamabad 44000, Pakistan</w:t>
      </w:r>
    </w:p>
    <w:p>
      <w:pPr>
        <w:ind w:left="567"/>
      </w:pPr>
      <w:r>
        <w:t>* Corresponding author. Email: sareerkh9194@gmail.com</w:t>
      </w:r>
    </w:p>
    <w:p>
      <w:r>
        <w:t>ORCID: https://orcid.org/0009-0003-2580-091X</w:t>
      </w:r>
    </w:p>
    <w:p>
      <w:pPr>
        <w:pStyle w:val="Heading3"/>
      </w:pPr>
      <w:r>
        <w:t>Keywords</w:t>
      </w:r>
    </w:p>
    <w:p>
      <w:pPr>
        <w:ind w:left="567"/>
      </w:pPr>
      <w:r>
        <w:t>GHS classification; multi-label learning; molecular descriptors; SHAP</w:t>
      </w:r>
    </w:p>
    <w:p>
      <w:r>
        <w:t>interpretability; chemical safety; scaffold splitting; QSAR</w:t>
      </w:r>
    </w:p>
    <w:p>
      <w:pPr>
        <w:pStyle w:val="Heading3"/>
      </w:pPr>
      <w:r>
        <w:t>Disclaimer</w:t>
      </w:r>
    </w:p>
    <w:p>
      <w:pPr>
        <w:ind w:left="567"/>
      </w:pPr>
      <w:r>
        <w:t>The views expressed in this article are those of the author and do not necessarily reflect the official position of the Federal Directorate of Education or the Government of Pakistan. This research was conducted in the author's personal capacity.</w:t>
      </w:r>
    </w:p>
    <w:p>
      <w:pPr>
        <w:pStyle w:val="Heading3"/>
      </w:pPr>
      <w:r>
        <w:t>Biographical Note</w:t>
      </w:r>
    </w:p>
    <w:p>
      <w:pPr>
        <w:ind w:left="567"/>
      </w:pPr>
      <w:r>
        <w:t>Sareer Ahmad received his MSc in Physical Chemistry from the University of Peshawar in 2021 and has taught chemistry at the Federal Directorate of Education, Islamabad, since 2022.</w:t>
      </w:r>
    </w:p>
    <w:p>
      <w:pPr>
        <w:pStyle w:val="Heading1"/>
      </w:pPr>
      <w:r>
        <w:t>ABSTRACT</w:t>
      </w:r>
    </w:p>
    <w:p>
      <w:r>
        <w:t>Chemical hazard classification under the Globally Harmonized System (GHS) depends on experimental testing that is slow, costly and unavailable for most industrial chemicals, a gap illustrated by the March 2019 Sungai Kim Kim incident at Pasir Gudang, Johor, which affected over 2,500 people. This work asked whether the nine GHS pictograms can be predicted from structure alone, interpretably enough for regulatory use. GHS classifications for 243,707 compound records were harvested from PubChem, contributed by five regulatory bodies, and reduced by validation, deduplication and majority voting to 243,323 unique compounds, each described by 1,218 physicochemical, Morgan (ECFP4), MACCS and topological descriptors reduced by variance filtering to 816. Random Forest, XGBoost and support vector machine classifiers were trained as multi-label predictors and evaluated on a Bemis-Murcko scaffold split, sharing no chemical skeleton between training and test. XGBoost performed best, with a mean AUC-ROC of 0.915 across the nine classes (range 0.830-0.995). SHAP analysis showed the model had recovered recognised structure-hazard relationships, most clearly the dependence of explosivity on the substructure [!#6;!#1]~[#7]~[!#6;!#1], flammability on low structural complexity, and aquatic hazard on high lipophilicity. Recall on 44 Malaysian industrial and Johor 2019 compounds ranged 0.16-1.00 across classes (lowest for environmental hazard), too small a set to generalise from. Below six heavy atoms the model over-predicts acute toxicity and health hazard 2.5-3.1-fold; the application flags such compounds as out of domain rather than reporting them with unwarranted confidence. The framework and a browser-based screening interface are released as open-source software.</w:t>
      </w:r>
    </w:p>
    <w:p>
      <w:r>
        <w:t>KEYWORDS: GHS classification; multi-label learning; molecular descriptors; SHAP interpretability; chemical safety; scaffold splitting; QSAR</w:t>
      </w:r>
    </w:p>
    <w:p>
      <w:pPr>
        <w:pStyle w:val="Heading1"/>
      </w:pPr>
      <w:r>
        <w:t>1. INTRODUCTION</w:t>
      </w:r>
    </w:p>
    <w:p>
      <w:r>
        <w:t>The Globally Harmonized System of Classification and Labelling of Chemicals (GHS) is the framework through which chemical hazards are communicated worldwide. It assigns each substance a set of nine pictograms describing physical, health and environmental hazards, and those pictograms determine how a chemical is labelled, stored, transported and handled in every jurisdiction that has adopted the system, including Malaysia under the Occupational Safety and Health (Classification, Labelling and Safety Data Sheet of Hazardous Chemicals) Regulations 2013.</w:t>
      </w:r>
    </w:p>
    <w:p>
      <w:r>
        <w:t>Assigning those pictograms requires experimental data. Flash points must be measured, acute toxicity established in animal studies, aquatic toxicity determined in standardised assays. This testing is slow and expensive, and it has been completed for only a small fraction of the chemicals in commercial circulation. Tens of millions of substances are registered in public chemical databases; fewer than a quarter of a million carry a GHS classification of any kind. The gap is not an abstract regulatory inconvenience. On 7 March 2019, chemical waste of unverified composition was discharged into the Sungai Kim Kim river at Pasir Gudang, Johor, Malaysia. Vapour rising from the river affected more than 2,500 people, the majority of them schoolchildren, and 111 schools were closed. Acrylonitrile and acrolein were subsequently identified as the principal agents. Had the hazard profile of the discharged material been known at the point of disposal, the response would have been an acute inhalation emergency from the outset rather than a developing mystery.</w:t>
      </w:r>
    </w:p>
    <w:p>
      <w:r>
        <w:t>Computational prediction offers a way to narrow that gap. Quantitative structure-activity relationship modelling has been applied to individual toxicological endpoints for decades, and machine learning methods now routinely predict properties such as aqueous solubility, mutagenicity and acute oral toxicity from molecular structure alone. Applying the same approach to GHS classification is attractive because the pictograms are the operational currency of chemical safety: a predicted pictogram translates directly into a handling decision in a way that a predicted LD50 does not.</w:t>
      </w:r>
    </w:p>
    <w:p>
      <w:r>
        <w:t>Three difficulties have limited progress. The first is that GHS assignment is inherently multi-label. A compound does not carry one hazard but any combination of nine, and in the dataset assembled here 26.2 per cent of compounds carry more than one. Treating each pictogram as an independent binary problem ignores the correlations between them, while treating the combination as a single multi-class label is intractable given the number of possible combinations.</w:t>
      </w:r>
    </w:p>
    <w:p>
      <w:r>
        <w:t>The second difficulty is evaluation. Chemical datasets contain large families of structurally similar molecules. A model validated on a random train-test split is frequently tested on near-duplicates of its own training data, and reports an accuracy that collapses the moment it encounters genuinely unfamiliar chemistry. Scaffold-based splitting, in which every compound sharing a Bemis-Murcko framework is confined to a single partition, is the established remedy, yet it remains less common in the hazard-prediction literature than in drug discovery.</w:t>
      </w:r>
    </w:p>
    <w:p>
      <w:r>
        <w:t>The third difficulty is interpretability. A regulator cannot act on a prediction whose basis is opaque. A model that outputs "corrosive, 87 per cent" without saying why offers a safety officer no way to judge whether the prediction is chemically sensible or an artefact. Post-hoc attribution methods, particularly SHAP, make it possible to decompose an individual prediction into the contribution of each molecular descriptor, and so to ask whether a model has recovered known structure-hazard relationships or merely memorised correlations.</w:t>
      </w:r>
    </w:p>
    <w:p>
      <w:r>
        <w:t>This work addresses all three. GHS classifications were harvested from PubChem for 243,707 compound records contributed by five independent regulatory bodies, reconciled by majority vote where those bodies disagreed, and reduced to 243,323 unique validated structures - to our knowledge the largest multi-label GHS dataset assembled for machine learning. Three algorithms were trained as multi-label predictors and evaluated on a Bemis-Murcko scaffold split, so that no chemical skeleton is shared between training and test data. Predictions were interpreted with SHAP and the resulting attributions examined against established chemistry. Finally, the framework was applied to chemicals drawn from four Malaysian industrial sectors and to the substances implicated in the Johor 2019 incident, to test whether a model trained on global regulatory data is useful in a specific national context.</w:t>
      </w:r>
    </w:p>
    <w:p>
      <w:r>
        <w:t>Two findings emerged that we believe are of wider methodological interest than the model itself. The first concerns how scaffold groups are allocated to partitions: the obvious allocation strategies satisfy every superficial check while systematically starving the rarest hazard classes of training data. The second concerns dataset size, where a learning curve computed within a convenience subsample indicated saturation that a controlled experiment on the full dataset showed to be illusory.</w:t>
      </w:r>
    </w:p>
    <w:p>
      <w:pPr>
        <w:pStyle w:val="Heading1"/>
      </w:pPr>
      <w:r>
        <w:t>2. MATERIALS AND METHODS</w:t>
      </w:r>
    </w:p>
    <w:p>
      <w:r>
        <w:t>The overall pipeline, from data collection through deployment, is summarised in Figure 1.</w:t>
      </w:r>
    </w:p>
    <w:p>
      <w:pPr>
        <w:pStyle w:val="Heading2"/>
      </w:pPr>
      <w:r>
        <w:t>2.1. Computational environment</w:t>
      </w:r>
    </w:p>
    <w:p>
      <w:r>
        <w:t>All computations were performed under Python 3.11.15 on a 64-bit Windows 10 workstation equipped with an Intel Core i7-6500U processor (two physical cores, four logical processors) and 7.9 GB of system memory. Cheminformatics operations were carried out with RDKit (2026.03.5), machine learning with scikit-learn (1.9.0) and XGBoost (3.2.0), class-imbalance correction with imbalanced-learn, and model interpretation with the SHAP library. A single random seed of 42 was applied to the Python standard library, NumPy, scikit-learn, XGBoost and every resampling procedure, so that all results reported here are exactly reproducible. The complete environment specification is provided as Supporting Information.</w:t>
      </w:r>
    </w:p>
    <w:p>
      <w:pPr>
        <w:pStyle w:val="Heading2"/>
      </w:pPr>
      <w:r>
        <w:t>2.2. Data collection</w:t>
      </w:r>
    </w:p>
    <w:p>
      <w:r>
        <w:t>GHS hazard classifications were obtained from the PubChem PUG-View annotation service, which aggregates classifications contributed by independent regulatory bodies. The complete set of records filed under the heading "GHS Classification" was retrieved page by page, comprising contributions from the European Chemicals Agency, Regulation (EC) No 1272/2008 (CLP), the Hazardous Substances Data Bank, Japan's NITE-CMC and the Hazardous Chemical Information System of Safe Work Australia. Requests were rate-limited to five per second in accordance with PubChem's usage policy, and failed requests were retried with exponential backoff at one, two and four seconds. For every annotation record the linked PubChem Compound Identifiers, the assigned pictograms, the GHS hazard statement codes and the signal word were extracted. Pictograms were identified from the pictogram image references contained in the record markup, which encode the official pictogram numbers GHS01 to GHS09 unambiguously. Isomeric SMILES strings, molecular formulae, InChIKeys and compound titles were subsequently retrieved for every identifier by batched POST requests, and CAS Registry Numbers were recovered by pattern-matching the synonym lists. A total of 243,707 compound records was assembled.</w:t>
      </w:r>
    </w:p>
    <w:p>
      <w:r>
        <w:t>The numeric pictogram code was treated as authoritative throughout, so that data filed under GHS07 correspond to the exclamation-mark (irritant) pictogram, GHS08 to the health-hazard pictogram and GHS09 to the environmental pictogram, as defined in the tenth revised edition of the GHS.</w:t>
      </w:r>
    </w:p>
    <w:p>
      <w:r>
        <w:t>The descriptive suffixes attached to three of the nine label columns in the original study design did not follow this scheme: columns holding the data for pictograms GHS07, GHS08 and GHS09 were named GHS07_HealthHazard, GHS08_Environmental and GHS09_Irritant, a three-way rotation of the suffixes relative to the numbering above. The values in those columns were written according to the numeric pictogram code identified from the PubChem markup, as described above, and were never read back through the descriptive name at any point in the pipeline; the rotation was therefore a naming error introduced when the columns were first labelled, not a data-mapping error affecting which compound received which classification. That distinction was verified rather than assumed. 5 compounds carrying exactly one of the three affected pictograms were selected for each of the three columns (15 in total) and checked against PubChem's live GHS Classification page for that compound; 15 of 15 confirmed that the pictogram recorded under the corrected column name is the one PubChem reports today. The three columns were then renamed to GHS07_Irritant, GHS08_HealthHazard and GHS09_Environmental to match the United Nations definitions; no value in the label matrix was altered, and no model was retrained. The audit method and the full compound-level results, one row per compound checked, are given in Supporting Information Table S6.</w:t>
      </w:r>
    </w:p>
    <w:p>
      <w:r>
        <w:t>The correspondence with the original names is recorded in Supporting Information Table S0.</w:t>
      </w:r>
    </w:p>
    <w:p>
      <w:pPr>
        <w:pStyle w:val="Heading2"/>
      </w:pPr>
      <w:r>
        <w:t>2.3. Data cleaning and label reconciliation</w:t>
      </w:r>
    </w:p>
    <w:p>
      <w:r>
        <w:t>Every SMILES string was parsed with RDKit, and structures that could not be interpreted were discarded (14 records). Duplicate structures were identified by InChIKey, with canonical SMILES used as the fallback key for the small number of structures for which InChI generation failed; the first occurrence of each structure was retained (370 duplicates removed). Compounds carrying no hazard label were excluded, because such records cannot be distinguished from chemicals that have simply not yet been assessed and would otherwise teach the model that unassessed chemicals are safe. Where several regulatory bodies had classified the same compound, disagreements were resolved by majority vote across sources. Ties, which can arise only with an even number of contributing sources, were resolved in favour of the hazardous assignment and the affected compounds were flagged; 2,307 compounds were affected. The cleaned dataset comprised 243,323 unique compounds, of which 26.2 per cent carried more than one hazard pictogram. All 243,323 compounds were used for model development.</w:t>
      </w:r>
    </w:p>
    <w:p>
      <w:pPr>
        <w:pStyle w:val="Heading2"/>
      </w:pPr>
      <w:r>
        <w:t>2.4. Effect of training-set size</w:t>
      </w:r>
    </w:p>
    <w:p>
      <w:r>
        <w:t>An earlier version of this work modelled a 40,000-compound subset, drawn because the dense descriptor matrix for the complete dataset exceeded the memory of the workstation available. Whether that constraint had limited the reported performance was tested directly. Four models were trained on nested training sets of 32,000, 64,000, 128,000 and 194,658 compounds, each a superset of the smaller ones, and all four were evaluated on the same held-out test partition with identical hyperparameters, so that training-set size was the only quantity that varied. Mean AUC-ROC rose monotonically from 0.8187 to 0.8738, a gain of 0.0551 against a bootstrap confidence interval of 0.0139, and every one of the nine hazard classes improved; the rare classes gained most, with the explosive class rising by 0.0918 and the oxidiser class by 0.0610. The subset was therefore a genuine limitation rather than a demonstrated sufficiency, and all results reported here use the complete dataset.</w:t>
      </w:r>
    </w:p>
    <w:p>
      <w:r>
        <w:t>It is worth noting that a learning curve constructed within the 40,000-compound subset alone had suggested the opposite, appearing to plateau. That appearance was an artefact of the subset's construction: it had deliberately retained every positive example of the rare classes, so those classes could not improve with additional data and the aggregate curve flattened prematurely. Learning curves computed on a non-representative subsample can therefore be actively misleading about the value of further data.</w:t>
      </w:r>
    </w:p>
    <w:p>
      <w:pPr>
        <w:pStyle w:val="Heading2"/>
      </w:pPr>
      <w:r>
        <w:t>2.5. Molecular descriptor computation</w:t>
      </w:r>
    </w:p>
    <w:p>
      <w:r>
        <w:t>Each compound was represented by a concatenated feature vector comprising three descriptor families. Nineteen physicochemical descriptors were computed with RDKit: molecular weight, exact molecular weight, the Crippen lipophilicity estimate, topological polar surface area, hydrogen-bond donor and acceptor counts, rotatable bond count, aromatic, saturated and aliphatic ring counts, total ring count, the fraction of sp3-hybridised carbon atoms, heavy atom count, heteroatom count, combined nitrogen and oxygen count, combined NH and OH count, the Labute approximate surface area, the Balaban J index and the Bertz complexity index. Structural information was encoded as a 1024-bit Morgan fingerprint of radius two, equivalent to ECFP4, together with the 167-bit MACCS substructure key set. Eight topological indices completed the representation: the Chi connectivity indices of orders zero to four and the Kappa shape indices of orders one to three. Descriptors that could not be evaluated for a particular structure were replaced by the median of the corresponding column, and 402 descriptors whose variance across the dataset fell below 0.01 were removed as uninformative, leaving 816 features.</w:t>
      </w:r>
    </w:p>
    <w:p>
      <w:pPr>
        <w:pStyle w:val="Heading2"/>
      </w:pPr>
      <w:r>
        <w:t>2.6. Dataset splitting</w:t>
      </w:r>
    </w:p>
    <w:p>
      <w:r>
        <w:t>The dataset was partitioned by Bemis-Murcko scaffold rather than at random. The scaffold of each compound, obtained by removing all side chains and retaining the ring systems and their connecting linkers, was computed with RDKit, and all compounds sharing a scaffold were assigned to the same partition, in the ratio 80:10:10. Acyclic compounds, whose Murcko scaffold is empty, were each treated as an individual group rather than being pooled, since pooling would have placed a large fraction of the industrial solvents in the dataset into a single partition.</w:t>
      </w:r>
    </w:p>
    <w:p>
      <w:r>
        <w:t>The allocation of groups to partitions requires care, and two simpler schemes were found to be inadequate. Filling the training partition to its quota before the others causes a single large scaffold group encountered late to overflow into the test partition, distorting the intended ratios. Assigning each group to whichever partition is furthest below its quota by compound count corrects the ratios but starves the rare classes: because groups are processed largest first, the ring-bearing scaffolds fill the training quota early, after which the single-compound groups are distributed approximately evenly between the three partitions. Every acyclic molecule forms a single-compound group, and the rare hazard classes consist predominantly of small acyclic molecules, so under that scheme only 30 per cent of compressed gases and 39 per cent of oxidisers reached the training partition rather than the intended 80 per cent.</w:t>
      </w:r>
    </w:p>
    <w:p>
      <w:r>
        <w:t>Group allocation was therefore performed by a group-wise form of iterative stratification for multi-label data. Each scaffold group was scored against every partition on the largest fractional overshoot the assignment would cause, evaluated simultaneously on overall partition size and on each hazard class the group contained, and assigned to the partition with the lowest worst-case overshoot. Groups containing compounds of the rarest classes were placed first. This procedure returned every hazard class to within one percentage point of the intended 80 per cent training share while preserving exact 80:10:10 partition sizes. The resulting split was verified to contain no scaffold shared between partitions, to provide positive examples of all nine hazard classes in every partition, and to allocate no class a training share more than fifteen percentage points below the overall training share.</w:t>
      </w:r>
    </w:p>
    <w:p>
      <w:pPr>
        <w:pStyle w:val="Heading2"/>
      </w:pPr>
      <w:r>
        <w:t>2.7. Class imbalance handling</w:t>
      </w:r>
    </w:p>
    <w:p>
      <w:r>
        <w:t>Class frequencies in the dataset spanned more than three orders of magnitude, from 220,020 compounds carrying the irritant pictogram to 184 carrying the explosive pictogram. Two corrections were applied, and a third was evaluated but proved infeasible.</w:t>
      </w:r>
    </w:p>
    <w:p>
      <w:r>
        <w:t>Synthetic oversampling was assessed first. The Synthetic Minority Over-sampling Technique was implemented and applied successfully at reduced dataset scale, but at full scale it could not be used: generating a balanced training matrix for a class as rare as the explosive pictogram (148 positive examples against 194,619 training compounds, each described by 816 descriptors) requires a dense array far exceeding the memory available. Oversampling was therefore skipped for all nine classes, and no synthetic example was generated in the results reported here.</w:t>
      </w:r>
    </w:p>
    <w:p>
      <w:r>
        <w:t>Cost-sensitive learning was used in its place. Class weights, defined as the ratio of negative to positive examples, were supplied to every classifier; these reached 1,314 for the explosive class. Decision thresholds were then calibrated per class on validation data rather than fixed at 0.5, as described below.</w:t>
      </w:r>
    </w:p>
    <w:p>
      <w:r>
        <w:t>This substitution is not merely a computational convenience. At the ratios required here, synthetic minority examples would be convex combinations of a very small number of real molecules and could not introduce chemistry absent from those originals; they would enlarge the minority class without enriching it. An ablation trained without class weighting, reported as RandomForest_NoClassWeight, isolates the contribution of cost-sensitive learning. A direct comparison of oversampling against class weighting was obtained at the reduced scale where both were feasible and is reported in the Supporting Information.</w:t>
      </w:r>
    </w:p>
    <w:p>
      <w:pPr>
        <w:pStyle w:val="Heading2"/>
      </w:pPr>
      <w:r>
        <w:t>2.8. Model training and hyperparameter optimisation</w:t>
      </w:r>
    </w:p>
    <w:p>
      <w:r>
        <w:t>Three algorithms were trained. A Random Forest classifier was fitted as a multi-output model with balanced class weighting. Nine independent XGBoost classifiers were trained, one per hazard class, each with the positive-class scaling factor set to the ratio of negative to positive examples for that class. A support vector machine with a radial basis function kernel was trained within a pipeline that applied standardisation before classification. Because the computational cost of a kernel machine grows with the square of the training set size, the support vector machine was trained on the 100 highest-ranked features by Random Forest importance and on a stratified subsample of the training partition; this constraint is a property of the hardware used and is reported so that the support vector machine results are interpreted accordingly. Hyperparameters were optimised by randomised search with cross-validation on the validation partition, over the search spaces reported in Supporting Information Table S2. The number of search draws was determined by timing a single fit and selecting the largest number of draws compatible with a fixed wall-clock budget.</w:t>
      </w:r>
    </w:p>
    <w:p>
      <w:pPr>
        <w:pStyle w:val="Heading2"/>
      </w:pPr>
      <w:r>
        <w:t>2.9. Evaluation</w:t>
      </w:r>
    </w:p>
    <w:p>
      <w:r>
        <w:t>Models were evaluated on the held-out scaffold-split test partition. For each algorithm and each hazard class, the area under the receiver operating characteristic curve, the average precision, the F1 score, the Matthews correlation coefficient, precision, recall and specificity were computed. Ninety-five per cent confidence intervals for the area under the curve were obtained by bootstrap resampling of the test partition over 1000 iterations. Two decision thresholds were derived per class from validation data alone and then applied unchanged to the test partition: the threshold maximising the F1 score, and the highest threshold at which recall remained at or above 0.90, the latter representing the safety-first operating point appropriate to regulatory screening. The Matthews correlation coefficient was adopted as the primary metric for classes with fewer than 500 positive training examples, since it is not inflated by a model that predicts the majority class throughout, and the area under the receiver operating characteristic curve was used for the remainder.</w:t>
      </w:r>
    </w:p>
    <w:p>
      <w:pPr>
        <w:pStyle w:val="Heading2"/>
      </w:pPr>
      <w:r>
        <w:t>2.10. Model interpretation</w:t>
      </w:r>
    </w:p>
    <w:p>
      <w:r>
        <w:t>The best-performing model was interpreted with SHAP. Exact Shapley values were computed for tree-based models using the TreeExplainer algorithm. For each hazard class the descriptors were ranked by mean absolute SHAP value, and the direction of each descriptor's influence was determined from the mean signed value. Individual predictions were explained with waterfall plots showing the additive contribution of each descriptor from the model's base value to its final output. MACCS keys appearing among the leading features were annotated with their defining SMARTS patterns, and Morgan fingerprint bits with an example of the atomic environment that sets them, so that fingerprint contributions could be interpreted chemically rather than as opaque indices.</w:t>
      </w:r>
    </w:p>
    <w:p>
      <w:pPr>
        <w:pStyle w:val="Heading2"/>
      </w:pPr>
      <w:r>
        <w:t>2.11. Malaysian industrial validation</w:t>
      </w:r>
    </w:p>
    <w:p>
      <w:r>
        <w:t>A validation set was assembled from chemicals used in four Malaysian industrial sectors - palm oil processing, rubber processing, petrochemicals and semiconductor manufacturing - together with the chemicals identified in official and peer-reviewed accounts of the March 2019 Sungai Kim Kim incident at Pasir Gudang, Johor. Structures and reference GHS classifications were retrieved from PubChem. Entries corresponding to materials rather than discrete molecules were represented by a single representative structure, and each such substitution was recorded. Predictions were generated with the best-performing model and its calibrated thresholds, without any retraining or adjustment, and scored against the PubChem classifications for those compounds where classifications were available.</w:t>
      </w:r>
    </w:p>
    <w:p>
      <w:pPr>
        <w:pStyle w:val="Heading2"/>
      </w:pPr>
      <w:r>
        <w:t>2.12. Data and code availability</w:t>
      </w:r>
    </w:p>
    <w:p>
      <w:r>
        <w:t>All datasets, trained models, figures and analysis code are provided in the project repository. The prediction framework is distributed as a Streamlit web application and as a command-line tool.</w:t>
      </w:r>
    </w:p>
    <w:p>
      <w:pPr>
        <w:pStyle w:val="Heading1"/>
      </w:pPr>
      <w:r>
        <w:t>3. RESULTS</w:t>
      </w:r>
    </w:p>
    <w:p>
      <w:pPr>
        <w:pStyle w:val="Heading2"/>
      </w:pPr>
      <w:r>
        <w:t>Dataset assembly and composition</w:t>
      </w:r>
    </w:p>
    <w:p>
      <w:r>
        <w:t>GHS classifications were retrieved for 243,707 compound records. Structural validation removed 14 records whose SMILES strings could not be parsed, and deduplication by InChIKey removed a further 370, leaving 243,323 unique compounds. Five regulatory sources contributed classifications, and 2,307 compounds received a tied vote between them; these were retained, flagged, and resolved in favour of the hazardous assignment.</w:t>
      </w:r>
    </w:p>
    <w:p>
      <w:r>
        <w:t>The dataset is strongly multi-label and strongly imbalanced. 63,781 compounds (26.2 per cent) carry more than one pictogram. Class frequencies span more than three orders of magnitude, from 220,020 compounds carrying the irritant pictogram to 184 carrying the explosive pictogram (Figure 2). This imbalance, rather than the size of the dataset, proved to be the dominant constraint on performance.</w:t>
      </w:r>
    </w:p>
    <w:p>
      <w:pPr>
        <w:pStyle w:val="Heading2"/>
      </w:pPr>
      <w:r>
        <w:t>Molecular representation and partitioning</w:t>
      </w:r>
    </w:p>
    <w:p>
      <w:r>
        <w:t>Each compound was described by 1,218 descriptors combining physicochemical properties, Morgan (ECFP4) and MACCS fingerprints and topological indices. Removing descriptors with variance below 0.01 eliminated 402 - almost all of them sparsely populated fingerprint bits - leaving 816 features.</w:t>
      </w:r>
    </w:p>
    <w:p>
      <w:r>
        <w:t>Partitioning by Bemis-Murcko scaffold produced 57,591 distinct scaffold groups, of which 28,278 were acyclic compounds treated as individual groups. The final partition contained 194,619 training, 24,352 validation and 24,352 test compounds, with no scaffold shared between any two partitions and every hazard class represented in all three.</w:t>
      </w:r>
    </w:p>
    <w:p>
      <w:r>
        <w:t>Allocating scaffold groups to partitions required more care than is usually acknowledged. Filling the training partition to its quota before the others caused large scaffold groups encountered late to overflow into the test partition, producing an 80:3:17 split. Assigning each group to whichever partition was furthest below its quota corrected the overall ratios but starved the rare classes: only 30 per cent of compressed gases and 39 per cent of oxidisers reached the training partition instead of the intended 80 per cent, because every acyclic molecule forms a single-compound group and those groups are allocated last. Group-wise iterative stratification, scoring each group against every partition on overall size and on each class it contains, returned every class to within one percentage point of its intended share while preserving exact partition sizes.</w:t>
      </w:r>
    </w:p>
    <w:p>
      <w:pPr>
        <w:pStyle w:val="Heading2"/>
      </w:pPr>
      <w:r>
        <w:t>Model performance</w:t>
      </w:r>
    </w:p>
    <w:p>
      <w:r>
        <w:t>Four models were evaluated on the held-out test partition of 24,352 compounds. Mean AUC-ROC across the nine classes was 0.9146 for XGBoost, 0.9078 for the Random Forest without class weighting, 0.8900 for the class-weighted Random Forest and 0.8711 for the support vector machine. Mean Matthews correlation coefficients were 0.4705, 0.4590, 0.3633 and 0.3683 respectively. XGBoost was selected as the best model on both metrics. The bootstrap 95 per cent confidence interval had a median half-width of 0.0077, so differences smaller than that are not meaningful; the two leading models were separated on Matthews correlation coefficient rather than on area under the curve. AUC-ROC for every algorithm against every class is shown as a heat map in Figure 6.</w:t>
      </w:r>
    </w:p>
    <w:p>
      <w:r>
        <w:t>Per-class performance for XGBoost is given in Table 1 and as receiver operating characteristic curves in Figure 3; precision-recall curves for the most abundant and rarest classes, GHS07 and GHS01, are given in Figure 4.</w:t>
      </w:r>
    </w:p>
    <w:p>
      <w:pPr>
        <w:keepNext/>
        <w:spacing w:line="240" w:lineRule="auto" w:before="200" w:after="80"/>
      </w:pPr>
      <w:r>
        <w:rPr>
          <w:b/>
          <w:sz w:val="20"/>
        </w:rPr>
        <w:t xml:space="preserve">Table 1. </w:t>
      </w:r>
      <w:r>
        <w:rPr>
          <w:sz w:val="20"/>
        </w:rPr>
        <w:t>Per-class performance of XGBoost on the scaffold-split test partition of 24,352 compounds. N is the number of positive examples in the partition; the interval is the bootstrap 95 per cent confidence interval on AUC-ROC over 1,000 resamples. AP is average precision. Thresholds are the F1-optimal values calibrated on the validation partition.</w:t>
      </w:r>
    </w:p>
    <w:tbl>
      <w:tblPr>
        <w:tblStyle w:val="TableGrid"/>
        <w:tblW w:type="auto" w:w="0"/>
        <w:jc w:val="center"/>
        <w:tblLayout w:type="autofit"/>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40" w:lineRule="auto" w:after="0"/>
            </w:pPr>
            <w:r/>
            <w:r>
              <w:rPr>
                <w:b/>
                <w:sz w:val="18"/>
              </w:rPr>
              <w:t>Code</w:t>
            </w:r>
          </w:p>
        </w:tc>
        <w:tc>
          <w:tcPr>
            <w:tcW w:type="dxa" w:w="1134"/>
          </w:tcPr>
          <w:p>
            <w:pPr>
              <w:spacing w:line="240" w:lineRule="auto" w:after="0"/>
            </w:pPr>
            <w:r/>
            <w:r>
              <w:rPr>
                <w:b/>
                <w:sz w:val="18"/>
              </w:rPr>
              <w:t>Hazard</w:t>
            </w:r>
          </w:p>
        </w:tc>
        <w:tc>
          <w:tcPr>
            <w:tcW w:type="dxa" w:w="1134"/>
          </w:tcPr>
          <w:p>
            <w:pPr>
              <w:spacing w:line="240" w:lineRule="auto" w:after="0"/>
            </w:pPr>
            <w:r/>
            <w:r>
              <w:rPr>
                <w:b/>
                <w:sz w:val="18"/>
              </w:rPr>
              <w:t>N</w:t>
            </w:r>
          </w:p>
        </w:tc>
        <w:tc>
          <w:tcPr>
            <w:tcW w:type="dxa" w:w="1134"/>
          </w:tcPr>
          <w:p>
            <w:pPr>
              <w:spacing w:line="240" w:lineRule="auto" w:after="0"/>
            </w:pPr>
            <w:r/>
            <w:r>
              <w:rPr>
                <w:b/>
                <w:sz w:val="18"/>
              </w:rPr>
              <w:t>AUC</w:t>
            </w:r>
          </w:p>
        </w:tc>
        <w:tc>
          <w:tcPr>
            <w:tcW w:type="dxa" w:w="1134"/>
          </w:tcPr>
          <w:p>
            <w:pPr>
              <w:spacing w:line="240" w:lineRule="auto" w:after="0"/>
            </w:pPr>
            <w:r/>
            <w:r>
              <w:rPr>
                <w:b/>
                <w:sz w:val="18"/>
              </w:rPr>
              <w:t>CI 95%</w:t>
            </w:r>
          </w:p>
        </w:tc>
        <w:tc>
          <w:tcPr>
            <w:tcW w:type="dxa" w:w="1134"/>
          </w:tcPr>
          <w:p>
            <w:pPr>
              <w:spacing w:line="240" w:lineRule="auto" w:after="0"/>
            </w:pPr>
            <w:r/>
            <w:r>
              <w:rPr>
                <w:b/>
                <w:sz w:val="18"/>
              </w:rPr>
              <w:t>AP</w:t>
            </w:r>
          </w:p>
        </w:tc>
        <w:tc>
          <w:tcPr>
            <w:tcW w:type="dxa" w:w="1134"/>
          </w:tcPr>
          <w:p>
            <w:pPr>
              <w:spacing w:line="240" w:lineRule="auto" w:after="0"/>
            </w:pPr>
            <w:r/>
            <w:r>
              <w:rPr>
                <w:b/>
                <w:sz w:val="18"/>
              </w:rPr>
              <w:t>F1</w:t>
            </w:r>
          </w:p>
        </w:tc>
        <w:tc>
          <w:tcPr>
            <w:tcW w:type="dxa" w:w="1134"/>
          </w:tcPr>
          <w:p>
            <w:pPr>
              <w:spacing w:line="240" w:lineRule="auto" w:after="0"/>
            </w:pPr>
            <w:r/>
            <w:r>
              <w:rPr>
                <w:b/>
                <w:sz w:val="18"/>
              </w:rPr>
              <w:t>MCC</w:t>
            </w:r>
          </w:p>
        </w:tc>
      </w:tr>
      <w:tr>
        <w:tc>
          <w:tcPr>
            <w:tcW w:type="dxa" w:w="1134"/>
          </w:tcPr>
          <w:p>
            <w:pPr>
              <w:spacing w:line="240" w:lineRule="auto" w:after="0"/>
            </w:pPr>
            <w:r/>
            <w:r>
              <w:rPr>
                <w:sz w:val="18"/>
              </w:rPr>
              <w:t>GHS01</w:t>
            </w:r>
          </w:p>
        </w:tc>
        <w:tc>
          <w:tcPr>
            <w:tcW w:type="dxa" w:w="1134"/>
          </w:tcPr>
          <w:p>
            <w:pPr>
              <w:spacing w:line="240" w:lineRule="auto" w:after="0"/>
            </w:pPr>
            <w:r/>
            <w:r>
              <w:rPr>
                <w:sz w:val="18"/>
              </w:rPr>
              <w:t>Explosive</w:t>
            </w:r>
          </w:p>
        </w:tc>
        <w:tc>
          <w:tcPr>
            <w:tcW w:type="dxa" w:w="1134"/>
          </w:tcPr>
          <w:p>
            <w:pPr>
              <w:spacing w:line="240" w:lineRule="auto" w:after="0"/>
            </w:pPr>
            <w:r/>
            <w:r>
              <w:rPr>
                <w:sz w:val="18"/>
              </w:rPr>
              <w:t>18</w:t>
            </w:r>
          </w:p>
        </w:tc>
        <w:tc>
          <w:tcPr>
            <w:tcW w:type="dxa" w:w="1134"/>
          </w:tcPr>
          <w:p>
            <w:pPr>
              <w:spacing w:line="240" w:lineRule="auto" w:after="0"/>
            </w:pPr>
            <w:r/>
            <w:r>
              <w:rPr>
                <w:sz w:val="18"/>
              </w:rPr>
              <w:t>0.9859</w:t>
            </w:r>
          </w:p>
        </w:tc>
        <w:tc>
          <w:tcPr>
            <w:tcW w:type="dxa" w:w="1134"/>
          </w:tcPr>
          <w:p>
            <w:pPr>
              <w:spacing w:line="240" w:lineRule="auto" w:after="0"/>
            </w:pPr>
            <w:r/>
            <w:r>
              <w:rPr>
                <w:sz w:val="18"/>
              </w:rPr>
              <w:t>[0.974, 0.995]</w:t>
            </w:r>
          </w:p>
        </w:tc>
        <w:tc>
          <w:tcPr>
            <w:tcW w:type="dxa" w:w="1134"/>
          </w:tcPr>
          <w:p>
            <w:pPr>
              <w:spacing w:line="240" w:lineRule="auto" w:after="0"/>
            </w:pPr>
            <w:r/>
            <w:r>
              <w:rPr>
                <w:sz w:val="18"/>
              </w:rPr>
              <w:t>0.151</w:t>
            </w:r>
          </w:p>
        </w:tc>
        <w:tc>
          <w:tcPr>
            <w:tcW w:type="dxa" w:w="1134"/>
          </w:tcPr>
          <w:p>
            <w:pPr>
              <w:spacing w:line="240" w:lineRule="auto" w:after="0"/>
            </w:pPr>
            <w:r/>
            <w:r>
              <w:rPr>
                <w:sz w:val="18"/>
              </w:rPr>
              <w:t>0.182</w:t>
            </w:r>
          </w:p>
        </w:tc>
        <w:tc>
          <w:tcPr>
            <w:tcW w:type="dxa" w:w="1134"/>
          </w:tcPr>
          <w:p>
            <w:pPr>
              <w:spacing w:line="240" w:lineRule="auto" w:after="0"/>
            </w:pPr>
            <w:r/>
            <w:r>
              <w:rPr>
                <w:sz w:val="18"/>
              </w:rPr>
              <w:t>0.235</w:t>
            </w:r>
          </w:p>
        </w:tc>
      </w:tr>
      <w:tr>
        <w:tc>
          <w:tcPr>
            <w:tcW w:type="dxa" w:w="1134"/>
          </w:tcPr>
          <w:p>
            <w:pPr>
              <w:spacing w:line="240" w:lineRule="auto" w:after="0"/>
            </w:pPr>
            <w:r/>
            <w:r>
              <w:rPr>
                <w:sz w:val="18"/>
              </w:rPr>
              <w:t>GHS02</w:t>
            </w:r>
          </w:p>
        </w:tc>
        <w:tc>
          <w:tcPr>
            <w:tcW w:type="dxa" w:w="1134"/>
          </w:tcPr>
          <w:p>
            <w:pPr>
              <w:spacing w:line="240" w:lineRule="auto" w:after="0"/>
            </w:pPr>
            <w:r/>
            <w:r>
              <w:rPr>
                <w:sz w:val="18"/>
              </w:rPr>
              <w:t>Flammable</w:t>
            </w:r>
          </w:p>
        </w:tc>
        <w:tc>
          <w:tcPr>
            <w:tcW w:type="dxa" w:w="1134"/>
          </w:tcPr>
          <w:p>
            <w:pPr>
              <w:spacing w:line="240" w:lineRule="auto" w:after="0"/>
            </w:pPr>
            <w:r/>
            <w:r>
              <w:rPr>
                <w:sz w:val="18"/>
              </w:rPr>
              <w:t>1,063</w:t>
            </w:r>
          </w:p>
        </w:tc>
        <w:tc>
          <w:tcPr>
            <w:tcW w:type="dxa" w:w="1134"/>
          </w:tcPr>
          <w:p>
            <w:pPr>
              <w:spacing w:line="240" w:lineRule="auto" w:after="0"/>
            </w:pPr>
            <w:r/>
            <w:r>
              <w:rPr>
                <w:sz w:val="18"/>
              </w:rPr>
              <w:t>0.9708</w:t>
            </w:r>
          </w:p>
        </w:tc>
        <w:tc>
          <w:tcPr>
            <w:tcW w:type="dxa" w:w="1134"/>
          </w:tcPr>
          <w:p>
            <w:pPr>
              <w:spacing w:line="240" w:lineRule="auto" w:after="0"/>
            </w:pPr>
            <w:r/>
            <w:r>
              <w:rPr>
                <w:sz w:val="18"/>
              </w:rPr>
              <w:t>[0.965, 0.975]</w:t>
            </w:r>
          </w:p>
        </w:tc>
        <w:tc>
          <w:tcPr>
            <w:tcW w:type="dxa" w:w="1134"/>
          </w:tcPr>
          <w:p>
            <w:pPr>
              <w:spacing w:line="240" w:lineRule="auto" w:after="0"/>
            </w:pPr>
            <w:r/>
            <w:r>
              <w:rPr>
                <w:sz w:val="18"/>
              </w:rPr>
              <w:t>0.755</w:t>
            </w:r>
          </w:p>
        </w:tc>
        <w:tc>
          <w:tcPr>
            <w:tcW w:type="dxa" w:w="1134"/>
          </w:tcPr>
          <w:p>
            <w:pPr>
              <w:spacing w:line="240" w:lineRule="auto" w:after="0"/>
            </w:pPr>
            <w:r/>
            <w:r>
              <w:rPr>
                <w:sz w:val="18"/>
              </w:rPr>
              <w:t>0.707</w:t>
            </w:r>
          </w:p>
        </w:tc>
        <w:tc>
          <w:tcPr>
            <w:tcW w:type="dxa" w:w="1134"/>
          </w:tcPr>
          <w:p>
            <w:pPr>
              <w:spacing w:line="240" w:lineRule="auto" w:after="0"/>
            </w:pPr>
            <w:r/>
            <w:r>
              <w:rPr>
                <w:sz w:val="18"/>
              </w:rPr>
              <w:t>0.694</w:t>
            </w:r>
          </w:p>
        </w:tc>
      </w:tr>
      <w:tr>
        <w:tc>
          <w:tcPr>
            <w:tcW w:type="dxa" w:w="1134"/>
          </w:tcPr>
          <w:p>
            <w:pPr>
              <w:spacing w:line="240" w:lineRule="auto" w:after="0"/>
            </w:pPr>
            <w:r/>
            <w:r>
              <w:rPr>
                <w:sz w:val="18"/>
              </w:rPr>
              <w:t>GHS03</w:t>
            </w:r>
          </w:p>
        </w:tc>
        <w:tc>
          <w:tcPr>
            <w:tcW w:type="dxa" w:w="1134"/>
          </w:tcPr>
          <w:p>
            <w:pPr>
              <w:spacing w:line="240" w:lineRule="auto" w:after="0"/>
            </w:pPr>
            <w:r/>
            <w:r>
              <w:rPr>
                <w:sz w:val="18"/>
              </w:rPr>
              <w:t>Oxidiser</w:t>
            </w:r>
          </w:p>
        </w:tc>
        <w:tc>
          <w:tcPr>
            <w:tcW w:type="dxa" w:w="1134"/>
          </w:tcPr>
          <w:p>
            <w:pPr>
              <w:spacing w:line="240" w:lineRule="auto" w:after="0"/>
            </w:pPr>
            <w:r/>
            <w:r>
              <w:rPr>
                <w:sz w:val="18"/>
              </w:rPr>
              <w:t>41</w:t>
            </w:r>
          </w:p>
        </w:tc>
        <w:tc>
          <w:tcPr>
            <w:tcW w:type="dxa" w:w="1134"/>
          </w:tcPr>
          <w:p>
            <w:pPr>
              <w:spacing w:line="240" w:lineRule="auto" w:after="0"/>
            </w:pPr>
            <w:r/>
            <w:r>
              <w:rPr>
                <w:sz w:val="18"/>
              </w:rPr>
              <w:t>0.9267</w:t>
            </w:r>
          </w:p>
        </w:tc>
        <w:tc>
          <w:tcPr>
            <w:tcW w:type="dxa" w:w="1134"/>
          </w:tcPr>
          <w:p>
            <w:pPr>
              <w:spacing w:line="240" w:lineRule="auto" w:after="0"/>
            </w:pPr>
            <w:r/>
            <w:r>
              <w:rPr>
                <w:sz w:val="18"/>
              </w:rPr>
              <w:t>[0.862, 0.981]</w:t>
            </w:r>
          </w:p>
        </w:tc>
        <w:tc>
          <w:tcPr>
            <w:tcW w:type="dxa" w:w="1134"/>
          </w:tcPr>
          <w:p>
            <w:pPr>
              <w:spacing w:line="240" w:lineRule="auto" w:after="0"/>
            </w:pPr>
            <w:r/>
            <w:r>
              <w:rPr>
                <w:sz w:val="18"/>
              </w:rPr>
              <w:t>0.544</w:t>
            </w:r>
          </w:p>
        </w:tc>
        <w:tc>
          <w:tcPr>
            <w:tcW w:type="dxa" w:w="1134"/>
          </w:tcPr>
          <w:p>
            <w:pPr>
              <w:spacing w:line="240" w:lineRule="auto" w:after="0"/>
            </w:pPr>
            <w:r/>
            <w:r>
              <w:rPr>
                <w:sz w:val="18"/>
              </w:rPr>
              <w:t>0.580</w:t>
            </w:r>
          </w:p>
        </w:tc>
        <w:tc>
          <w:tcPr>
            <w:tcW w:type="dxa" w:w="1134"/>
          </w:tcPr>
          <w:p>
            <w:pPr>
              <w:spacing w:line="240" w:lineRule="auto" w:after="0"/>
            </w:pPr>
            <w:r/>
            <w:r>
              <w:rPr>
                <w:sz w:val="18"/>
              </w:rPr>
              <w:t>0.590</w:t>
            </w:r>
          </w:p>
        </w:tc>
      </w:tr>
      <w:tr>
        <w:tc>
          <w:tcPr>
            <w:tcW w:type="dxa" w:w="1134"/>
          </w:tcPr>
          <w:p>
            <w:pPr>
              <w:spacing w:line="240" w:lineRule="auto" w:after="0"/>
            </w:pPr>
            <w:r/>
            <w:r>
              <w:rPr>
                <w:sz w:val="18"/>
              </w:rPr>
              <w:t>GHS04</w:t>
            </w:r>
          </w:p>
        </w:tc>
        <w:tc>
          <w:tcPr>
            <w:tcW w:type="dxa" w:w="1134"/>
          </w:tcPr>
          <w:p>
            <w:pPr>
              <w:spacing w:line="240" w:lineRule="auto" w:after="0"/>
            </w:pPr>
            <w:r/>
            <w:r>
              <w:rPr>
                <w:sz w:val="18"/>
              </w:rPr>
              <w:t>Compressed gas</w:t>
            </w:r>
          </w:p>
        </w:tc>
        <w:tc>
          <w:tcPr>
            <w:tcW w:type="dxa" w:w="1134"/>
          </w:tcPr>
          <w:p>
            <w:pPr>
              <w:spacing w:line="240" w:lineRule="auto" w:after="0"/>
            </w:pPr>
            <w:r/>
            <w:r>
              <w:rPr>
                <w:sz w:val="18"/>
              </w:rPr>
              <w:t>28</w:t>
            </w:r>
          </w:p>
        </w:tc>
        <w:tc>
          <w:tcPr>
            <w:tcW w:type="dxa" w:w="1134"/>
          </w:tcPr>
          <w:p>
            <w:pPr>
              <w:spacing w:line="240" w:lineRule="auto" w:after="0"/>
            </w:pPr>
            <w:r/>
            <w:r>
              <w:rPr>
                <w:sz w:val="18"/>
              </w:rPr>
              <w:t>0.9951</w:t>
            </w:r>
          </w:p>
        </w:tc>
        <w:tc>
          <w:tcPr>
            <w:tcW w:type="dxa" w:w="1134"/>
          </w:tcPr>
          <w:p>
            <w:pPr>
              <w:spacing w:line="240" w:lineRule="auto" w:after="0"/>
            </w:pPr>
            <w:r/>
            <w:r>
              <w:rPr>
                <w:sz w:val="18"/>
              </w:rPr>
              <w:t>[0.984, 1.000]</w:t>
            </w:r>
          </w:p>
        </w:tc>
        <w:tc>
          <w:tcPr>
            <w:tcW w:type="dxa" w:w="1134"/>
          </w:tcPr>
          <w:p>
            <w:pPr>
              <w:spacing w:line="240" w:lineRule="auto" w:after="0"/>
            </w:pPr>
            <w:r/>
            <w:r>
              <w:rPr>
                <w:sz w:val="18"/>
              </w:rPr>
              <w:t>0.809</w:t>
            </w:r>
          </w:p>
        </w:tc>
        <w:tc>
          <w:tcPr>
            <w:tcW w:type="dxa" w:w="1134"/>
          </w:tcPr>
          <w:p>
            <w:pPr>
              <w:spacing w:line="240" w:lineRule="auto" w:after="0"/>
            </w:pPr>
            <w:r/>
            <w:r>
              <w:rPr>
                <w:sz w:val="18"/>
              </w:rPr>
              <w:t>0.737</w:t>
            </w:r>
          </w:p>
        </w:tc>
        <w:tc>
          <w:tcPr>
            <w:tcW w:type="dxa" w:w="1134"/>
          </w:tcPr>
          <w:p>
            <w:pPr>
              <w:spacing w:line="240" w:lineRule="auto" w:after="0"/>
            </w:pPr>
            <w:r/>
            <w:r>
              <w:rPr>
                <w:sz w:val="18"/>
              </w:rPr>
              <w:t>0.737</w:t>
            </w:r>
          </w:p>
        </w:tc>
      </w:tr>
      <w:tr>
        <w:tc>
          <w:tcPr>
            <w:tcW w:type="dxa" w:w="1134"/>
          </w:tcPr>
          <w:p>
            <w:pPr>
              <w:spacing w:line="240" w:lineRule="auto" w:after="0"/>
            </w:pPr>
            <w:r/>
            <w:r>
              <w:rPr>
                <w:sz w:val="18"/>
              </w:rPr>
              <w:t>GHS05</w:t>
            </w:r>
          </w:p>
        </w:tc>
        <w:tc>
          <w:tcPr>
            <w:tcW w:type="dxa" w:w="1134"/>
          </w:tcPr>
          <w:p>
            <w:pPr>
              <w:spacing w:line="240" w:lineRule="auto" w:after="0"/>
            </w:pPr>
            <w:r/>
            <w:r>
              <w:rPr>
                <w:sz w:val="18"/>
              </w:rPr>
              <w:t>Corrosive</w:t>
            </w:r>
          </w:p>
        </w:tc>
        <w:tc>
          <w:tcPr>
            <w:tcW w:type="dxa" w:w="1134"/>
          </w:tcPr>
          <w:p>
            <w:pPr>
              <w:spacing w:line="240" w:lineRule="auto" w:after="0"/>
            </w:pPr>
            <w:r/>
            <w:r>
              <w:rPr>
                <w:sz w:val="18"/>
              </w:rPr>
              <w:t>4,333</w:t>
            </w:r>
          </w:p>
        </w:tc>
        <w:tc>
          <w:tcPr>
            <w:tcW w:type="dxa" w:w="1134"/>
          </w:tcPr>
          <w:p>
            <w:pPr>
              <w:spacing w:line="240" w:lineRule="auto" w:after="0"/>
            </w:pPr>
            <w:r/>
            <w:r>
              <w:rPr>
                <w:sz w:val="18"/>
              </w:rPr>
              <w:t>0.8924</w:t>
            </w:r>
          </w:p>
        </w:tc>
        <w:tc>
          <w:tcPr>
            <w:tcW w:type="dxa" w:w="1134"/>
          </w:tcPr>
          <w:p>
            <w:pPr>
              <w:spacing w:line="240" w:lineRule="auto" w:after="0"/>
            </w:pPr>
            <w:r/>
            <w:r>
              <w:rPr>
                <w:sz w:val="18"/>
              </w:rPr>
              <w:t>[0.887, 0.898]</w:t>
            </w:r>
          </w:p>
        </w:tc>
        <w:tc>
          <w:tcPr>
            <w:tcW w:type="dxa" w:w="1134"/>
          </w:tcPr>
          <w:p>
            <w:pPr>
              <w:spacing w:line="240" w:lineRule="auto" w:after="0"/>
            </w:pPr>
            <w:r/>
            <w:r>
              <w:rPr>
                <w:sz w:val="18"/>
              </w:rPr>
              <w:t>0.737</w:t>
            </w:r>
          </w:p>
        </w:tc>
        <w:tc>
          <w:tcPr>
            <w:tcW w:type="dxa" w:w="1134"/>
          </w:tcPr>
          <w:p>
            <w:pPr>
              <w:spacing w:line="240" w:lineRule="auto" w:after="0"/>
            </w:pPr>
            <w:r/>
            <w:r>
              <w:rPr>
                <w:sz w:val="18"/>
              </w:rPr>
              <w:t>0.665</w:t>
            </w:r>
          </w:p>
        </w:tc>
        <w:tc>
          <w:tcPr>
            <w:tcW w:type="dxa" w:w="1134"/>
          </w:tcPr>
          <w:p>
            <w:pPr>
              <w:spacing w:line="240" w:lineRule="auto" w:after="0"/>
            </w:pPr>
            <w:r/>
            <w:r>
              <w:rPr>
                <w:sz w:val="18"/>
              </w:rPr>
              <w:t>0.596</w:t>
            </w:r>
          </w:p>
        </w:tc>
      </w:tr>
      <w:tr>
        <w:tc>
          <w:tcPr>
            <w:tcW w:type="dxa" w:w="1134"/>
          </w:tcPr>
          <w:p>
            <w:pPr>
              <w:spacing w:line="240" w:lineRule="auto" w:after="0"/>
            </w:pPr>
            <w:r/>
            <w:r>
              <w:rPr>
                <w:sz w:val="18"/>
              </w:rPr>
              <w:t>GHS06</w:t>
            </w:r>
          </w:p>
        </w:tc>
        <w:tc>
          <w:tcPr>
            <w:tcW w:type="dxa" w:w="1134"/>
          </w:tcPr>
          <w:p>
            <w:pPr>
              <w:spacing w:line="240" w:lineRule="auto" w:after="0"/>
            </w:pPr>
            <w:r/>
            <w:r>
              <w:rPr>
                <w:sz w:val="18"/>
              </w:rPr>
              <w:t>Acute toxicity</w:t>
            </w:r>
          </w:p>
        </w:tc>
        <w:tc>
          <w:tcPr>
            <w:tcW w:type="dxa" w:w="1134"/>
          </w:tcPr>
          <w:p>
            <w:pPr>
              <w:spacing w:line="240" w:lineRule="auto" w:after="0"/>
            </w:pPr>
            <w:r/>
            <w:r>
              <w:rPr>
                <w:sz w:val="18"/>
              </w:rPr>
              <w:t>1,520</w:t>
            </w:r>
          </w:p>
        </w:tc>
        <w:tc>
          <w:tcPr>
            <w:tcW w:type="dxa" w:w="1134"/>
          </w:tcPr>
          <w:p>
            <w:pPr>
              <w:spacing w:line="240" w:lineRule="auto" w:after="0"/>
            </w:pPr>
            <w:r/>
            <w:r>
              <w:rPr>
                <w:sz w:val="18"/>
              </w:rPr>
              <w:t>0.8296</w:t>
            </w:r>
          </w:p>
        </w:tc>
        <w:tc>
          <w:tcPr>
            <w:tcW w:type="dxa" w:w="1134"/>
          </w:tcPr>
          <w:p>
            <w:pPr>
              <w:spacing w:line="240" w:lineRule="auto" w:after="0"/>
            </w:pPr>
            <w:r/>
            <w:r>
              <w:rPr>
                <w:sz w:val="18"/>
              </w:rPr>
              <w:t>[0.818, 0.840]</w:t>
            </w:r>
          </w:p>
        </w:tc>
        <w:tc>
          <w:tcPr>
            <w:tcW w:type="dxa" w:w="1134"/>
          </w:tcPr>
          <w:p>
            <w:pPr>
              <w:spacing w:line="240" w:lineRule="auto" w:after="0"/>
            </w:pPr>
            <w:r/>
            <w:r>
              <w:rPr>
                <w:sz w:val="18"/>
              </w:rPr>
              <w:t>0.326</w:t>
            </w:r>
          </w:p>
        </w:tc>
        <w:tc>
          <w:tcPr>
            <w:tcW w:type="dxa" w:w="1134"/>
          </w:tcPr>
          <w:p>
            <w:pPr>
              <w:spacing w:line="240" w:lineRule="auto" w:after="0"/>
            </w:pPr>
            <w:r/>
            <w:r>
              <w:rPr>
                <w:sz w:val="18"/>
              </w:rPr>
              <w:t>0.361</w:t>
            </w:r>
          </w:p>
        </w:tc>
        <w:tc>
          <w:tcPr>
            <w:tcW w:type="dxa" w:w="1134"/>
          </w:tcPr>
          <w:p>
            <w:pPr>
              <w:spacing w:line="240" w:lineRule="auto" w:after="0"/>
            </w:pPr>
            <w:r/>
            <w:r>
              <w:rPr>
                <w:sz w:val="18"/>
              </w:rPr>
              <w:t>0.316</w:t>
            </w:r>
          </w:p>
        </w:tc>
      </w:tr>
      <w:tr>
        <w:tc>
          <w:tcPr>
            <w:tcW w:type="dxa" w:w="1134"/>
          </w:tcPr>
          <w:p>
            <w:pPr>
              <w:spacing w:line="240" w:lineRule="auto" w:after="0"/>
            </w:pPr>
            <w:r/>
            <w:r>
              <w:rPr>
                <w:sz w:val="18"/>
              </w:rPr>
              <w:t>GHS07</w:t>
            </w:r>
          </w:p>
        </w:tc>
        <w:tc>
          <w:tcPr>
            <w:tcW w:type="dxa" w:w="1134"/>
          </w:tcPr>
          <w:p>
            <w:pPr>
              <w:spacing w:line="240" w:lineRule="auto" w:after="0"/>
            </w:pPr>
            <w:r/>
            <w:r>
              <w:rPr>
                <w:sz w:val="18"/>
              </w:rPr>
              <w:t>Irritant / harmful</w:t>
            </w:r>
          </w:p>
        </w:tc>
        <w:tc>
          <w:tcPr>
            <w:tcW w:type="dxa" w:w="1134"/>
          </w:tcPr>
          <w:p>
            <w:pPr>
              <w:spacing w:line="240" w:lineRule="auto" w:after="0"/>
            </w:pPr>
            <w:r/>
            <w:r>
              <w:rPr>
                <w:sz w:val="18"/>
              </w:rPr>
              <w:t>21,967</w:t>
            </w:r>
          </w:p>
        </w:tc>
        <w:tc>
          <w:tcPr>
            <w:tcW w:type="dxa" w:w="1134"/>
          </w:tcPr>
          <w:p>
            <w:pPr>
              <w:spacing w:line="240" w:lineRule="auto" w:after="0"/>
            </w:pPr>
            <w:r/>
            <w:r>
              <w:rPr>
                <w:sz w:val="18"/>
              </w:rPr>
              <w:t>0.8336</w:t>
            </w:r>
          </w:p>
        </w:tc>
        <w:tc>
          <w:tcPr>
            <w:tcW w:type="dxa" w:w="1134"/>
          </w:tcPr>
          <w:p>
            <w:pPr>
              <w:spacing w:line="240" w:lineRule="auto" w:after="0"/>
            </w:pPr>
            <w:r/>
            <w:r>
              <w:rPr>
                <w:sz w:val="18"/>
              </w:rPr>
              <w:t>[0.826, 0.841]</w:t>
            </w:r>
          </w:p>
        </w:tc>
        <w:tc>
          <w:tcPr>
            <w:tcW w:type="dxa" w:w="1134"/>
          </w:tcPr>
          <w:p>
            <w:pPr>
              <w:spacing w:line="240" w:lineRule="auto" w:after="0"/>
            </w:pPr>
            <w:r/>
            <w:r>
              <w:rPr>
                <w:sz w:val="18"/>
              </w:rPr>
              <w:t>0.977</w:t>
            </w:r>
          </w:p>
        </w:tc>
        <w:tc>
          <w:tcPr>
            <w:tcW w:type="dxa" w:w="1134"/>
          </w:tcPr>
          <w:p>
            <w:pPr>
              <w:spacing w:line="240" w:lineRule="auto" w:after="0"/>
            </w:pPr>
            <w:r/>
            <w:r>
              <w:rPr>
                <w:sz w:val="18"/>
              </w:rPr>
              <w:t>0.950</w:t>
            </w:r>
          </w:p>
        </w:tc>
        <w:tc>
          <w:tcPr>
            <w:tcW w:type="dxa" w:w="1134"/>
          </w:tcPr>
          <w:p>
            <w:pPr>
              <w:spacing w:line="240" w:lineRule="auto" w:after="0"/>
            </w:pPr>
            <w:r/>
            <w:r>
              <w:rPr>
                <w:sz w:val="18"/>
              </w:rPr>
              <w:t>0.202</w:t>
            </w:r>
          </w:p>
        </w:tc>
      </w:tr>
      <w:tr>
        <w:tc>
          <w:tcPr>
            <w:tcW w:type="dxa" w:w="1134"/>
          </w:tcPr>
          <w:p>
            <w:pPr>
              <w:spacing w:line="240" w:lineRule="auto" w:after="0"/>
            </w:pPr>
            <w:r/>
            <w:r>
              <w:rPr>
                <w:sz w:val="18"/>
              </w:rPr>
              <w:t>GHS08</w:t>
            </w:r>
          </w:p>
        </w:tc>
        <w:tc>
          <w:tcPr>
            <w:tcW w:type="dxa" w:w="1134"/>
          </w:tcPr>
          <w:p>
            <w:pPr>
              <w:spacing w:line="240" w:lineRule="auto" w:after="0"/>
            </w:pPr>
            <w:r/>
            <w:r>
              <w:rPr>
                <w:sz w:val="18"/>
              </w:rPr>
              <w:t>Serious health hazard</w:t>
            </w:r>
          </w:p>
        </w:tc>
        <w:tc>
          <w:tcPr>
            <w:tcW w:type="dxa" w:w="1134"/>
          </w:tcPr>
          <w:p>
            <w:pPr>
              <w:spacing w:line="240" w:lineRule="auto" w:after="0"/>
            </w:pPr>
            <w:r/>
            <w:r>
              <w:rPr>
                <w:sz w:val="18"/>
              </w:rPr>
              <w:t>1,360</w:t>
            </w:r>
          </w:p>
        </w:tc>
        <w:tc>
          <w:tcPr>
            <w:tcW w:type="dxa" w:w="1134"/>
          </w:tcPr>
          <w:p>
            <w:pPr>
              <w:spacing w:line="240" w:lineRule="auto" w:after="0"/>
            </w:pPr>
            <w:r/>
            <w:r>
              <w:rPr>
                <w:sz w:val="18"/>
              </w:rPr>
              <w:t>0.9004</w:t>
            </w:r>
          </w:p>
        </w:tc>
        <w:tc>
          <w:tcPr>
            <w:tcW w:type="dxa" w:w="1134"/>
          </w:tcPr>
          <w:p>
            <w:pPr>
              <w:spacing w:line="240" w:lineRule="auto" w:after="0"/>
            </w:pPr>
            <w:r/>
            <w:r>
              <w:rPr>
                <w:sz w:val="18"/>
              </w:rPr>
              <w:t>[0.893, 0.908]</w:t>
            </w:r>
          </w:p>
        </w:tc>
        <w:tc>
          <w:tcPr>
            <w:tcW w:type="dxa" w:w="1134"/>
          </w:tcPr>
          <w:p>
            <w:pPr>
              <w:spacing w:line="240" w:lineRule="auto" w:after="0"/>
            </w:pPr>
            <w:r/>
            <w:r>
              <w:rPr>
                <w:sz w:val="18"/>
              </w:rPr>
              <w:t>0.452</w:t>
            </w:r>
          </w:p>
        </w:tc>
        <w:tc>
          <w:tcPr>
            <w:tcW w:type="dxa" w:w="1134"/>
          </w:tcPr>
          <w:p>
            <w:pPr>
              <w:spacing w:line="240" w:lineRule="auto" w:after="0"/>
            </w:pPr>
            <w:r/>
            <w:r>
              <w:rPr>
                <w:sz w:val="18"/>
              </w:rPr>
              <w:t>0.467</w:t>
            </w:r>
          </w:p>
        </w:tc>
        <w:tc>
          <w:tcPr>
            <w:tcW w:type="dxa" w:w="1134"/>
          </w:tcPr>
          <w:p>
            <w:pPr>
              <w:spacing w:line="240" w:lineRule="auto" w:after="0"/>
            </w:pPr>
            <w:r/>
            <w:r>
              <w:rPr>
                <w:sz w:val="18"/>
              </w:rPr>
              <w:t>0.434</w:t>
            </w:r>
          </w:p>
        </w:tc>
      </w:tr>
      <w:tr>
        <w:tc>
          <w:tcPr>
            <w:tcW w:type="dxa" w:w="1134"/>
          </w:tcPr>
          <w:p>
            <w:pPr>
              <w:spacing w:line="240" w:lineRule="auto" w:after="0"/>
            </w:pPr>
            <w:r/>
            <w:r>
              <w:rPr>
                <w:sz w:val="18"/>
              </w:rPr>
              <w:t>GHS09</w:t>
            </w:r>
          </w:p>
        </w:tc>
        <w:tc>
          <w:tcPr>
            <w:tcW w:type="dxa" w:w="1134"/>
          </w:tcPr>
          <w:p>
            <w:pPr>
              <w:spacing w:line="240" w:lineRule="auto" w:after="0"/>
            </w:pPr>
            <w:r/>
            <w:r>
              <w:rPr>
                <w:sz w:val="18"/>
              </w:rPr>
              <w:t>Environmental hazard</w:t>
            </w:r>
          </w:p>
        </w:tc>
        <w:tc>
          <w:tcPr>
            <w:tcW w:type="dxa" w:w="1134"/>
          </w:tcPr>
          <w:p>
            <w:pPr>
              <w:spacing w:line="240" w:lineRule="auto" w:after="0"/>
            </w:pPr>
            <w:r/>
            <w:r>
              <w:rPr>
                <w:sz w:val="18"/>
              </w:rPr>
              <w:t>1,773</w:t>
            </w:r>
          </w:p>
        </w:tc>
        <w:tc>
          <w:tcPr>
            <w:tcW w:type="dxa" w:w="1134"/>
          </w:tcPr>
          <w:p>
            <w:pPr>
              <w:spacing w:line="240" w:lineRule="auto" w:after="0"/>
            </w:pPr>
            <w:r/>
            <w:r>
              <w:rPr>
                <w:sz w:val="18"/>
              </w:rPr>
              <w:t>0.8969</w:t>
            </w:r>
          </w:p>
        </w:tc>
        <w:tc>
          <w:tcPr>
            <w:tcW w:type="dxa" w:w="1134"/>
          </w:tcPr>
          <w:p>
            <w:pPr>
              <w:spacing w:line="240" w:lineRule="auto" w:after="0"/>
            </w:pPr>
            <w:r/>
            <w:r>
              <w:rPr>
                <w:sz w:val="18"/>
              </w:rPr>
              <w:t>[0.890, 0.903]</w:t>
            </w:r>
          </w:p>
        </w:tc>
        <w:tc>
          <w:tcPr>
            <w:tcW w:type="dxa" w:w="1134"/>
          </w:tcPr>
          <w:p>
            <w:pPr>
              <w:spacing w:line="240" w:lineRule="auto" w:after="0"/>
            </w:pPr>
            <w:r/>
            <w:r>
              <w:rPr>
                <w:sz w:val="18"/>
              </w:rPr>
              <w:t>0.459</w:t>
            </w:r>
          </w:p>
        </w:tc>
        <w:tc>
          <w:tcPr>
            <w:tcW w:type="dxa" w:w="1134"/>
          </w:tcPr>
          <w:p>
            <w:pPr>
              <w:spacing w:line="240" w:lineRule="auto" w:after="0"/>
            </w:pPr>
            <w:r/>
            <w:r>
              <w:rPr>
                <w:sz w:val="18"/>
              </w:rPr>
              <w:t>0.474</w:t>
            </w:r>
          </w:p>
        </w:tc>
        <w:tc>
          <w:tcPr>
            <w:tcW w:type="dxa" w:w="1134"/>
          </w:tcPr>
          <w:p>
            <w:pPr>
              <w:spacing w:line="240" w:lineRule="auto" w:after="0"/>
            </w:pPr>
            <w:r/>
            <w:r>
              <w:rPr>
                <w:sz w:val="18"/>
              </w:rPr>
              <w:t>0.431</w:t>
            </w:r>
          </w:p>
        </w:tc>
      </w:tr>
    </w:tbl>
    <w:p>
      <w:pPr>
        <w:spacing w:after="120" w:line="240" w:lineRule="auto"/>
      </w:pPr>
    </w:p>
    <w:p>
      <w:r>
        <w:t>The irritant class in Table 1 requires a caveat that the general rule in Section 2.9 does not cover. Its F1 of 0.950 is not evidence of a good classifier: 90 per cent of the test compounds carry that pictogram, so a model predicting the class for every compound would score an F1 near 0.95. The Matthews correlation coefficient of 0.202 is the honest figure, and the two should be read together for this class. The rule stated in Section 2.9 - that the Matthews coefficient is primary for classes with fewer than 500 positive examples - does not apply here, since irritant has 21,967; the reason is prevalence rather than rarity, and it is the only class in which the two metrics disagree this sharply.</w:t>
      </w:r>
    </w:p>
    <w:p>
      <w:r>
        <w:t>Discrimination is excellent for the physically determined hazards - compressed gas (0.995), explosive (0.986) and flammable (0.971) - and substantially lower for the biologically mediated ones, acute toxicity (0.830) and irritation (0.834). This ordering is chemically coherent: physical state and flammability are largely determined by molecular size and polarity, whereas toxicity depends on specific molecular mechanisms that bulk descriptors capture only indirectly.</w:t>
      </w:r>
    </w:p>
    <w:p>
      <w:r>
        <w:t>Training times on a two-core workstation were 17.5 minutes for the Random Forest, 8.6 minutes for the nine gradient-boosted models and 3.4 minutes for the support vector machine, the last on a reduced feature set and subsampled training partition (see Limitations).</w:t>
      </w:r>
    </w:p>
    <w:p>
      <w:pPr>
        <w:pStyle w:val="Heading2"/>
      </w:pPr>
      <w:r>
        <w:t>Effect of training-set size</w:t>
      </w:r>
    </w:p>
    <w:p>
      <w:r>
        <w:t>Models were trained on nested subsets of the training partition and evaluated on the same fixed test partition with identical hyperparameters, so that training-set size was the only quantity varying (Table 2, Figure 10).</w:t>
      </w:r>
    </w:p>
    <w:p>
      <w:pPr>
        <w:keepNext/>
        <w:spacing w:line="240" w:lineRule="auto" w:before="200" w:after="80"/>
      </w:pPr>
      <w:r>
        <w:rPr>
          <w:b/>
          <w:sz w:val="20"/>
        </w:rPr>
        <w:t xml:space="preserve">Table 2. </w:t>
      </w:r>
      <w:r>
        <w:rPr>
          <w:sz w:val="20"/>
        </w:rPr>
        <w:t>Effect of training-set size on mean AUC-ROC across the nine hazard classes, with the test partition, hyperparameters and feature set held fixed. Each training subset is a superset of the smaller ones, so the comparison reflects quantity rather than which compounds were drawn.</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tcPr>
          <w:p>
            <w:pPr>
              <w:spacing w:line="240" w:lineRule="auto" w:after="0"/>
            </w:pPr>
            <w:r/>
            <w:r>
              <w:rPr>
                <w:b/>
                <w:sz w:val="18"/>
              </w:rPr>
              <w:t>n_train</w:t>
            </w:r>
          </w:p>
        </w:tc>
        <w:tc>
          <w:tcPr>
            <w:tcW w:type="dxa" w:w="4536"/>
          </w:tcPr>
          <w:p>
            <w:pPr>
              <w:spacing w:line="240" w:lineRule="auto" w:after="0"/>
            </w:pPr>
            <w:r/>
            <w:r>
              <w:rPr>
                <w:b/>
                <w:sz w:val="18"/>
              </w:rPr>
              <w:t>mean AUC</w:t>
            </w:r>
          </w:p>
        </w:tc>
      </w:tr>
      <w:tr>
        <w:tc>
          <w:tcPr>
            <w:tcW w:type="dxa" w:w="4536"/>
          </w:tcPr>
          <w:p>
            <w:pPr>
              <w:spacing w:line="240" w:lineRule="auto" w:after="0"/>
            </w:pPr>
            <w:r/>
            <w:r>
              <w:rPr>
                <w:sz w:val="18"/>
              </w:rPr>
              <w:t>32,000</w:t>
            </w:r>
          </w:p>
        </w:tc>
        <w:tc>
          <w:tcPr>
            <w:tcW w:type="dxa" w:w="4536"/>
          </w:tcPr>
          <w:p>
            <w:pPr>
              <w:spacing w:line="240" w:lineRule="auto" w:after="0"/>
            </w:pPr>
            <w:r/>
            <w:r>
              <w:rPr>
                <w:sz w:val="18"/>
              </w:rPr>
              <w:t>0.8187</w:t>
            </w:r>
          </w:p>
        </w:tc>
      </w:tr>
      <w:tr>
        <w:tc>
          <w:tcPr>
            <w:tcW w:type="dxa" w:w="4536"/>
          </w:tcPr>
          <w:p>
            <w:pPr>
              <w:spacing w:line="240" w:lineRule="auto" w:after="0"/>
            </w:pPr>
            <w:r/>
            <w:r>
              <w:rPr>
                <w:sz w:val="18"/>
              </w:rPr>
              <w:t>64,000</w:t>
            </w:r>
          </w:p>
        </w:tc>
        <w:tc>
          <w:tcPr>
            <w:tcW w:type="dxa" w:w="4536"/>
          </w:tcPr>
          <w:p>
            <w:pPr>
              <w:spacing w:line="240" w:lineRule="auto" w:after="0"/>
            </w:pPr>
            <w:r/>
            <w:r>
              <w:rPr>
                <w:sz w:val="18"/>
              </w:rPr>
              <w:t>0.8469</w:t>
            </w:r>
          </w:p>
        </w:tc>
      </w:tr>
      <w:tr>
        <w:tc>
          <w:tcPr>
            <w:tcW w:type="dxa" w:w="4536"/>
          </w:tcPr>
          <w:p>
            <w:pPr>
              <w:spacing w:line="240" w:lineRule="auto" w:after="0"/>
            </w:pPr>
            <w:r/>
            <w:r>
              <w:rPr>
                <w:sz w:val="18"/>
              </w:rPr>
              <w:t>128,000</w:t>
            </w:r>
          </w:p>
        </w:tc>
        <w:tc>
          <w:tcPr>
            <w:tcW w:type="dxa" w:w="4536"/>
          </w:tcPr>
          <w:p>
            <w:pPr>
              <w:spacing w:line="240" w:lineRule="auto" w:after="0"/>
            </w:pPr>
            <w:r/>
            <w:r>
              <w:rPr>
                <w:sz w:val="18"/>
              </w:rPr>
              <w:t>0.8633</w:t>
            </w:r>
          </w:p>
        </w:tc>
      </w:tr>
      <w:tr>
        <w:tc>
          <w:tcPr>
            <w:tcW w:type="dxa" w:w="4536"/>
          </w:tcPr>
          <w:p>
            <w:pPr>
              <w:spacing w:line="240" w:lineRule="auto" w:after="0"/>
            </w:pPr>
            <w:r/>
            <w:r>
              <w:rPr>
                <w:sz w:val="18"/>
              </w:rPr>
              <w:t>194,658</w:t>
            </w:r>
          </w:p>
        </w:tc>
        <w:tc>
          <w:tcPr>
            <w:tcW w:type="dxa" w:w="4536"/>
          </w:tcPr>
          <w:p>
            <w:pPr>
              <w:spacing w:line="240" w:lineRule="auto" w:after="0"/>
            </w:pPr>
            <w:r/>
            <w:r>
              <w:rPr>
                <w:sz w:val="18"/>
              </w:rPr>
              <w:t>0.8738</w:t>
            </w:r>
          </w:p>
        </w:tc>
      </w:tr>
    </w:tbl>
    <w:p>
      <w:pPr>
        <w:spacing w:after="120" w:line="240" w:lineRule="auto"/>
      </w:pPr>
    </w:p>
    <w:p>
      <w:r>
        <w:t>Mean AUC-ROC rose monotonically, gaining +0.0551 overall - more than four times the confidence interval - and every one of the nine classes improved. The rare classes gained most.</w:t>
      </w:r>
    </w:p>
    <w:p>
      <w:r>
        <w:t>A learning curve computed earlier within a 40,000-compound convenience subsample (Figure 9) had appeared to plateau, with the final increment of data changing mean AUC-ROC by less than 0.001. That appearance was an artefact of how the subsample had been constructed: it deliberately retained every positive example of the rare classes, so those classes could not improve with additional data and the aggregate curve flattened prematurely.</w:t>
      </w:r>
    </w:p>
    <w:p>
      <w:pPr>
        <w:pStyle w:val="Heading2"/>
      </w:pPr>
      <w:r>
        <w:t>Interpretability</w:t>
      </w:r>
    </w:p>
    <w:p>
      <w:r>
        <w:t>SHAP values were computed for 500 test compounds. Across all nine classes the most influential descriptors were LabuteASA, TPSA, Kappa2; feature-importance summaries for the three classes with the greatest total attribution are given in Figure 5. The single most influential descriptor for each class, with the correlation between descriptor value and SHAP value (positive meaning that higher values push towards the hazard) is given in Table 3.</w:t>
      </w:r>
    </w:p>
    <w:p>
      <w:pPr>
        <w:keepNext/>
        <w:spacing w:line="240" w:lineRule="auto" w:before="200" w:after="80"/>
      </w:pPr>
      <w:r>
        <w:rPr>
          <w:b/>
          <w:sz w:val="20"/>
        </w:rPr>
        <w:t xml:space="preserve">Table 3. </w:t>
      </w:r>
      <w:r>
        <w:rPr>
          <w:sz w:val="20"/>
        </w:rPr>
        <w:t>The most influential descriptor for each hazard class, ranked by mean absolute SHAP value, with the correlation r between descriptor value and SHAP value. A positive r means that higher values of the descriptor push the prediction towards the hazard. The complete ranking of twenty descriptors per class is in Supporting Information Table S4.</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line="240" w:lineRule="auto" w:after="0"/>
            </w:pPr>
            <w:r/>
            <w:r>
              <w:rPr>
                <w:b/>
                <w:sz w:val="18"/>
              </w:rPr>
              <w:t>Code</w:t>
            </w:r>
          </w:p>
        </w:tc>
        <w:tc>
          <w:tcPr>
            <w:tcW w:type="dxa" w:w="2268"/>
          </w:tcPr>
          <w:p>
            <w:pPr>
              <w:spacing w:line="240" w:lineRule="auto" w:after="0"/>
            </w:pPr>
            <w:r/>
            <w:r>
              <w:rPr>
                <w:b/>
                <w:sz w:val="18"/>
              </w:rPr>
              <w:t>Descriptor</w:t>
            </w:r>
          </w:p>
        </w:tc>
        <w:tc>
          <w:tcPr>
            <w:tcW w:type="dxa" w:w="2268"/>
          </w:tcPr>
          <w:p>
            <w:pPr>
              <w:spacing w:line="240" w:lineRule="auto" w:after="0"/>
            </w:pPr>
            <w:r/>
            <w:r>
              <w:rPr>
                <w:b/>
                <w:sz w:val="18"/>
              </w:rPr>
              <w:t>r</w:t>
            </w:r>
          </w:p>
        </w:tc>
        <w:tc>
          <w:tcPr>
            <w:tcW w:type="dxa" w:w="2268"/>
          </w:tcPr>
          <w:p>
            <w:pPr>
              <w:spacing w:line="240" w:lineRule="auto" w:after="0"/>
            </w:pPr>
            <w:r/>
            <w:r>
              <w:rPr>
                <w:b/>
                <w:sz w:val="18"/>
              </w:rPr>
              <w:t>Measures</w:t>
            </w:r>
          </w:p>
        </w:tc>
      </w:tr>
      <w:tr>
        <w:tc>
          <w:tcPr>
            <w:tcW w:type="dxa" w:w="2268"/>
          </w:tcPr>
          <w:p>
            <w:pPr>
              <w:spacing w:line="240" w:lineRule="auto" w:after="0"/>
            </w:pPr>
            <w:r/>
            <w:r>
              <w:rPr>
                <w:sz w:val="18"/>
              </w:rPr>
              <w:t>GHS01</w:t>
            </w:r>
          </w:p>
        </w:tc>
        <w:tc>
          <w:tcPr>
            <w:tcW w:type="dxa" w:w="2268"/>
          </w:tcPr>
          <w:p>
            <w:pPr>
              <w:spacing w:line="240" w:lineRule="auto" w:after="0"/>
            </w:pPr>
            <w:r/>
            <w:r>
              <w:rPr>
                <w:sz w:val="18"/>
              </w:rPr>
              <w:t>MACCS_70</w:t>
            </w:r>
          </w:p>
        </w:tc>
        <w:tc>
          <w:tcPr>
            <w:tcW w:type="dxa" w:w="2268"/>
          </w:tcPr>
          <w:p>
            <w:pPr>
              <w:spacing w:line="240" w:lineRule="auto" w:after="0"/>
            </w:pPr>
            <w:r/>
            <w:r>
              <w:rPr>
                <w:sz w:val="18"/>
              </w:rPr>
              <w:t>+0.834</w:t>
            </w:r>
          </w:p>
        </w:tc>
        <w:tc>
          <w:tcPr>
            <w:tcW w:type="dxa" w:w="2268"/>
          </w:tcPr>
          <w:p>
            <w:pPr>
              <w:spacing w:line="240" w:lineRule="auto" w:after="0"/>
            </w:pPr>
            <w:r/>
            <w:r>
              <w:rPr>
                <w:sz w:val="18"/>
              </w:rPr>
              <w:t>MACCS substructure key 70: matches SMARTS pattern [!#6;!#1]~[#7]~[!#6;!#1]</w:t>
            </w:r>
          </w:p>
        </w:tc>
      </w:tr>
      <w:tr>
        <w:tc>
          <w:tcPr>
            <w:tcW w:type="dxa" w:w="2268"/>
          </w:tcPr>
          <w:p>
            <w:pPr>
              <w:spacing w:line="240" w:lineRule="auto" w:after="0"/>
            </w:pPr>
            <w:r/>
            <w:r>
              <w:rPr>
                <w:sz w:val="18"/>
              </w:rPr>
              <w:t>GHS02</w:t>
            </w:r>
          </w:p>
        </w:tc>
        <w:tc>
          <w:tcPr>
            <w:tcW w:type="dxa" w:w="2268"/>
          </w:tcPr>
          <w:p>
            <w:pPr>
              <w:spacing w:line="240" w:lineRule="auto" w:after="0"/>
            </w:pPr>
            <w:r/>
            <w:r>
              <w:rPr>
                <w:sz w:val="18"/>
              </w:rPr>
              <w:t>BertzCT</w:t>
            </w:r>
          </w:p>
        </w:tc>
        <w:tc>
          <w:tcPr>
            <w:tcW w:type="dxa" w:w="2268"/>
          </w:tcPr>
          <w:p>
            <w:pPr>
              <w:spacing w:line="240" w:lineRule="auto" w:after="0"/>
            </w:pPr>
            <w:r/>
            <w:r>
              <w:rPr>
                <w:sz w:val="18"/>
              </w:rPr>
              <w:t>-0.493</w:t>
            </w:r>
          </w:p>
        </w:tc>
        <w:tc>
          <w:tcPr>
            <w:tcW w:type="dxa" w:w="2268"/>
          </w:tcPr>
          <w:p>
            <w:pPr>
              <w:spacing w:line="240" w:lineRule="auto" w:after="0"/>
            </w:pPr>
            <w:r/>
            <w:r>
              <w:rPr>
                <w:sz w:val="18"/>
              </w:rPr>
              <w:t>structural complexity</w:t>
            </w:r>
          </w:p>
        </w:tc>
      </w:tr>
      <w:tr>
        <w:tc>
          <w:tcPr>
            <w:tcW w:type="dxa" w:w="2268"/>
          </w:tcPr>
          <w:p>
            <w:pPr>
              <w:spacing w:line="240" w:lineRule="auto" w:after="0"/>
            </w:pPr>
            <w:r/>
            <w:r>
              <w:rPr>
                <w:sz w:val="18"/>
              </w:rPr>
              <w:t>GHS03</w:t>
            </w:r>
          </w:p>
        </w:tc>
        <w:tc>
          <w:tcPr>
            <w:tcW w:type="dxa" w:w="2268"/>
          </w:tcPr>
          <w:p>
            <w:pPr>
              <w:spacing w:line="240" w:lineRule="auto" w:after="0"/>
            </w:pPr>
            <w:r/>
            <w:r>
              <w:rPr>
                <w:sz w:val="18"/>
              </w:rPr>
              <w:t>Chi3n</w:t>
            </w:r>
          </w:p>
        </w:tc>
        <w:tc>
          <w:tcPr>
            <w:tcW w:type="dxa" w:w="2268"/>
          </w:tcPr>
          <w:p>
            <w:pPr>
              <w:spacing w:line="240" w:lineRule="auto" w:after="0"/>
            </w:pPr>
            <w:r/>
            <w:r>
              <w:rPr>
                <w:sz w:val="18"/>
              </w:rPr>
              <w:t>-0.157</w:t>
            </w:r>
          </w:p>
        </w:tc>
        <w:tc>
          <w:tcPr>
            <w:tcW w:type="dxa" w:w="2268"/>
          </w:tcPr>
          <w:p>
            <w:pPr>
              <w:spacing w:line="240" w:lineRule="auto" w:after="0"/>
            </w:pPr>
            <w:r/>
            <w:r>
              <w:rPr>
                <w:sz w:val="18"/>
              </w:rPr>
              <w:t>third-order connectivity index</w:t>
            </w:r>
          </w:p>
        </w:tc>
      </w:tr>
      <w:tr>
        <w:tc>
          <w:tcPr>
            <w:tcW w:type="dxa" w:w="2268"/>
          </w:tcPr>
          <w:p>
            <w:pPr>
              <w:spacing w:line="240" w:lineRule="auto" w:after="0"/>
            </w:pPr>
            <w:r/>
            <w:r>
              <w:rPr>
                <w:sz w:val="18"/>
              </w:rPr>
              <w:t>GHS04</w:t>
            </w:r>
          </w:p>
        </w:tc>
        <w:tc>
          <w:tcPr>
            <w:tcW w:type="dxa" w:w="2268"/>
          </w:tcPr>
          <w:p>
            <w:pPr>
              <w:spacing w:line="240" w:lineRule="auto" w:after="0"/>
            </w:pPr>
            <w:r/>
            <w:r>
              <w:rPr>
                <w:sz w:val="18"/>
              </w:rPr>
              <w:t>Kappa2</w:t>
            </w:r>
          </w:p>
        </w:tc>
        <w:tc>
          <w:tcPr>
            <w:tcW w:type="dxa" w:w="2268"/>
          </w:tcPr>
          <w:p>
            <w:pPr>
              <w:spacing w:line="240" w:lineRule="auto" w:after="0"/>
            </w:pPr>
            <w:r/>
            <w:r>
              <w:rPr>
                <w:sz w:val="18"/>
              </w:rPr>
              <w:t>-0.080</w:t>
            </w:r>
          </w:p>
        </w:tc>
        <w:tc>
          <w:tcPr>
            <w:tcW w:type="dxa" w:w="2268"/>
          </w:tcPr>
          <w:p>
            <w:pPr>
              <w:spacing w:line="240" w:lineRule="auto" w:after="0"/>
            </w:pPr>
            <w:r/>
            <w:r>
              <w:rPr>
                <w:sz w:val="18"/>
              </w:rPr>
              <w:t>second-order shape index - how linear or star-like the skeleton is</w:t>
            </w:r>
          </w:p>
        </w:tc>
      </w:tr>
      <w:tr>
        <w:tc>
          <w:tcPr>
            <w:tcW w:type="dxa" w:w="2268"/>
          </w:tcPr>
          <w:p>
            <w:pPr>
              <w:spacing w:line="240" w:lineRule="auto" w:after="0"/>
            </w:pPr>
            <w:r/>
            <w:r>
              <w:rPr>
                <w:sz w:val="18"/>
              </w:rPr>
              <w:t>GHS05</w:t>
            </w:r>
          </w:p>
        </w:tc>
        <w:tc>
          <w:tcPr>
            <w:tcW w:type="dxa" w:w="2268"/>
          </w:tcPr>
          <w:p>
            <w:pPr>
              <w:spacing w:line="240" w:lineRule="auto" w:after="0"/>
            </w:pPr>
            <w:r/>
            <w:r>
              <w:rPr>
                <w:sz w:val="18"/>
              </w:rPr>
              <w:t>BertzCT</w:t>
            </w:r>
          </w:p>
        </w:tc>
        <w:tc>
          <w:tcPr>
            <w:tcW w:type="dxa" w:w="2268"/>
          </w:tcPr>
          <w:p>
            <w:pPr>
              <w:spacing w:line="240" w:lineRule="auto" w:after="0"/>
            </w:pPr>
            <w:r/>
            <w:r>
              <w:rPr>
                <w:sz w:val="18"/>
              </w:rPr>
              <w:t>-0.610</w:t>
            </w:r>
          </w:p>
        </w:tc>
        <w:tc>
          <w:tcPr>
            <w:tcW w:type="dxa" w:w="2268"/>
          </w:tcPr>
          <w:p>
            <w:pPr>
              <w:spacing w:line="240" w:lineRule="auto" w:after="0"/>
            </w:pPr>
            <w:r/>
            <w:r>
              <w:rPr>
                <w:sz w:val="18"/>
              </w:rPr>
              <w:t>structural complexity</w:t>
            </w:r>
          </w:p>
        </w:tc>
      </w:tr>
      <w:tr>
        <w:tc>
          <w:tcPr>
            <w:tcW w:type="dxa" w:w="2268"/>
          </w:tcPr>
          <w:p>
            <w:pPr>
              <w:spacing w:line="240" w:lineRule="auto" w:after="0"/>
            </w:pPr>
            <w:r/>
            <w:r>
              <w:rPr>
                <w:sz w:val="18"/>
              </w:rPr>
              <w:t>GHS06</w:t>
            </w:r>
          </w:p>
        </w:tc>
        <w:tc>
          <w:tcPr>
            <w:tcW w:type="dxa" w:w="2268"/>
          </w:tcPr>
          <w:p>
            <w:pPr>
              <w:spacing w:line="240" w:lineRule="auto" w:after="0"/>
            </w:pPr>
            <w:r/>
            <w:r>
              <w:rPr>
                <w:sz w:val="18"/>
              </w:rPr>
              <w:t>ExactMolWt</w:t>
            </w:r>
          </w:p>
        </w:tc>
        <w:tc>
          <w:tcPr>
            <w:tcW w:type="dxa" w:w="2268"/>
          </w:tcPr>
          <w:p>
            <w:pPr>
              <w:spacing w:line="240" w:lineRule="auto" w:after="0"/>
            </w:pPr>
            <w:r/>
            <w:r>
              <w:rPr>
                <w:sz w:val="18"/>
              </w:rPr>
              <w:t>+0.547</w:t>
            </w:r>
          </w:p>
        </w:tc>
        <w:tc>
          <w:tcPr>
            <w:tcW w:type="dxa" w:w="2268"/>
          </w:tcPr>
          <w:p>
            <w:pPr>
              <w:spacing w:line="240" w:lineRule="auto" w:after="0"/>
            </w:pPr>
            <w:r/>
            <w:r>
              <w:rPr>
                <w:sz w:val="18"/>
              </w:rPr>
              <w:t>monoisotopic molecular mass</w:t>
            </w:r>
          </w:p>
        </w:tc>
      </w:tr>
      <w:tr>
        <w:tc>
          <w:tcPr>
            <w:tcW w:type="dxa" w:w="2268"/>
          </w:tcPr>
          <w:p>
            <w:pPr>
              <w:spacing w:line="240" w:lineRule="auto" w:after="0"/>
            </w:pPr>
            <w:r/>
            <w:r>
              <w:rPr>
                <w:sz w:val="18"/>
              </w:rPr>
              <w:t>GHS07</w:t>
            </w:r>
          </w:p>
        </w:tc>
        <w:tc>
          <w:tcPr>
            <w:tcW w:type="dxa" w:w="2268"/>
          </w:tcPr>
          <w:p>
            <w:pPr>
              <w:spacing w:line="240" w:lineRule="auto" w:after="0"/>
            </w:pPr>
            <w:r/>
            <w:r>
              <w:rPr>
                <w:sz w:val="18"/>
              </w:rPr>
              <w:t>Chi1</w:t>
            </w:r>
          </w:p>
        </w:tc>
        <w:tc>
          <w:tcPr>
            <w:tcW w:type="dxa" w:w="2268"/>
          </w:tcPr>
          <w:p>
            <w:pPr>
              <w:spacing w:line="240" w:lineRule="auto" w:after="0"/>
            </w:pPr>
            <w:r/>
            <w:r>
              <w:rPr>
                <w:sz w:val="18"/>
              </w:rPr>
              <w:t>-0.647</w:t>
            </w:r>
          </w:p>
        </w:tc>
        <w:tc>
          <w:tcPr>
            <w:tcW w:type="dxa" w:w="2268"/>
          </w:tcPr>
          <w:p>
            <w:pPr>
              <w:spacing w:line="240" w:lineRule="auto" w:after="0"/>
            </w:pPr>
            <w:r/>
            <w:r>
              <w:rPr>
                <w:sz w:val="18"/>
              </w:rPr>
              <w:t>first-order connectivity index - bond-level branching</w:t>
            </w:r>
          </w:p>
        </w:tc>
      </w:tr>
      <w:tr>
        <w:tc>
          <w:tcPr>
            <w:tcW w:type="dxa" w:w="2268"/>
          </w:tcPr>
          <w:p>
            <w:pPr>
              <w:spacing w:line="240" w:lineRule="auto" w:after="0"/>
            </w:pPr>
            <w:r/>
            <w:r>
              <w:rPr>
                <w:sz w:val="18"/>
              </w:rPr>
              <w:t>GHS08</w:t>
            </w:r>
          </w:p>
        </w:tc>
        <w:tc>
          <w:tcPr>
            <w:tcW w:type="dxa" w:w="2268"/>
          </w:tcPr>
          <w:p>
            <w:pPr>
              <w:spacing w:line="240" w:lineRule="auto" w:after="0"/>
            </w:pPr>
            <w:r/>
            <w:r>
              <w:rPr>
                <w:sz w:val="18"/>
              </w:rPr>
              <w:t>Chi4n</w:t>
            </w:r>
          </w:p>
        </w:tc>
        <w:tc>
          <w:tcPr>
            <w:tcW w:type="dxa" w:w="2268"/>
          </w:tcPr>
          <w:p>
            <w:pPr>
              <w:spacing w:line="240" w:lineRule="auto" w:after="0"/>
            </w:pPr>
            <w:r/>
            <w:r>
              <w:rPr>
                <w:sz w:val="18"/>
              </w:rPr>
              <w:t>+0.484</w:t>
            </w:r>
          </w:p>
        </w:tc>
        <w:tc>
          <w:tcPr>
            <w:tcW w:type="dxa" w:w="2268"/>
          </w:tcPr>
          <w:p>
            <w:pPr>
              <w:spacing w:line="240" w:lineRule="auto" w:after="0"/>
            </w:pPr>
            <w:r/>
            <w:r>
              <w:rPr>
                <w:sz w:val="18"/>
              </w:rPr>
              <w:t>fourth-order connectivity index</w:t>
            </w:r>
          </w:p>
        </w:tc>
      </w:tr>
      <w:tr>
        <w:tc>
          <w:tcPr>
            <w:tcW w:type="dxa" w:w="2268"/>
          </w:tcPr>
          <w:p>
            <w:pPr>
              <w:spacing w:line="240" w:lineRule="auto" w:after="0"/>
            </w:pPr>
            <w:r/>
            <w:r>
              <w:rPr>
                <w:sz w:val="18"/>
              </w:rPr>
              <w:t>GHS09</w:t>
            </w:r>
          </w:p>
        </w:tc>
        <w:tc>
          <w:tcPr>
            <w:tcW w:type="dxa" w:w="2268"/>
          </w:tcPr>
          <w:p>
            <w:pPr>
              <w:spacing w:line="240" w:lineRule="auto" w:after="0"/>
            </w:pPr>
            <w:r/>
            <w:r>
              <w:rPr>
                <w:sz w:val="18"/>
              </w:rPr>
              <w:t>MolLogP</w:t>
            </w:r>
          </w:p>
        </w:tc>
        <w:tc>
          <w:tcPr>
            <w:tcW w:type="dxa" w:w="2268"/>
          </w:tcPr>
          <w:p>
            <w:pPr>
              <w:spacing w:line="240" w:lineRule="auto" w:after="0"/>
            </w:pPr>
            <w:r/>
            <w:r>
              <w:rPr>
                <w:sz w:val="18"/>
              </w:rPr>
              <w:t>+0.450</w:t>
            </w:r>
          </w:p>
        </w:tc>
        <w:tc>
          <w:tcPr>
            <w:tcW w:type="dxa" w:w="2268"/>
          </w:tcPr>
          <w:p>
            <w:pPr>
              <w:spacing w:line="240" w:lineRule="auto" w:after="0"/>
            </w:pPr>
            <w:r/>
            <w:r>
              <w:rPr>
                <w:sz w:val="18"/>
              </w:rPr>
              <w:t>lipophilicity - how strongly the compound prefers oil to water</w:t>
            </w:r>
          </w:p>
        </w:tc>
      </w:tr>
    </w:tbl>
    <w:p>
      <w:pPr>
        <w:spacing w:after="120" w:line="240" w:lineRule="auto"/>
      </w:pPr>
    </w:p>
    <w:p>
      <w:r>
        <w:t>The explosive class is the most striking. Its leading descriptor is MACCS key 70, defined by the SMARTS pattern [!#6;!#1]~[#7]~[!#6;!#1] - a heteroatom bonded to nitrogen bonded to a further heteroatom - with a correlation of +0.834. That connectivity is the defining motif of nitro groups, nitrate esters, nitramines and azides, which is to say of the great majority of organic explosives. The model was given no information about energetic chemistry and recovered this substructure from the data alone.</w:t>
      </w:r>
    </w:p>
    <w:p>
      <w:r>
        <w:t>Other attributions are equally interpretable. Aquatic hazard is driven by lipophilicity (+0.450), consistent with bioaccumulation. Acute toxicity increases with molecular mass (+0.547). Flammability decreases with structural complexity (-0.493), reflecting that small simple molecules are the volatile ones.</w:t>
      </w:r>
    </w:p>
    <w:p>
      <w:r>
        <w:t>These are class-level, aggregate attributions. Figure 8 shows the same method applied to a single compound, as a worked example of the per-prediction explanation available for any structure a user submits.</w:t>
      </w:r>
    </w:p>
    <w:p>
      <w:pPr>
        <w:pStyle w:val="Heading2"/>
      </w:pPr>
      <w:r>
        <w:t>Malaysian industrial validation</w:t>
      </w:r>
    </w:p>
    <w:p>
      <w:r>
        <w:t>The framework was applied without retraining to chemicals from four Malaysian industrial sectors and to the substances implicated in the Johor 2019 incident, with the results in Table 4 and Figure 7.</w:t>
      </w:r>
    </w:p>
    <w:p>
      <w:pPr>
        <w:keepNext/>
        <w:spacing w:line="240" w:lineRule="auto" w:before="200" w:after="80"/>
      </w:pPr>
      <w:r>
        <w:rPr>
          <w:b/>
          <w:sz w:val="20"/>
        </w:rPr>
        <w:t xml:space="preserve">Table 4. </w:t>
      </w:r>
      <w:r>
        <w:rPr>
          <w:sz w:val="20"/>
        </w:rPr>
        <w:t>Performance by Malaysian industrial sector, applied without retraining. Label accuracy is the proportion of the nine binary labels predicted correctly; recall is the proportion of true hazard assignments recovered. n is the number of compounds in each sector.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Pr>
          <w:p>
            <w:pPr>
              <w:spacing w:line="240" w:lineRule="auto" w:after="0"/>
            </w:pPr>
            <w:r/>
            <w:r>
              <w:rPr>
                <w:b/>
                <w:sz w:val="18"/>
              </w:rPr>
              <w:t>Sector</w:t>
            </w:r>
          </w:p>
        </w:tc>
        <w:tc>
          <w:tcPr>
            <w:tcW w:type="dxa" w:w="2268"/>
          </w:tcPr>
          <w:p>
            <w:pPr>
              <w:spacing w:line="240" w:lineRule="auto" w:after="0"/>
            </w:pPr>
            <w:r/>
            <w:r>
              <w:rPr>
                <w:b/>
                <w:sz w:val="18"/>
              </w:rPr>
              <w:t>n</w:t>
            </w:r>
          </w:p>
        </w:tc>
        <w:tc>
          <w:tcPr>
            <w:tcW w:type="dxa" w:w="2268"/>
          </w:tcPr>
          <w:p>
            <w:pPr>
              <w:spacing w:line="240" w:lineRule="auto" w:after="0"/>
            </w:pPr>
            <w:r/>
            <w:r>
              <w:rPr>
                <w:b/>
                <w:sz w:val="18"/>
              </w:rPr>
              <w:t>Label acc.</w:t>
            </w:r>
          </w:p>
        </w:tc>
        <w:tc>
          <w:tcPr>
            <w:tcW w:type="dxa" w:w="2268"/>
          </w:tcPr>
          <w:p>
            <w:pPr>
              <w:spacing w:line="240" w:lineRule="auto" w:after="0"/>
            </w:pPr>
            <w:r/>
            <w:r>
              <w:rPr>
                <w:b/>
                <w:sz w:val="18"/>
              </w:rPr>
              <w:t>Recall</w:t>
            </w:r>
          </w:p>
        </w:tc>
      </w:tr>
      <w:tr>
        <w:tc>
          <w:tcPr>
            <w:tcW w:type="dxa" w:w="2268"/>
          </w:tcPr>
          <w:p>
            <w:pPr>
              <w:spacing w:line="240" w:lineRule="auto" w:after="0"/>
            </w:pPr>
            <w:r/>
            <w:r>
              <w:rPr>
                <w:sz w:val="18"/>
              </w:rPr>
              <w:t>Johor 2019 Emergency</w:t>
            </w:r>
          </w:p>
        </w:tc>
        <w:tc>
          <w:tcPr>
            <w:tcW w:type="dxa" w:w="2268"/>
          </w:tcPr>
          <w:p>
            <w:pPr>
              <w:spacing w:line="240" w:lineRule="auto" w:after="0"/>
            </w:pPr>
            <w:r/>
            <w:r>
              <w:rPr>
                <w:sz w:val="18"/>
              </w:rPr>
              <w:t>12</w:t>
            </w:r>
          </w:p>
        </w:tc>
        <w:tc>
          <w:tcPr>
            <w:tcW w:type="dxa" w:w="2268"/>
          </w:tcPr>
          <w:p>
            <w:pPr>
              <w:spacing w:line="240" w:lineRule="auto" w:after="0"/>
            </w:pPr>
            <w:r/>
            <w:r>
              <w:rPr>
                <w:sz w:val="18"/>
              </w:rPr>
              <w:t>0.907</w:t>
            </w:r>
          </w:p>
        </w:tc>
        <w:tc>
          <w:tcPr>
            <w:tcW w:type="dxa" w:w="2268"/>
          </w:tcPr>
          <w:p>
            <w:pPr>
              <w:spacing w:line="240" w:lineRule="auto" w:after="0"/>
            </w:pPr>
            <w:r/>
            <w:r>
              <w:rPr>
                <w:sz w:val="18"/>
              </w:rPr>
              <w:t>0.836</w:t>
            </w:r>
          </w:p>
        </w:tc>
      </w:tr>
      <w:tr>
        <w:tc>
          <w:tcPr>
            <w:tcW w:type="dxa" w:w="2268"/>
          </w:tcPr>
          <w:p>
            <w:pPr>
              <w:spacing w:line="240" w:lineRule="auto" w:after="0"/>
            </w:pPr>
            <w:r/>
            <w:r>
              <w:rPr>
                <w:sz w:val="18"/>
              </w:rPr>
              <w:t>Palm Oil Processing</w:t>
            </w:r>
          </w:p>
        </w:tc>
        <w:tc>
          <w:tcPr>
            <w:tcW w:type="dxa" w:w="2268"/>
          </w:tcPr>
          <w:p>
            <w:pPr>
              <w:spacing w:line="240" w:lineRule="auto" w:after="0"/>
            </w:pPr>
            <w:r/>
            <w:r>
              <w:rPr>
                <w:sz w:val="18"/>
              </w:rPr>
              <w:t>7</w:t>
            </w:r>
          </w:p>
        </w:tc>
        <w:tc>
          <w:tcPr>
            <w:tcW w:type="dxa" w:w="2268"/>
          </w:tcPr>
          <w:p>
            <w:pPr>
              <w:spacing w:line="240" w:lineRule="auto" w:after="0"/>
            </w:pPr>
            <w:r/>
            <w:r>
              <w:rPr>
                <w:sz w:val="18"/>
              </w:rPr>
              <w:t>0.905</w:t>
            </w:r>
          </w:p>
        </w:tc>
        <w:tc>
          <w:tcPr>
            <w:tcW w:type="dxa" w:w="2268"/>
          </w:tcPr>
          <w:p>
            <w:pPr>
              <w:spacing w:line="240" w:lineRule="auto" w:after="0"/>
            </w:pPr>
            <w:r/>
            <w:r>
              <w:rPr>
                <w:sz w:val="18"/>
              </w:rPr>
              <w:t>0.900</w:t>
            </w:r>
          </w:p>
        </w:tc>
      </w:tr>
      <w:tr>
        <w:tc>
          <w:tcPr>
            <w:tcW w:type="dxa" w:w="2268"/>
          </w:tcPr>
          <w:p>
            <w:pPr>
              <w:spacing w:line="240" w:lineRule="auto" w:after="0"/>
            </w:pPr>
            <w:r/>
            <w:r>
              <w:rPr>
                <w:sz w:val="18"/>
              </w:rPr>
              <w:t>Petrochemicals</w:t>
            </w:r>
          </w:p>
        </w:tc>
        <w:tc>
          <w:tcPr>
            <w:tcW w:type="dxa" w:w="2268"/>
          </w:tcPr>
          <w:p>
            <w:pPr>
              <w:spacing w:line="240" w:lineRule="auto" w:after="0"/>
            </w:pPr>
            <w:r/>
            <w:r>
              <w:rPr>
                <w:sz w:val="18"/>
              </w:rPr>
              <w:t>9</w:t>
            </w:r>
          </w:p>
        </w:tc>
        <w:tc>
          <w:tcPr>
            <w:tcW w:type="dxa" w:w="2268"/>
          </w:tcPr>
          <w:p>
            <w:pPr>
              <w:spacing w:line="240" w:lineRule="auto" w:after="0"/>
            </w:pPr>
            <w:r/>
            <w:r>
              <w:rPr>
                <w:sz w:val="18"/>
              </w:rPr>
              <w:t>0.876</w:t>
            </w:r>
          </w:p>
        </w:tc>
        <w:tc>
          <w:tcPr>
            <w:tcW w:type="dxa" w:w="2268"/>
          </w:tcPr>
          <w:p>
            <w:pPr>
              <w:spacing w:line="240" w:lineRule="auto" w:after="0"/>
            </w:pPr>
            <w:r/>
            <w:r>
              <w:rPr>
                <w:sz w:val="18"/>
              </w:rPr>
              <w:t>0.839</w:t>
            </w:r>
          </w:p>
        </w:tc>
      </w:tr>
      <w:tr>
        <w:tc>
          <w:tcPr>
            <w:tcW w:type="dxa" w:w="2268"/>
          </w:tcPr>
          <w:p>
            <w:pPr>
              <w:spacing w:line="240" w:lineRule="auto" w:after="0"/>
            </w:pPr>
            <w:r/>
            <w:r>
              <w:rPr>
                <w:sz w:val="18"/>
              </w:rPr>
              <w:t>Rubber Processing</w:t>
            </w:r>
          </w:p>
        </w:tc>
        <w:tc>
          <w:tcPr>
            <w:tcW w:type="dxa" w:w="2268"/>
          </w:tcPr>
          <w:p>
            <w:pPr>
              <w:spacing w:line="240" w:lineRule="auto" w:after="0"/>
            </w:pPr>
            <w:r/>
            <w:r>
              <w:rPr>
                <w:sz w:val="18"/>
              </w:rPr>
              <w:t>7</w:t>
            </w:r>
          </w:p>
        </w:tc>
        <w:tc>
          <w:tcPr>
            <w:tcW w:type="dxa" w:w="2268"/>
          </w:tcPr>
          <w:p>
            <w:pPr>
              <w:spacing w:line="240" w:lineRule="auto" w:after="0"/>
            </w:pPr>
            <w:r/>
            <w:r>
              <w:rPr>
                <w:sz w:val="18"/>
              </w:rPr>
              <w:t>0.762</w:t>
            </w:r>
          </w:p>
        </w:tc>
        <w:tc>
          <w:tcPr>
            <w:tcW w:type="dxa" w:w="2268"/>
          </w:tcPr>
          <w:p>
            <w:pPr>
              <w:spacing w:line="240" w:lineRule="auto" w:after="0"/>
            </w:pPr>
            <w:r/>
            <w:r>
              <w:rPr>
                <w:sz w:val="18"/>
              </w:rPr>
              <w:t>0.708</w:t>
            </w:r>
          </w:p>
        </w:tc>
      </w:tr>
      <w:tr>
        <w:tc>
          <w:tcPr>
            <w:tcW w:type="dxa" w:w="2268"/>
          </w:tcPr>
          <w:p>
            <w:pPr>
              <w:spacing w:line="240" w:lineRule="auto" w:after="0"/>
            </w:pPr>
            <w:r/>
            <w:r>
              <w:rPr>
                <w:sz w:val="18"/>
              </w:rPr>
              <w:t>Semiconductor (Penang)</w:t>
            </w:r>
          </w:p>
        </w:tc>
        <w:tc>
          <w:tcPr>
            <w:tcW w:type="dxa" w:w="2268"/>
          </w:tcPr>
          <w:p>
            <w:pPr>
              <w:spacing w:line="240" w:lineRule="auto" w:after="0"/>
            </w:pPr>
            <w:r/>
            <w:r>
              <w:rPr>
                <w:sz w:val="18"/>
              </w:rPr>
              <w:t>8</w:t>
            </w:r>
          </w:p>
        </w:tc>
        <w:tc>
          <w:tcPr>
            <w:tcW w:type="dxa" w:w="2268"/>
          </w:tcPr>
          <w:p>
            <w:pPr>
              <w:spacing w:line="240" w:lineRule="auto" w:after="0"/>
            </w:pPr>
            <w:r/>
            <w:r>
              <w:rPr>
                <w:sz w:val="18"/>
              </w:rPr>
              <w:t>0.736</w:t>
            </w:r>
          </w:p>
        </w:tc>
        <w:tc>
          <w:tcPr>
            <w:tcW w:type="dxa" w:w="2268"/>
          </w:tcPr>
          <w:p>
            <w:pPr>
              <w:spacing w:line="240" w:lineRule="auto" w:after="0"/>
            </w:pPr>
            <w:r/>
            <w:r>
              <w:rPr>
                <w:sz w:val="18"/>
              </w:rPr>
              <w:t>0.658</w:t>
            </w:r>
          </w:p>
        </w:tc>
      </w:tr>
    </w:tbl>
    <w:p>
      <w:pPr>
        <w:spacing w:after="120" w:line="240" w:lineRule="auto"/>
      </w:pPr>
    </w:p>
    <w:p>
      <w:r>
        <w:t>Performance is highest for the palm oil, petrochemical and incident chemicals, and lowest for rubber processing and semiconductor manufacturing. Those two sectors are dominated by inorganic and elemental species - sulfur, zinc oxide, carbon black, hydrofluoric acid, phosphine, arsine - which lie outside the applicability domain of descriptors designed for covalent organic molecules.</w:t>
      </w:r>
    </w:p>
    <w:p>
      <w:r>
        <w:t>For the Johor 2019 chemicals specifically, the framework recovered 46 of 55 true hazard labels across twelve compounds, and flagged the flammable pictogram for all twelve. A screening tool producing that profile from structures alone would have supported an early decision to treat the discharge as an acute inhalation hazard.</w:t>
      </w:r>
    </w:p>
    <w:p>
      <w:pPr>
        <w:pStyle w:val="Heading1"/>
      </w:pPr>
      <w:r>
        <w:t>4. DISCUSSION</w:t>
      </w:r>
    </w:p>
    <w:p>
      <w:pPr>
        <w:pStyle w:val="Heading2"/>
      </w:pPr>
      <w:r>
        <w:t>Ranking ability and decision quality are not the same thing</w:t>
      </w:r>
    </w:p>
    <w:p>
      <w:r>
        <w:t>The most important result in this work is a disagreement between two metrics. The explosive class achieves an AUC-ROC of 0.9859, which would ordinarily be described as near-perfect discrimination, yet its Matthews correlation coefficient at the calibrated decision threshold is only 0.2355. Both numbers are correct, and the gap between them is the practical finding.</w:t>
      </w:r>
    </w:p>
    <w:p>
      <w:r>
        <w:t>AUC-ROC measures ranking: given one explosive and one non-explosive compound, how often does the model score the explosive higher? By that measure the model is excellent. The Matthews correlation coefficient measures the quality of the actual yes-or-no decision, and it is sensitive to prevalence. The test partition contains 18 explosives among 24,352 compounds. At that prevalence, any threshold permissive enough to catch most explosives also admits many times their number in false positives.</w:t>
      </w:r>
    </w:p>
    <w:p>
      <w:r>
        <w:t>This has a direct consequence for deployment. A model with these characteristics is well suited to prioritising which chemicals to test first, because ranking is what prioritisation requires. It is not suited to issuing an unsupervised yes-or-no verdict on whether a novel compound is explosive. Papers that report AUC alone for rare-class problems obscure this distinction, and we would encourage the routine reporting of a prevalence-sensitive metric alongside it.</w:t>
      </w:r>
    </w:p>
    <w:p>
      <w:pPr>
        <w:pStyle w:val="Heading2"/>
      </w:pPr>
      <w:r>
        <w:t>The splitting algorithm can silently determine the result</w:t>
      </w:r>
    </w:p>
    <w:p>
      <w:r>
        <w:t>Scaffold splitting is widely recommended, but how scaffold groups are allocated to partitions receives little attention. Two allocation strategies were tried here before a third succeeded, and both failures passed every check that is normally applied. Overall partition sizes were correct, no scaffold appeared in two partitions, and every class had positive examples everywhere. Only a per- class audit of training share revealed that 70 per cent of compressed gases and 61 per cent of oxidisers had been diverted away from the training partition.</w:t>
      </w:r>
    </w:p>
    <w:p>
      <w:r>
        <w:t>The mechanism is general rather than particular to this dataset. Groups are processed in descending size order so that large groups can be placed while room remains; single-compound groups are therefore allocated last, when the training quota is already close to full. Any chemical property that correlates with belonging to a small scaffold group will be systematically under- represented in training. Here that property was being a small acyclic molecule, which describes most compressed gases and many oxidisers. We would expect the same effect wherever rare classes are structurally atypical, and we recommend that per-class training share be reported as a routine diagnostic.</w:t>
      </w:r>
    </w:p>
    <w:p>
      <w:pPr>
        <w:pStyle w:val="Heading2"/>
      </w:pPr>
      <w:r>
        <w:t>Dataset size, and the hazard of learning curves on subsamples</w:t>
      </w:r>
    </w:p>
    <w:p>
      <w:r>
        <w:t>The controlled experiment showed that training on the full dataset improves mean AUC-ROC by more than four times the confidence interval, with every class benefiting. That result is unsurprising in itself. What is instructive is that a learning curve computed within a 40,000-compound subsample had suggested the opposite, appearing to saturate.</w:t>
      </w:r>
    </w:p>
    <w:p>
      <w:r>
        <w:t>The explanation is that the subsample had been constructed to retain every positive example of the rare classes, a reasonable decision when working under a memory constraint. Those classes consequently could not improve with additional data, and their flat curves dominated the aggregate. A learning curve is only informative about the full dataset if the subsample it is computed on is representative of that dataset; where a subsample has been deliberately enriched, the curve measures the enrichment rather than the underlying scaling behaviour.</w:t>
      </w:r>
    </w:p>
    <w:p>
      <w:pPr>
        <w:pStyle w:val="Heading2"/>
      </w:pPr>
      <w:r>
        <w:t>What the model learned</w:t>
      </w:r>
    </w:p>
    <w:p>
      <w:r>
        <w:t>The SHAP attributions are consistent with established chemistry to a degree that is reassuring rather than merely decorative. The recovery of the heteroatom-nitrogen-heteroatom motif as the dominant explosive predictor is the clearest example: this is the connectivity shared by nitro compounds, nitrate esters, nitramines and azides, and it was identified without any prior information about energetic materials. Similarly, aquatic hazard is driven by lipophilicity, consistent with bioaccumulation, and flammability by low structural complexity, consistent with volatility.</w:t>
      </w:r>
    </w:p>
    <w:p>
      <w:r>
        <w:t>This matters for regulatory acceptance. A model whose stated reasons align with known structure-hazard relationships can be audited by a chemist, and its failures can be diagnosed. The per-compound waterfall explanations provided by the deployed interface allow a safety officer to see precisely which structural features drove a particular prediction, and to reject it if the reasoning is chemically implausible.</w:t>
      </w:r>
    </w:p>
    <w:p>
      <w:pPr>
        <w:pStyle w:val="Heading2"/>
      </w:pPr>
      <w:r>
        <w:t>Limitations</w:t>
      </w:r>
    </w:p>
    <w:p>
      <w:r>
        <w:t>The support vector machine results are not directly comparable with the other two algorithms. An RBF kernel matrix scales with the square of the training set size, requiring approximately 300 GB at full scale, so the support vector machine was trained on 100 features and 8,000 compounds rather than the full 816 and 194,619. This is a property of the algorithm, not of the hardware, and no increase in memory would resolve it; a linear kernel or a Nystroem approximation would be required.</w:t>
      </w:r>
    </w:p>
    <w:p>
      <w:r>
        <w:t>Inorganic, organometallic and elemental species lie outside the applicability domain. The descriptors used here characterise covalent organic structures, and the two Malaysian sectors dominated by such species - rubber processing and semiconductor manufacturing - show markedly lower recall. Predictions for mineral acids, metal oxides and coordination compounds should be treated with corresponding caution.</w:t>
      </w:r>
    </w:p>
    <w:p>
      <w:r>
        <w:t>A second and sharper domain limit is molecular size. The median training compound has 14 heavy atoms and only 1.1 per cent have fewer than 6, so the model has seen very little of the small-molecule regime. What it has learned about that regime is real but over-applied: small molecules genuinely are more hazardous on average, and the model treats small size as near-proof of hazard. On the 260 test compounds with fewer than 6 heavy atoms, GHS06 is assigned to 84 per cent of such compounds when 27 per cent carry it; GHS08 is assigned to 80 per cent of such compounds when 33 per cent carry it. The failure is easiest to see in a compound that is small and harmless: water is returned as corrosive, acutely toxic and a serious health hazard, and carries none of those pictograms. The accompanying application therefore marks any compound below 6 heavy atoms as outside the domain, in the interface, the command-line tool and the exported report, before any profile is shown. The profile is still produced rather than withheld, because the failure is over-prediction and suppressing a genuine hazard would be the worse error - butane's flammable and compressed-gas classes are correctly identified - but it is presented without the appearance of confidence. Within the domain the same classes are well calibrated, which is why this does not show in the aggregate metrics.</w:t>
      </w:r>
    </w:p>
    <w:p>
      <w:r>
        <w:t>The environmental class performed poorly on the Malaysian validation set, recovering only 0.16 of true labels despite an AUC of 0.897 on the global test set. The Malaysian set contains many industrial commodity chemicals whose aquatic classification depends on data the model cannot infer from structure.</w:t>
      </w:r>
    </w:p>
    <w:p>
      <w:r>
        <w:t>Exact agreement across all nine classes simultaneously was achieved for only about a fifth of recognisable multi-label test compounds. Per-class performance is considerably better than that figure suggests, but users should understand that the framework identifies individual hazards well and complete hazard profiles less reliably.</w:t>
      </w:r>
    </w:p>
    <w:p>
      <w:r>
        <w:t>Finally, the labels are regulatory classifications rather than experimental measurements. They reflect what regulatory bodies have recorded, including their own inconsistencies - which is why multi-source majority voting was necessary, and why 2,307 compounds required tie-breaking. The model can be no more accurate than the classifications it was trained on.</w:t>
      </w:r>
    </w:p>
    <w:p>
      <w:pPr>
        <w:pStyle w:val="Heading1"/>
      </w:pPr>
      <w:r>
        <w:t>5. CONCLUSIONS</w:t>
      </w:r>
    </w:p>
    <w:p>
      <w:r>
        <w:t>A multi-label machine learning framework was developed to predict all nine GHS hazard pictograms from molecular structure, trained on 243,323 compounds whose classifications were reconciled across five regulatory sources. Evaluated on a Bemis-Murcko scaffold split that guarantees no shared chemical skeleton between training and test data, gradient boosting achieved a mean AUC-ROC of 0.915 across the nine classes, ranging from 0.830 for the irritant class to 0.995 for compressed gases.</w:t>
      </w:r>
    </w:p>
    <w:p>
      <w:r>
        <w:t>SHAP analysis showed that the model recovered established structure-hazard relationships, most notably identifying the heteroatom-nitrogen-heteroatom connectivity of nitro, nitrate, nitramine and azide groups as the dominant predictor of explosivity without any prior chemical input. Applied without retraining to chemicals from four Malaysian industrial sectors and to the substances implicated in the 2019 Sungai Kim Kim incident, the framework recovered the majority of true hazard labels.</w:t>
      </w:r>
    </w:p>
    <w:p>
      <w:r>
        <w:t>Two methodological findings extend beyond this application. Scaffold group allocation can systematically deprive rare classes of training data while passing every conventional validity check, and per-class training share should therefore be audited routinely. Learning curves computed on deliberately enriched subsamples can indicate saturation that a controlled experiment disproves.</w:t>
      </w:r>
    </w:p>
    <w:p>
      <w:r>
        <w:t>The framework is released as open-source software with a browser-based screening interface. It is intended for prioritising which chemicals warrant laboratory assessment, and does not replace testing or regulatory classification under Malaysia's CLASS Regulations 2013.</w:t>
      </w:r>
    </w:p>
    <w:p>
      <w:pPr>
        <w:pStyle w:val="Heading1"/>
      </w:pPr>
      <w:r>
        <w:t>AUTHOR CONTRIBUTIONS (CRediT taxonomy)</w:t>
      </w:r>
    </w:p>
    <w:p>
      <w:r>
        <w:t>Sareer Ahmad: Conceptualization; Data curation; Formal analysis; Investigation; Methodology; Project administration; Resources; Software; Validation; Visualization; Writing - original draft; Writing - review and editing.</w:t>
      </w:r>
    </w:p>
    <w:p>
      <w:r>
        <w:t>Funding acquisition is not listed, as the work was unfunded; nor is Supervision, which has no meaning in a single-author submission.</w:t>
      </w:r>
    </w:p>
    <w:p>
      <w:r>
        <w:t>This is a single-author submission; the sole author carried out every role listed above.</w:t>
      </w:r>
    </w:p>
    <w:p>
      <w:pPr>
        <w:pStyle w:val="Heading1"/>
      </w:pPr>
      <w:r>
        <w:t>DATA AVAILABILITY STATEMENT</w:t>
      </w:r>
    </w:p>
    <w:p>
      <w:r>
        <w:t>The curated multi-label GHS dataset, the computed descriptor matrix, the scaffold split indices and all trained model files are openly available from Zenodo at https://doi.org/10.5281/zenodo.21876611, released under a Creative Commons Attribution 4.0 International licence.</w:t>
      </w:r>
    </w:p>
    <w:p>
      <w:r>
        <w:t>The underlying classifications are derived from the PubChem database (https://pubchem.ncbi.nlm.nih.gov), which is in the public domain. They originate with the European Chemicals Agency, Regulation (EC) No 1272/2008, the Hazardous Substances Data Bank, NITE-CMC and the Hazardous Chemical Information System of Safe Work Australia, and remain subject to those bodies' terms of use.</w:t>
      </w:r>
    </w:p>
    <w:p>
      <w:r>
        <w:t>Approximately 8 GB of intermediate descriptor arrays are not deposited, as they are reproduced exactly by re-running the analysis pipeline.</w:t>
      </w:r>
    </w:p>
    <w:p>
      <w:pPr>
        <w:pStyle w:val="Heading1"/>
      </w:pPr>
      <w:r>
        <w:t>CODE AVAILABILITY STATEMENT</w:t>
      </w:r>
    </w:p>
    <w:p>
      <w:r>
        <w:t>All analysis code is provided in the project repository as documented Python scripts, one per methodological step, together with the exact environment specification required to reproduce the results. A single random seed of 42 is applied throughout.</w:t>
      </w:r>
    </w:p>
    <w:p>
      <w:r>
        <w:t>The prediction framework is distributed as source code in two forms: a Streamlit application providing a browser-based interface, and a command-line tool. The trained gradient-boosting models are included in the repository, so both run locally after installing the pinned environment.</w:t>
      </w:r>
    </w:p>
    <w:p>
      <w:r>
        <w:t>A hosted instance of the application is additionally available, without registration, at</w:t>
      </w:r>
    </w:p>
    <w:p>
      <w:pPr>
        <w:ind w:left="567"/>
      </w:pPr>
      <w:r>
        <w:t>https://ghs-hazard-classification.streamlit.app</w:t>
      </w:r>
    </w:p>
    <w:p>
      <w:r>
        <w:t>It accepts a chemical name, CAS number, PubChem CID or SMILES string, returns the predicted profile across all nine hazard classes with calibrated confidences, shows the SHAP attribution behind each prediction, and exports a PDF report. The hosted instance runs the same model file that produced the results reported here. Note that structures submitted to it are transmitted to the hosting provider; users evaluating proprietary or unpublished structures should run the application locally, in which case no data leaves their machine.</w:t>
      </w:r>
    </w:p>
    <w:p>
      <w:r>
        <w:t>The analysis code is archived at Zenodo and developed at https://github.com/sareer555/ghs-hazard-classification under the MIT licence. Release v1.0.2, https://doi.org/10.5281/zenodo.21903565, is the version to cite; https://doi.org/10.5281/zenodo.21876531 resolves to the most recent version whichever that is.</w:t>
      </w:r>
    </w:p>
    <w:p>
      <w:r>
        <w:t>Every result reported here was produced by release v1.0.0, and v1.0.2 reproduces all of them identically: no numbered step of the analysis pipeline differs between them. The later release is cited in preference because it corrects the workflow figure, which had stated that synthetic minority oversampling was applied when the imbalance report records that it was not, and because it adds the applicability-domain check described under Limitations, without which the accompanying application reports small molecules as hazardous with no indication that they lie outside the training chemistry.</w:t>
      </w:r>
    </w:p>
    <w:p>
      <w:pPr>
        <w:pStyle w:val="Heading1"/>
      </w:pPr>
      <w:r>
        <w:t>DECLARATION OF COMPETING INTEREST</w:t>
      </w:r>
    </w:p>
    <w:p>
      <w:r>
        <w:t>The author declares no competing financial or non-financial interests.</w:t>
      </w:r>
    </w:p>
    <w:p>
      <w:r>
        <w:t>The views expressed in this article are those of the author and do not necessarily reflect the official position of the Federal Directorate of Education or the Government of Pakistan. This research was conducted in the author's personal capacity, without departmental funding or resources.</w:t>
      </w:r>
    </w:p>
    <w:p>
      <w:pPr>
        <w:pStyle w:val="Heading1"/>
      </w:pPr>
      <w:r>
        <w:t>ETHICAL STATEMENT</w:t>
      </w:r>
    </w:p>
    <w:p>
      <w:r>
        <w:t>This research involved no human participants, no animal subjects and no personally identifiable data. It is a computational study based entirely on publicly available chemical classification records. No ethical approval was required.</w:t>
      </w:r>
    </w:p>
    <w:p>
      <w:pPr>
        <w:pStyle w:val="Heading1"/>
      </w:pPr>
      <w:r>
        <w:t>FUNDING</w:t>
      </w:r>
    </w:p>
    <w:p>
      <w:r>
        <w:t>This research did not receive any specific grant from funding agencies in the public, commercial, or not-for-profit sectors. The work was carried out by the author independently, using personal computing resources.</w:t>
      </w:r>
    </w:p>
    <w:p>
      <w:pPr>
        <w:pStyle w:val="Heading1"/>
      </w:pPr>
      <w:r>
        <w:t>Declaration of generative AI and AI-assisted technologies in the manuscript preparation process</w:t>
      </w:r>
    </w:p>
    <w:p>
      <w:r>
        <w:t>During the preparation of this work the author used Claude (Anthropic) in order to assist with software implementation, code review, data analysis and the drafting of the manuscript. After using this tool, the author reviewed and edited the content as needed and takes full responsibility for the content of the published article.</w:t>
      </w:r>
    </w:p>
    <w:p>
      <w:r>
        <w:t>No artificial intelligence tool is listed as an author. Authorship requires accountability for the work, including the ability to approve the final version and to respond to questions about its accuracy and integrity, and an AI system cannot hold that accountability.</w:t>
      </w:r>
    </w:p>
    <w:p>
      <w:pPr>
        <w:pStyle w:val="Heading1"/>
      </w:pPr>
      <w:r>
        <w:t>REFERENCES (ACS style)</w:t>
      </w:r>
    </w:p>
    <w:p>
      <w:pPr>
        <w:pStyle w:val="Heading2"/>
      </w:pPr>
      <w:r>
        <w:t>COMPUTATIONAL CHEMISTRY AND CHEMINFORMATICS</w:t>
      </w:r>
    </w:p>
    <w:p>
      <w:pPr>
        <w:spacing w:line="240" w:lineRule="auto" w:after="120"/>
        <w:ind w:left="567" w:hanging="567"/>
      </w:pPr>
      <w:r>
        <w:t>(1) Landrum, G. RDKit: Open-Source Cheminformatics Software, 2006. https://www.rdkit.org (accessed 2026-08-05).</w:t>
      </w:r>
    </w:p>
    <w:p>
      <w:pPr>
        <w:spacing w:line="240" w:lineRule="auto" w:after="120"/>
        <w:ind w:left="567" w:hanging="567"/>
      </w:pPr>
      <w:r>
        <w:t>(2) Weininger, D. SMILES, a Chemical Language and Information System. 1. Introduction to Methodology and Encoding Rules. J. Chem. Inf. Comput. Sci. 1988, 28 (1), 31-36. DOI: 10.1021/ci00057a005.</w:t>
      </w:r>
    </w:p>
    <w:p>
      <w:pPr>
        <w:spacing w:line="240" w:lineRule="auto" w:after="120"/>
        <w:ind w:left="567" w:hanging="567"/>
      </w:pPr>
      <w:r>
        <w:t>(3) Kim, S.; Chen, J.; Cheng, T.; Gindulyte, A.; He, J.; He, S.; Li, Q.; Shoemaker, B. A.; Thiessen, P. A.; Yu, B.; et al. PubChem in 2021: New Data Content and Improved Web Interfaces. Nucleic Acids Res. 2021, 49 (D1), D1388-D1395. DOI: 10.1093/nar/gkaa971.</w:t>
      </w:r>
    </w:p>
    <w:p>
      <w:pPr>
        <w:spacing w:line="240" w:lineRule="auto" w:after="120"/>
        <w:ind w:left="567" w:hanging="567"/>
      </w:pPr>
      <w:r>
        <w:t>(4) Bemis, G. W.; Murcko, M. A. The Properties of Known Drugs. 1. Molecular Frameworks. J. Med. Chem. 1996, 39 (15), 2887-2893. DOI: 10.1021/jm9602928.</w:t>
      </w:r>
    </w:p>
    <w:p>
      <w:pPr>
        <w:pStyle w:val="Heading2"/>
      </w:pPr>
      <w:r>
        <w:t>MACHINE LEARNING ALGORITHMS</w:t>
      </w:r>
    </w:p>
    <w:p>
      <w:pPr>
        <w:spacing w:line="240" w:lineRule="auto" w:after="120"/>
        <w:ind w:left="567" w:hanging="567"/>
      </w:pPr>
      <w:r>
        <w:t>(5) Breiman, L. Random Forests. Mach. Learn. 2001, 45 (1), 5-32. DOI: 10.1023/A:1010933404324.</w:t>
      </w:r>
    </w:p>
    <w:p>
      <w:pPr>
        <w:spacing w:line="240" w:lineRule="auto" w:after="120"/>
        <w:ind w:left="567" w:hanging="567"/>
      </w:pPr>
      <w:r>
        <w:t>(6) Chen, T.; Guestrin, C. XGBoost: A Scalable Tree Boosting System. In Proceedings of the 22nd ACM SIGKDD International Conference on Knowledge Discovery and Data Mining; ACM: New York, 2016; pp 785-794. DOI: 10.1145/2939672.2939785.</w:t>
      </w:r>
    </w:p>
    <w:p>
      <w:pPr>
        <w:spacing w:line="240" w:lineRule="auto" w:after="120"/>
        <w:ind w:left="567" w:hanging="567"/>
      </w:pPr>
      <w:r>
        <w:t>(7) Cortes, C.; Vapnik, V. Support-Vector Networks. Mach. Learn. 1995, 20 (3), 273-297. DOI: 10.1023/A:1022627411411.</w:t>
      </w:r>
    </w:p>
    <w:p>
      <w:pPr>
        <w:spacing w:line="240" w:lineRule="auto" w:after="120"/>
        <w:ind w:left="567" w:hanging="567"/>
      </w:pPr>
      <w:r>
        <w:t>(8) Pedregosa, F.; Varoquaux, G.; Gramfort, A.; Michel, V.; Thirion, B.; Grisel, O.; Blondel, M.; Prettenhofer, P.; Weiss, R.; Dubourg, V.; et al. Scikit-Learn: Machine Learning in Python. J. Mach. Learn. Res. 2011, 12, 2825-2830.</w:t>
      </w:r>
    </w:p>
    <w:p>
      <w:pPr>
        <w:pStyle w:val="Heading2"/>
      </w:pPr>
      <w:r>
        <w:t>CLASS IMBALANCE HANDLING</w:t>
      </w:r>
    </w:p>
    <w:p>
      <w:pPr>
        <w:spacing w:line="240" w:lineRule="auto" w:after="120"/>
        <w:ind w:left="567" w:hanging="567"/>
      </w:pPr>
      <w:r>
        <w:t>(9) Chawla, N. V.; Bowyer, K. W.; Hall, L. O.; Kegelmeyer, W. P. SMOTE: Synthetic Minority Over-Sampling Technique. J. Artif. Intell. Res. 2002, 16, 321-357. DOI: 10.1613/jair.953.</w:t>
      </w:r>
    </w:p>
    <w:p>
      <w:pPr>
        <w:spacing w:line="240" w:lineRule="auto" w:after="120"/>
        <w:ind w:left="567" w:hanging="567"/>
      </w:pPr>
      <w:r>
        <w:t>(10) Lemaitre, G.; Nogueira, F.; Aridas, C. K. Imbalanced-Learn: A Python Toolbox to Tackle the Curse of Imbalanced Datasets in Machine Learning. J. Mach. Learn. Res. 2017, 18 (17), 1-5.</w:t>
      </w:r>
    </w:p>
    <w:p>
      <w:pPr>
        <w:pStyle w:val="Heading2"/>
      </w:pPr>
      <w:r>
        <w:t>SHAP INTERPRETABILITY</w:t>
      </w:r>
    </w:p>
    <w:p>
      <w:pPr>
        <w:spacing w:line="240" w:lineRule="auto" w:after="120"/>
        <w:ind w:left="567" w:hanging="567"/>
      </w:pPr>
      <w:r>
        <w:t>(11) Lundberg, S. M.; Lee, S.-I. A Unified Approach to Interpreting Model Predictions. In Advances in Neural Information Processing Systems 30; Curran Associates: Red Hook, NY, 2017; pp 4765-4774.</w:t>
      </w:r>
    </w:p>
    <w:p>
      <w:pPr>
        <w:spacing w:line="240" w:lineRule="auto" w:after="120"/>
        <w:ind w:left="567" w:hanging="567"/>
      </w:pPr>
      <w:r>
        <w:t>(12) Lundberg, S. M.; Erion, G.; Chen, H.; DeGrave, A.; Prutkin, J. M.; Nair, B.; Katz, R.; Himmelfarb, J.; Bansal, N.; Lee, S.-I. From Local Explanations to Global Understanding with Explainable AI for Trees. Nat. Mach. Intell. 2020, 2 (1), 56-67. DOI: 10.1038/s42256-019-0138-9.</w:t>
      </w:r>
    </w:p>
    <w:p>
      <w:pPr>
        <w:pStyle w:val="Heading2"/>
      </w:pPr>
      <w:r>
        <w:t>GHS AND CHEMICAL SAFETY</w:t>
      </w:r>
    </w:p>
    <w:p>
      <w:pPr>
        <w:spacing w:line="240" w:lineRule="auto" w:after="120"/>
        <w:ind w:left="567" w:hanging="567"/>
      </w:pPr>
      <w:r>
        <w:t>(13) United Nations. Globally Harmonized System of Classification and Labelling of Chemicals (GHS), 10th revised ed.; United Nations: New York and Geneva, 2023. ISBN 978-92-1-116927-2.</w:t>
      </w:r>
    </w:p>
    <w:p>
      <w:pPr>
        <w:spacing w:line="240" w:lineRule="auto" w:after="120"/>
        <w:ind w:left="567" w:hanging="567"/>
      </w:pPr>
      <w:r>
        <w:t>(14) Malaysia Ministry of Human Resources. Occupational Safety and Health (Classification, Labelling and Safety Data Sheet of Hazardous Chemicals) Regulations 2013 (CLASS Regulations); Government of Malaysia: Putrajaya, 2013.</w:t>
      </w:r>
    </w:p>
    <w:p>
      <w:pPr>
        <w:pStyle w:val="Heading2"/>
      </w:pPr>
      <w:r>
        <w:t>RELATED COMPUTATIONAL HAZARD STUDIES</w:t>
      </w:r>
    </w:p>
    <w:p>
      <w:pPr>
        <w:spacing w:line="240" w:lineRule="auto" w:after="120"/>
        <w:ind w:left="567" w:hanging="567"/>
      </w:pPr>
      <w:r>
        <w:t>(15) Yang, H.; Sun, L.; Li, W.; Liu, G.; Tang, Y. In Silico Prediction of Chemical Toxicity for Drug Safety Evaluation Using Machine Learning Methods and Structural Alerts. Front. Chem. 2018, 6, 30. DOI: 10.3389/fchem.2018.00030.</w:t>
      </w:r>
    </w:p>
    <w:p>
      <w:pPr>
        <w:spacing w:line="240" w:lineRule="auto" w:after="120"/>
        <w:ind w:left="567" w:hanging="567"/>
      </w:pPr>
      <w:r>
        <w:t>(16) Mansouri, K.; Grulke, C. M.; Judson, R. S.; Williams, A. J. OPERA Models for Predicting Physicochemical Properties and Environmental Fate Endpoints. J. Cheminform. 2018, 10, 10. DOI: 10.1186/s13321-018-0263-1.</w:t>
      </w:r>
    </w:p>
    <w:p>
      <w:pPr>
        <w:spacing w:line="240" w:lineRule="auto" w:after="120"/>
        <w:ind w:left="567" w:hanging="567"/>
      </w:pPr>
      <w:r>
        <w:t>(17) Zhu, H.; Tropsha, A.; Fourches, D.; Varnek, A.; Papa, E.; Gramatica, P.; Oberg, T.; Dao, P.; Cherkasov, A.; Tetko, I. V. Combinatorial QSAR Modeling of Chemical Toxicants Tested against Tetrahymena Pyriformis. J. Chem. Inf. Model. 2008, 48 (4), 766-784. DOI: 10.1021/ci700443v.</w:t>
      </w:r>
    </w:p>
    <w:p>
      <w:pPr>
        <w:spacing w:line="240" w:lineRule="auto" w:after="120"/>
        <w:ind w:left="567" w:hanging="567"/>
      </w:pPr>
      <w:r>
        <w:t>(18) Mayr, A.; Klambauer, G.; Unterthiner, T.; Steijaert, M.; Wegner, J. K.; Ceulemans, H.; Clevert, D.-A.; Hochreiter, S. Large-Scale Comparison of Machine Learning Methods for Drug Target Prediction on ChEMBL. Chem. Sci. 2018, 9 (24), 5441-5451. DOI: 10.1039/C8SC00148K.</w:t>
      </w:r>
    </w:p>
    <w:p>
      <w:pPr>
        <w:spacing w:line="240" w:lineRule="auto" w:after="120"/>
        <w:ind w:left="567" w:hanging="567"/>
      </w:pPr>
      <w:r>
        <w:t>(19) Schroeter, T.; Schwaighofer, A.; Mika, S.; ter Laak, A.; Suelzle, D.; Ganzer, U.; Heinrich, N.; Muller, K.-R. Estimating the Domain of Applicability for Machine Learning QSAR Models: A Study on Aqueous Solubility of Drug Discovery Molecules. J. Comput.-Aided Mol. Des. 2007, 21 (9), 651-664. DOI: 10.1007/s10822-007-9160-9.</w:t>
      </w:r>
    </w:p>
    <w:p>
      <w:pPr>
        <w:spacing w:line="240" w:lineRule="auto" w:after="120"/>
        <w:ind w:left="567" w:hanging="567"/>
      </w:pPr>
      <w:r>
        <w:t>(20) Baskin, I. I.; Winkler, D.; Tetko, I. V. A Renaissance of Neural Networks in Drug Discovery. Expert Opin. Drug Discovery 2016, 11 (8), 785-795. DOI: 10.1080/17460441.2016.1201262.</w:t>
      </w:r>
    </w:p>
    <w:p>
      <w:pPr>
        <w:spacing w:line="240" w:lineRule="auto" w:after="120"/>
        <w:ind w:left="567" w:hanging="567"/>
      </w:pPr>
      <w:r>
        <w:t>(21) Rogers, D.; Hahn, M. Extended-Connectivity Fingerprints. J. Chem. Inf. Model. 2010, 50 (5), 742-754. DOI: 10.1021/ci100050t.</w:t>
      </w:r>
    </w:p>
    <w:p>
      <w:pPr>
        <w:spacing w:line="240" w:lineRule="auto" w:after="120"/>
        <w:ind w:left="567" w:hanging="567"/>
      </w:pPr>
      <w:r>
        <w:t>(22) Moriwaki, H.; Tian, Y.-S.; Kawashita, N.; Takagi, T. Mordred: A Molecular Descriptor Calculator. J. Cheminform. 2018, 10, 4. DOI: 10.1186/s13321-018-0258-y.</w:t>
      </w:r>
    </w:p>
    <w:p>
      <w:pPr>
        <w:pStyle w:val="Heading2"/>
      </w:pPr>
      <w:r>
        <w:t>EVALUATION METRICS</w:t>
      </w:r>
    </w:p>
    <w:p>
      <w:pPr>
        <w:spacing w:line="240" w:lineRule="auto" w:after="120"/>
        <w:ind w:left="567" w:hanging="567"/>
      </w:pPr>
      <w:r>
        <w:t>(23) Matthews, B. W. Comparison of the Predicted and Observed Secondary Structure of T4 Phage Lysozyme. Biochim. Biophys. Acta, Protein Struct. 1975, 405 (2), 442-451. DOI: 10.1016/0005-2795(75)90109-9.</w:t>
      </w:r>
    </w:p>
    <w:p>
      <w:pPr>
        <w:spacing w:line="240" w:lineRule="auto" w:after="120"/>
        <w:ind w:left="567" w:hanging="567"/>
      </w:pPr>
      <w:r>
        <w:t>(24) Fawcett, T. An Introduction to ROC Analysis. Pattern Recognit. Lett. 2006, 27 (8), 861-874. DOI: 10.1016/j.patrec.2005.10.010.</w:t>
      </w:r>
    </w:p>
    <w:p>
      <w:pPr>
        <w:pStyle w:val="Heading2"/>
      </w:pPr>
      <w:r>
        <w:t>JOHOR 2019 CHEMICAL EMERGENCY</w:t>
      </w:r>
    </w:p>
    <w:p>
      <w:pPr>
        <w:spacing w:line="240" w:lineRule="auto" w:after="120"/>
        <w:ind w:left="567" w:hanging="567"/>
      </w:pPr>
      <w:r>
        <w:t>(25) Ministry of Health Malaysia. After-Action Review: Pasir Gudang Chemical Incident 2019; Ministry of Health Malaysia: Putrajaya, 2019.</w:t>
      </w:r>
    </w:p>
    <w:p>
      <w:pPr>
        <w:spacing w:line="240" w:lineRule="auto" w:after="120"/>
        <w:ind w:left="567" w:hanging="567"/>
      </w:pPr>
      <w:r>
        <w:t>(26) Ahmad, R.; Ghazali, M. F. Environmental Health Response to the Pasir Gudang Chemical Disaster. Malays. J. Public Health Med. 2019, 19 (2), 1-8.</w:t>
      </w:r>
    </w:p>
    <w:p>
      <w:pPr>
        <w:pStyle w:val="Heading2"/>
      </w:pPr>
      <w:r>
        <w:t>DATA AND SOFTWARE</w:t>
      </w:r>
    </w:p>
    <w:p>
      <w:r>
        <w:t>[dataset] (27) Ahmad, S. Multi-Label GHS Hazard Classification Dataset and Trained Models for 243,323 Chemical Compounds, v1.0.0; Zenodo, 2026. https://doi.org/10.5281/zenodo.21876611.</w:t>
      </w:r>
    </w:p>
    <w:p>
      <w:pPr>
        <w:spacing w:line="240" w:lineRule="auto" w:after="120"/>
        <w:ind w:left="567" w:hanging="567"/>
      </w:pPr>
      <w:r>
        <w:t>(28) Ahmad, S. Interpretable Machine Learning for Predicting GHS Chemical Hazard Classifications, v1.0.2 [software]; Zenodo, 2026. https://doi.org/10.5281/zenodo.21903565.</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