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rFonts w:ascii="Calibri" w:hAnsi="Calibri"/>
          <w:b/>
          <w:color w:val="2E74B5"/>
          <w:sz w:val="20"/>
        </w:rPr>
        <w:t>CODEX EXECUTION PLAN</w:t>
      </w:r>
    </w:p>
    <w:p>
      <w:pPr>
        <w:keepNext/>
        <w:spacing w:before="0" w:after="80"/>
      </w:pPr>
      <w:r>
        <w:rPr>
          <w:rFonts w:ascii="Calibri" w:hAnsi="Calibri"/>
          <w:b/>
          <w:color w:val="0B2545"/>
          <w:sz w:val="50"/>
        </w:rPr>
        <w:t>FaceBotStudio Production Fix Plan</w:t>
      </w:r>
    </w:p>
    <w:p>
      <w:pPr>
        <w:keepNext/>
        <w:spacing w:before="0" w:after="280"/>
      </w:pPr>
      <w:r>
        <w:rPr>
          <w:rFonts w:ascii="Calibri" w:hAnsi="Calibri"/>
          <w:color w:val="5F6B7A"/>
          <w:sz w:val="26"/>
        </w:rPr>
        <w:t>Security, stability, customer mobile UX, and 13-inch admin readiness</w:t>
      </w:r>
    </w:p>
    <w:p>
      <w:pPr>
        <w:pStyle w:val="Metadata"/>
        <w:keepNext/>
      </w:pPr>
      <w:r>
        <w:rPr>
          <w:rFonts w:ascii="Calibri" w:hAnsi="Calibri"/>
          <w:b/>
          <w:color w:val="0B2545"/>
          <w:sz w:val="20"/>
        </w:rPr>
        <w:t xml:space="preserve">Repository: </w:t>
      </w:r>
      <w:r>
        <w:rPr>
          <w:rFonts w:ascii="Calibri" w:hAnsi="Calibri"/>
          <w:color w:val="5F6B7A"/>
          <w:sz w:val="20"/>
        </w:rPr>
        <w:t>FaceBotStudio</w:t>
      </w:r>
    </w:p>
    <w:p>
      <w:pPr>
        <w:pStyle w:val="Metadata"/>
        <w:keepNext/>
      </w:pPr>
      <w:r>
        <w:rPr>
          <w:rFonts w:ascii="Calibri" w:hAnsi="Calibri"/>
          <w:b/>
          <w:color w:val="0B2545"/>
          <w:sz w:val="20"/>
        </w:rPr>
        <w:t xml:space="preserve">Prepared: </w:t>
      </w:r>
      <w:r>
        <w:rPr>
          <w:rFonts w:ascii="Calibri" w:hAnsi="Calibri"/>
          <w:color w:val="5F6B7A"/>
          <w:sz w:val="20"/>
        </w:rPr>
        <w:t>11 August 2026</w:t>
      </w:r>
    </w:p>
    <w:p>
      <w:pPr>
        <w:pStyle w:val="Metadata"/>
        <w:keepNext/>
      </w:pPr>
      <w:r>
        <w:rPr>
          <w:rFonts w:ascii="Calibri" w:hAnsi="Calibri"/>
          <w:b/>
          <w:color w:val="0B2545"/>
          <w:sz w:val="20"/>
        </w:rPr>
        <w:t xml:space="preserve">Scope: </w:t>
      </w:r>
      <w:r>
        <w:rPr>
          <w:rFonts w:ascii="Calibri" w:hAnsi="Calibri"/>
          <w:color w:val="5F6B7A"/>
          <w:sz w:val="20"/>
        </w:rPr>
        <w:t>Fixes only — no new customer or admin features</w:t>
      </w:r>
    </w:p>
    <w:p>
      <w:pPr>
        <w:pStyle w:val="Metadata"/>
        <w:keepNext/>
      </w:pPr>
      <w:r>
        <w:rPr>
          <w:rFonts w:ascii="Calibri" w:hAnsi="Calibri"/>
          <w:b/>
          <w:color w:val="0B2545"/>
          <w:sz w:val="20"/>
        </w:rPr>
        <w:t xml:space="preserve">Working tree: </w:t>
      </w:r>
      <w:r>
        <w:rPr>
          <w:rFonts w:ascii="Calibri" w:hAnsi="Calibri"/>
          <w:color w:val="5F6B7A"/>
          <w:sz w:val="20"/>
        </w:rPr>
        <w:t>Phase 1 fixes are present and uncommitted</w:t>
      </w:r>
    </w:p>
    <w:p>
      <w:pPr>
        <w:pStyle w:val="Callout"/>
        <w:shd w:fill="FC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1"/>
        </w:rPr>
        <w:t xml:space="preserve">Release position: </w:t>
      </w:r>
      <w:r>
        <w:rPr>
          <w:rFonts w:ascii="Calibri" w:hAnsi="Calibri"/>
          <w:color w:val="263442"/>
          <w:sz w:val="21"/>
        </w:rPr>
        <w:t>Do not launch publicly for paid or multi-organizer use until Phase 2 ticket, media, chat, and authorization work is complete.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How Codex should use this plan</w:t>
      </w:r>
    </w:p>
    <w:p>
      <w:pPr>
        <w:pStyle w:val="PlanList"/>
        <w:numPr>
          <w:ilvl w:val="0"/>
          <w:numId w:val="220"/>
        </w:numPr>
      </w:pPr>
      <w:r>
        <w:rPr>
          <w:rFonts w:ascii="Calibri" w:hAnsi="Calibri"/>
          <w:color w:val="000000"/>
          <w:sz w:val="22"/>
        </w:rPr>
        <w:t>Work from the top down. Finish and verify one phase before starting the next.</w:t>
      </w:r>
    </w:p>
    <w:p>
      <w:pPr>
        <w:pStyle w:val="PlanList"/>
        <w:numPr>
          <w:ilvl w:val="0"/>
          <w:numId w:val="220"/>
        </w:numPr>
      </w:pPr>
      <w:r>
        <w:rPr>
          <w:rFonts w:ascii="Calibri" w:hAnsi="Calibri"/>
          <w:color w:val="000000"/>
          <w:sz w:val="22"/>
        </w:rPr>
        <w:t>Keep the product scope unchanged. Fix security, correctness, reliability, accessibility, layout, and operations only.</w:t>
      </w:r>
    </w:p>
    <w:p>
      <w:pPr>
        <w:pStyle w:val="PlanList"/>
        <w:numPr>
          <w:ilvl w:val="0"/>
          <w:numId w:val="220"/>
        </w:numPr>
      </w:pPr>
      <w:r>
        <w:rPr>
          <w:rFonts w:ascii="Calibri" w:hAnsi="Calibri"/>
          <w:color w:val="000000"/>
          <w:sz w:val="22"/>
        </w:rPr>
        <w:t>Trace shared callers before editing a helper; fix the root cause once instead of patching individual screens.</w:t>
      </w:r>
    </w:p>
    <w:p>
      <w:pPr>
        <w:pStyle w:val="PlanList"/>
        <w:numPr>
          <w:ilvl w:val="0"/>
          <w:numId w:val="220"/>
        </w:numPr>
      </w:pPr>
      <w:r>
        <w:rPr>
          <w:rFonts w:ascii="Calibri" w:hAnsi="Calibri"/>
          <w:color w:val="000000"/>
          <w:sz w:val="22"/>
        </w:rPr>
        <w:t>Preserve user changes. Do not reset, delete, migrate, or commit anything without explicit approval when the action could affect data or history.</w:t>
      </w:r>
    </w:p>
    <w:p>
      <w:pPr>
        <w:pStyle w:val="PlanList"/>
        <w:numPr>
          <w:ilvl w:val="0"/>
          <w:numId w:val="220"/>
        </w:numPr>
      </w:pPr>
      <w:r>
        <w:rPr>
          <w:rFonts w:ascii="Calibri" w:hAnsi="Calibri"/>
          <w:color w:val="000000"/>
          <w:sz w:val="22"/>
        </w:rPr>
        <w:t>After every meaningful fix, run the smallest focused test, then run type-check, the full test command, and the production build before release.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Current baseline</w:t>
      </w:r>
    </w:p>
    <w:p>
      <w:pPr/>
      <w:r>
        <w:rPr>
          <w:rFonts w:ascii="Calibri" w:hAnsi="Calibri"/>
          <w:color w:val="000000"/>
          <w:sz w:val="22"/>
        </w:rPr>
        <w:t>The audit found a strong authentication and UI foundation, but the public ticket and media boundaries are not yet strong enough for production. The local runtime currently uses SQLite, inline queues, and no Redis; treat that as a fallback path, not a production target for multiple instances.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82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Baseline result</w:t>
            </w:r>
          </w:p>
        </w:tc>
      </w:tr>
      <w:tr>
        <w:trPr>
          <w:cantSplit w:val="true"/>
        </w:trPr>
        <w:tc>
          <w:tcPr>
            <w:tcW w:type="dxa" w:w="1100"/>
            <w:shd w:fill="E8F3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6B4F"/>
                <w:sz w:val="18"/>
              </w:rPr>
              <w:t>DONE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TypeScript check passes: npm run lint.</w:t>
            </w:r>
          </w:p>
        </w:tc>
      </w:tr>
      <w:tr>
        <w:trPr>
          <w:cantSplit w:val="true"/>
        </w:trPr>
        <w:tc>
          <w:tcPr>
            <w:tcW w:type="dxa" w:w="1100"/>
            <w:shd w:fill="E8F3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6B4F"/>
                <w:sz w:val="18"/>
              </w:rPr>
              <w:t>DONE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42 focused tests pass, including new URL and production-secret regression checks.</w:t>
            </w:r>
          </w:p>
        </w:tc>
      </w:tr>
      <w:tr>
        <w:trPr>
          <w:cantSplit w:val="true"/>
        </w:trPr>
        <w:tc>
          <w:tcPr>
            <w:tcW w:type="dxa" w:w="1100"/>
            <w:shd w:fill="E8F3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6B4F"/>
                <w:sz w:val="18"/>
              </w:rPr>
              <w:t>DONE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build passes; existing warning remains for the approximately 967 KB main frontend chunk.</w:t>
            </w:r>
          </w:p>
        </w:tc>
      </w:tr>
      <w:tr>
        <w:trPr>
          <w:cantSplit w:val="true"/>
        </w:trPr>
        <w:tc>
          <w:tcPr>
            <w:tcW w:type="dxa" w:w="1100"/>
            <w:shd w:fill="E8F3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6B4F"/>
                <w:sz w:val="18"/>
              </w:rPr>
              <w:t>DONE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Admin shell has no measured horizontal overflow at 1280×800 or 1024×768.</w:t>
            </w:r>
          </w:p>
        </w:tc>
      </w:tr>
      <w:tr>
        <w:trPr>
          <w:cantSplit w:val="true"/>
        </w:trPr>
        <w:tc>
          <w:tcPr>
            <w:tcW w:type="dxa" w:w="1100"/>
            <w:shd w:fill="E8F3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6B4F"/>
                <w:sz w:val="18"/>
              </w:rPr>
              <w:t>DONE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Customer login and catalog surfaces are readable at 390×844.</w:t>
            </w:r>
          </w:p>
        </w:tc>
      </w:tr>
      <w:tr>
        <w:trPr>
          <w:cantSplit w:val="true"/>
        </w:trPr>
        <w:tc>
          <w:tcPr>
            <w:tcW w:type="dxa" w:w="110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NEXT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 event registration could not be fully rendered because the current local fixture has no public event enabled.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Phase 1 — Completed in the current working tree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Added one shared external-link sanitizer and rejected executable URL schemes on public customer pages.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Added rate limits for public registration, ticket recovery, ticket image rendering, and chat-history reads.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Changed public ticket image responses to private, no-store caching.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Removed phone, email, and attendee name data from public registration sender IDs.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Replaced predictable registration IDs with cryptographically random identifiers in both database adapters.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Enabled SQLite foreign keys, WAL mode, and a 5-second busy timeout.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Enabled PostgreSQL TLS certificate verification and removed production direct-ticket secret derivation.</w:t>
      </w:r>
    </w:p>
    <w:p>
      <w:pPr>
        <w:pStyle w:val="PlanList"/>
        <w:numPr>
          <w:ilvl w:val="0"/>
          <w:numId w:val="221"/>
        </w:numPr>
      </w:pPr>
      <w:r>
        <w:rPr>
          <w:rFonts w:ascii="Calibri" w:hAnsi="Calibri"/>
          <w:color w:val="000000"/>
          <w:sz w:val="22"/>
        </w:rPr>
        <w:t>Added focused regression tests and ignored SQLite WAL sidecar files.</w:t>
      </w:r>
    </w:p>
    <w:p>
      <w:pPr>
        <w:pStyle w:val="CodeLine"/>
      </w:pPr>
      <w:r>
        <w:rPr>
          <w:rFonts w:ascii="Consolas" w:hAnsi="Consolas"/>
          <w:color w:val="0B2545"/>
          <w:sz w:val="18"/>
        </w:rPr>
        <w:t>Primary files: src/lib/externalHref.ts · server.ts · backend/runtime/startupSecurity.ts · backend/db/sqliteAdapter.ts · backend/db/postgresAdapter.ts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Phase 2 — Release blockers: do next</w:t>
      </w:r>
    </w:p>
    <w:p>
      <w:pPr/>
      <w:r>
        <w:rPr>
          <w:rFonts w:ascii="Calibri" w:hAnsi="Calibri"/>
          <w:color w:val="000000"/>
          <w:sz w:val="22"/>
        </w:rPr>
        <w:t>These items address direct privacy and authorization risks. Do not treat rate limiting as a replacement for authorization.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2100"/>
        <w:gridCol w:w="4350"/>
        <w:gridCol w:w="206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Fix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 of done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Primary area</w:t>
            </w:r>
          </w:p>
        </w:tc>
      </w:tr>
      <w:tr>
        <w:trPr>
          <w:cantSplit w:val="true"/>
        </w:trPr>
        <w:tc>
          <w:tcPr>
            <w:tcW w:type="dxa" w:w="85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Signed ticket capabilities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Regular ticket PNG/SVG routes require a cryptographically signed, expiring capability. An ID alone never grants access.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server.ts:16413, server.ts:16446; ticket URL builders</w:t>
            </w:r>
          </w:p>
        </w:tc>
      </w:tr>
      <w:tr>
        <w:trPr>
          <w:cantSplit w:val="true"/>
        </w:trPr>
        <w:tc>
          <w:tcPr>
            <w:tcW w:type="dxa" w:w="85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Verified ticket recovery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Recovery requires verified email/OTP or an equivalent proof. Responses mask contact data and never return unnecessary PII.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server.ts:14882–15070; public recovery payload</w:t>
            </w:r>
          </w:p>
        </w:tc>
      </w:tr>
      <w:tr>
        <w:trPr>
          <w:cantSplit w:val="true"/>
        </w:trPr>
        <w:tc>
          <w:tcPr>
            <w:tcW w:type="dxa" w:w="85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Private media storage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Channel and admin-agent images are not under public static hosting. Access uses an authenticated or short-lived signed route.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server.ts:3341–3514, server.ts:12604</w:t>
            </w:r>
          </w:p>
        </w:tc>
      </w:tr>
      <w:tr>
        <w:trPr>
          <w:cantSplit w:val="true"/>
        </w:trPr>
        <w:tc>
          <w:tcPr>
            <w:tcW w:type="dxa" w:w="85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Session-bound public chat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History and writes require a server-issued browser capability bound to the event and sender. Guessing sender_id cannot read or alter a conversation.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server.ts:15090–15220; public page chat client</w:t>
            </w:r>
          </w:p>
        </w:tc>
      </w:tr>
      <w:tr>
        <w:trPr>
          <w:cantSplit w:val="true"/>
        </w:trPr>
        <w:tc>
          <w:tcPr>
            <w:tcW w:type="dxa" w:w="85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Organization authorization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Facebook pages, channels, routing, and metadata are filtered by the current organization and event scope; cross-tenant tests fail closed.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server.ts:14067–14146; authorization helpers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Rate-limit failure policy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Security-sensitive limits fail closed or use a bounded durable store when Redis is unavailable. Memory fallback is explicitly single-instance only.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backend/runtime/rateLimit.ts; Redis runtime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Phase 3 — Stability and operations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2100"/>
        <w:gridCol w:w="4350"/>
        <w:gridCol w:w="206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Fix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 of done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Primary area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Graceful shutdown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SIGTERM/SIGINT drain HTTP requests, stop workers, close database/Redis resources, and exit cleanly. Port errors are handled without an unhandled exception.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server.ts:12533, server.ts:19443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Provider timeouts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Facebook, LINE, WhatsApp, Telegram, email, SMS, and AI calls have deadlines; only safe idempotent operations retry.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 provider calls; backend/email; backend/notifications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SQL capacity counts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Capacity and availability use indexed COUNT queries rather than loading all registrations into memory.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server.ts:452; database adapters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Pagination and retention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Admin registrations, messages, audit logs, and media use pagination/cursors and documented retention policies.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API list routes; storage lifecycle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Readiness checks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 liveness is separate from authenticated readiness; readiness fails when required database, Redis, or worker dependencies are unavailable.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server.ts:12779–12799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data policy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deployment either requires managed PostgreSQL + Redis or explicitly enforces one SQLite instance with backup/restore tests.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backend/db/index.ts; deployment configuration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Phase 4 — Customer mobile and admin 13-inch quality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2100"/>
        <w:gridCol w:w="4350"/>
        <w:gridCol w:w="2060"/>
      </w:tblGrid>
      <w:tr>
        <w:trPr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Fix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 of done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Primary area</w:t>
            </w:r>
          </w:p>
        </w:tc>
      </w:tr>
      <w:tr>
        <w:trPr>
          <w:cantSplit w:val="true"/>
        </w:trPr>
        <w:tc>
          <w:tcPr>
            <w:tcW w:type="dxa" w:w="85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 mobile flow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real public event fixture is exercised at 390×844 and on a real phone: registration, validation errors, keyboard, slow network, ticket recovery, and ticket display.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PublicEventPage.tsx; mobile browser tests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Accessible form fields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Every public label is associated with an input; errors use aria-describedby, focus moves to the first error, and validity is announced.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PublicEventPage.tsx:678–815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Accessible dialogs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Privacy, help chat, and global search use dialog semantics, focus trapping, Escape handling, focus restoration, and scroll locking.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PublicEventPage.tsx:940–1008; AppOverlays.tsx:477–674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Selection and touch behavior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Customers can select and copy event/ticket text; global touch-action and user-select rules are scoped to controls that need them.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src/index.css:294–382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Admin acceptance screens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Registrations, inbox, check-in, direct ticketing, outreach, notifications, and settings remain usable at 1280×800 with long names and large tables.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AdminWorkspaceFrame.tsx; feature screens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Mobile bundle size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 customer routes do not load the full admin surface; route-level lazy loading and a size budget are in place.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vite.config.ts; App.tsx route loading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Phase 5 — QA and release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81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EEF5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Release check</w:t>
            </w:r>
          </w:p>
        </w:tc>
      </w:tr>
      <w:tr>
        <w:trPr>
          <w:cantSplit w:val="true"/>
        </w:trPr>
        <w:tc>
          <w:tcPr>
            <w:tcW w:type="dxa" w:w="120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BLOCKING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Ticket images cannot be retrieved without a valid signed capability.</w:t>
            </w:r>
          </w:p>
        </w:tc>
      </w:tr>
      <w:tr>
        <w:trPr>
          <w:cantSplit w:val="true"/>
        </w:trPr>
        <w:tc>
          <w:tcPr>
            <w:tcW w:type="dxa" w:w="120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BLOCKING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Ticket recovery is verified, rate limited, privacy-minimized, and does not perform an unbounded global scan.</w:t>
            </w:r>
          </w:p>
        </w:tc>
      </w:tr>
      <w:tr>
        <w:trPr>
          <w:cantSplit w:val="true"/>
        </w:trPr>
        <w:tc>
          <w:tcPr>
            <w:tcW w:type="dxa" w:w="120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BLOCKING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Private channel and admin-agent images are inaccessible through public static hosting.</w:t>
            </w:r>
          </w:p>
        </w:tc>
      </w:tr>
      <w:tr>
        <w:trPr>
          <w:cantSplit w:val="true"/>
        </w:trPr>
        <w:tc>
          <w:tcPr>
            <w:tcW w:type="dxa" w:w="120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BLOCKING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 chat history and writes are bound to a server-issued capability.</w:t>
            </w:r>
          </w:p>
        </w:tc>
      </w:tr>
      <w:tr>
        <w:trPr>
          <w:cantSplit w:val="true"/>
        </w:trPr>
        <w:tc>
          <w:tcPr>
            <w:tcW w:type="dxa" w:w="1200"/>
            <w:shd w:fill="FC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BLOCKING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Cross-organization API authorization tests pass for list, read, routing, and mutation paths.</w:t>
            </w:r>
          </w:p>
        </w:tc>
      </w:tr>
      <w:tr>
        <w:trPr>
          <w:cantSplit w:val="true"/>
        </w:trPr>
        <w:tc>
          <w:tcPr>
            <w:tcW w:type="dxa" w:w="120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NEXT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Provider timeout, retry, shutdown, readiness, and Redis outage tests pass.</w:t>
            </w:r>
          </w:p>
        </w:tc>
      </w:tr>
      <w:tr>
        <w:trPr>
          <w:cantSplit w:val="true"/>
        </w:trPr>
        <w:tc>
          <w:tcPr>
            <w:tcW w:type="dxa" w:w="120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NEXT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Mobile accessibility and 13-inch admin browser acceptance tests pass.</w:t>
            </w:r>
          </w:p>
        </w:tc>
      </w:tr>
      <w:tr>
        <w:trPr>
          <w:cantSplit w:val="true"/>
        </w:trPr>
        <w:tc>
          <w:tcPr>
            <w:tcW w:type="dxa" w:w="1200"/>
            <w:shd w:fill="E8F3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1F6B4F"/>
                <w:sz w:val="18"/>
              </w:rPr>
              <w:t>DONE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Type-check, focused tests, and production build pass after every phase.</w:t>
            </w:r>
          </w:p>
        </w:tc>
      </w:tr>
      <w:tr>
        <w:trPr>
          <w:cantSplit w:val="true"/>
        </w:trPr>
        <w:tc>
          <w:tcPr>
            <w:tcW w:type="dxa" w:w="1200"/>
            <w:shd w:fill="FFF6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NEXT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backup restore has been performed in a production-like environment.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8"/>
      </w:rPr>
      <w:t xml:space="preserve">Internal execution plan  ·  Page </w:t>
    </w:r>
    <w:r>
      <w:rPr>
        <w:rFonts w:ascii="Calibri" w:hAnsi="Calibri"/>
        <w:color w:val="5F6B7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F6B7A"/>
        <w:sz w:val="18"/>
      </w:rPr>
      <w:t>FaceBotStudio  ·  Codex production remediation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20">
    <w:abstractNumId w:val="120"/>
  </w:num>
  <w:abstractNum w:abstractNumId="1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21">
    <w:abstractNumId w:val="121"/>
  </w:num>
  <w:num w:numId="222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List">
    <w:name w:val="Plan List"/>
    <w:pPr>
      <w:spacing w:before="0" w:after="80" w:line="300" w:lineRule="auto"/>
    </w:pPr>
    <w:rPr>
      <w:rFonts w:ascii="Calibri" w:hAnsi="Calibri"/>
      <w:b w:val="0"/>
      <w:color w:val="000000"/>
      <w:sz w:val="22"/>
    </w:rPr>
  </w:style>
  <w:style w:type="paragraph" w:customStyle="1" w:styleId="CodeLine">
    <w:name w:val="Code Line"/>
    <w:pPr>
      <w:spacing w:before="0" w:after="100" w:line="264" w:lineRule="auto"/>
    </w:pPr>
    <w:rPr>
      <w:rFonts w:ascii="Consolas" w:hAnsi="Consolas"/>
      <w:b w:val="0"/>
      <w:color w:val="0B2545"/>
      <w:sz w:val="18"/>
    </w:rPr>
  </w:style>
  <w:style w:type="paragraph" w:customStyle="1" w:styleId="Callout">
    <w:name w:val="Callout"/>
    <w:pPr>
      <w:spacing w:before="120" w:after="200" w:line="300" w:lineRule="auto"/>
      <w:ind w:left="173" w:right="115"/>
    </w:pPr>
    <w:rPr>
      <w:rFonts w:ascii="Calibri" w:hAnsi="Calibri"/>
      <w:b w:val="0"/>
      <w:color w:val="263442"/>
      <w:sz w:val="21"/>
    </w:rPr>
  </w:style>
  <w:style w:type="paragraph" w:customStyle="1" w:styleId="Metadata">
    <w:name w:val="Metadata"/>
    <w:pPr>
      <w:spacing w:before="0" w:after="100" w:line="300" w:lineRule="auto"/>
    </w:pPr>
    <w:rPr>
      <w:rFonts w:ascii="Calibri" w:hAnsi="Calibri"/>
      <w:b w:val="0"/>
      <w:color w:val="5F6B7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