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p>
    <w:p>
      <w:pPr>
        <w:spacing w:after="280" w:before="0"/>
      </w:pPr>
      <w:r>
        <w:rPr>
          <w:rFonts w:ascii="Arial" w:cs="Arial" w:eastAsia="Arial" w:hAnsi="Arial"/>
          <w:b/>
          <w:bCs/>
          <w:color w:val="888880"/>
          <w:spacing w:val="60"/>
          <w:sz w:val="18"/>
          <w:szCs w:val="18"/>
        </w:rPr>
        <w:t xml:space="preserve">HIRING ADVISORY MEMORANDUM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color w:val="888880"/>
                <w:spacing w:val="30"/>
                <w:sz w:val="18"/>
                <w:szCs w:val="18"/>
              </w:rPr>
              <w:t xml:space="preserve">FROM</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color w:val="2A2A28"/>
                <w:sz w:val="22"/>
                <w:szCs w:val="22"/>
              </w:rPr>
              <w:t xml:space="preserve">Senior Hiring Strategy Advisor</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color w:val="888880"/>
                <w:spacing w:val="30"/>
                <w:sz w:val="18"/>
                <w:szCs w:val="18"/>
              </w:rPr>
              <w:t xml:space="preserve">TO</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color w:val="2A2A28"/>
                <w:sz w:val="22"/>
                <w:szCs w:val="22"/>
              </w:rPr>
              <w:t xml:space="preserve">Halcyon AI Executive Team</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color w:val="888880"/>
                <w:spacing w:val="30"/>
                <w:sz w:val="18"/>
                <w:szCs w:val="18"/>
              </w:rPr>
              <w:t xml:space="preserve">DATE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color w:val="2A2A28"/>
                <w:sz w:val="22"/>
                <w:szCs w:val="22"/>
              </w:rPr>
              <w:t xml:space="preserve">March 2026</w:t>
            </w:r>
          </w:p>
        </w:tc>
      </w:tr>
      <w:tr>
        <w:tc>
          <w:tcPr>
            <w:tcW w:type="dxa" w:w="1440"/>
            <w:tcBorders>
              <w:top w:val="none" w:color="FFFFFF" w:sz="0"/>
              <w:left w:val="none" w:color="FFFFFF" w:sz="0"/>
              <w:bottom w:val="none" w:color="FFFFFF" w:sz="0"/>
              <w:right w:val="none" w:color="FFFFFF" w:sz="0"/>
            </w:tcBorders>
            <w:tcMar>
              <w:top w:type="dxa" w:w="60"/>
              <w:left w:type="dxa" w:w="0"/>
              <w:bottom w:type="dxa" w:w="60"/>
              <w:right w:type="dxa" w:w="120"/>
            </w:tcMar>
          </w:tcPr>
          <w:p>
            <w:pPr>
              <w:spacing w:after="0" w:before="0"/>
            </w:pPr>
            <w:r>
              <w:rPr>
                <w:rFonts w:ascii="Arial" w:cs="Arial" w:eastAsia="Arial" w:hAnsi="Arial"/>
                <w:b/>
                <w:bCs/>
                <w:color w:val="888880"/>
                <w:spacing w:val="30"/>
                <w:sz w:val="18"/>
                <w:szCs w:val="18"/>
              </w:rPr>
              <w:t xml:space="preserve">RE</w:t>
            </w:r>
          </w:p>
        </w:tc>
        <w:tc>
          <w:tcPr>
            <w:tcW w:type="dxa" w:w="79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0" w:before="0"/>
            </w:pPr>
            <w:r>
              <w:rPr>
                <w:rFonts w:ascii="Arial" w:cs="Arial" w:eastAsia="Arial" w:hAnsi="Arial"/>
                <w:b/>
                <w:bCs/>
                <w:color w:val="2A2A28"/>
                <w:sz w:val="22"/>
                <w:szCs w:val="22"/>
              </w:rPr>
              <w:t xml:space="preserve">VP of Demand Generation — Candidate Recommendation: Saren Sakurai</w:t>
            </w:r>
          </w:p>
        </w:tc>
      </w:tr>
    </w:tbl>
    <w:p>
      <w:pPr>
        <w:spacing w:after="200" w:before="0"/>
      </w:pPr>
    </w:p>
    <w:p>
      <w:pPr>
        <w:pBdr>
          <w:bottom w:val="single" w:color="CCCBC5" w:sz="4"/>
        </w:pBdr>
        <w:spacing w:after="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18" w:val="clear"/>
            <w:tcMar>
              <w:top w:type="dxa" w:w="120"/>
              <w:left w:type="dxa" w:w="180"/>
              <w:bottom w:type="dxa" w:w="120"/>
              <w:right w:type="dxa" w:w="180"/>
            </w:tcMar>
            <w:vAlign w:val="top"/>
          </w:tcPr>
          <w:p>
            <w:pPr>
              <w:spacing w:after="0" w:before="0"/>
            </w:pPr>
            <w:r>
              <w:rPr>
                <w:rFonts w:ascii="Arial" w:cs="Arial" w:eastAsia="Arial" w:hAnsi="Arial"/>
                <w:b/>
                <w:bCs/>
                <w:color w:val="AAAAAA"/>
                <w:spacing w:val="30"/>
                <w:sz w:val="16"/>
                <w:szCs w:val="16"/>
              </w:rPr>
              <w:t xml:space="preserve">RECOMMENDATION</w:t>
            </w:r>
          </w:p>
        </w:tc>
        <w:tc>
          <w:tcPr>
            <w:tcW w:type="dxa" w:w="7920"/>
            <w:tcBorders>
              <w:top w:val="none" w:color="FFFFFF" w:sz="0"/>
              <w:left w:val="none" w:color="FFFFFF" w:sz="0"/>
              <w:bottom w:val="none" w:color="FFFFFF" w:sz="0"/>
              <w:right w:val="none" w:color="FFFFFF" w:sz="0"/>
            </w:tcBorders>
            <w:shd w:fill="F4F3EF" w:val="clear"/>
            <w:tcMar>
              <w:top w:type="dxa" w:w="120"/>
              <w:left w:type="dxa" w:w="180"/>
              <w:bottom w:type="dxa" w:w="120"/>
              <w:right w:type="dxa" w:w="180"/>
            </w:tcMar>
          </w:tcPr>
          <w:p>
            <w:pPr>
              <w:spacing w:after="0" w:before="0"/>
            </w:pPr>
            <w:r>
              <w:rPr>
                <w:rFonts w:ascii="Arial" w:cs="Arial" w:eastAsia="Arial" w:hAnsi="Arial"/>
                <w:i/>
                <w:iCs/>
                <w:color w:val="2A2A28"/>
                <w:sz w:val="22"/>
                <w:szCs w:val="22"/>
              </w:rPr>
              <w:t xml:space="preserve">Saren Sakurai is a high-confidence hire for VP of Demand Generation. His background maps to Halcyon’s exact buyer profile, his track record is quantified and repeatable, and his approach to AI-augmented demand gen gives Halcyon a structural efficiency advantage over competitors. This memo provides the evidence.</w:t>
            </w:r>
          </w:p>
        </w:tc>
      </w:tr>
    </w:tbl>
    <w:p>
      <w:pPr>
        <w:spacing w:after="200" w:before="0"/>
      </w:pPr>
    </w:p>
    <w:p>
      <w:pPr>
        <w:pBdr>
          <w:bottom w:val="single" w:color="CCCBC5" w:sz="4"/>
        </w:pBdr>
        <w:spacing w:after="120" w:before="360"/>
      </w:pPr>
      <w:r>
        <w:rPr>
          <w:rFonts w:ascii="Arial" w:cs="Arial" w:eastAsia="Arial" w:hAnsi="Arial"/>
          <w:b/>
          <w:bCs/>
          <w:color w:val="1A1A18"/>
          <w:sz w:val="24"/>
          <w:szCs w:val="24"/>
        </w:rPr>
        <w:t xml:space="preserve">Section 1: The Demand Gen Imperative</w:t>
      </w:r>
    </w:p>
    <w:p>
      <w:pPr>
        <w:spacing w:after="60" w:before="0"/>
      </w:pPr>
    </w:p>
    <w:p>
      <w:pPr>
        <w:spacing w:after="80" w:before="0"/>
      </w:pPr>
      <w:r>
        <w:rPr>
          <w:rFonts w:ascii="Arial" w:cs="Arial" w:eastAsia="Arial" w:hAnsi="Arial"/>
          <w:color w:val="888880"/>
          <w:spacing w:val="40"/>
          <w:sz w:val="16"/>
          <w:szCs w:val="16"/>
        </w:rPr>
        <w:t xml:space="preserve">WHY CYBERSECURITY DEMAND GEN IS UNIQUELY DIFFICULT</w:t>
      </w:r>
    </w:p>
    <w:p>
      <w:pPr>
        <w:spacing w:after="160" w:before="0"/>
      </w:pPr>
      <w:r>
        <w:rPr>
          <w:rFonts w:ascii="Arial" w:cs="Arial" w:eastAsia="Arial" w:hAnsi="Arial"/>
          <w:b w:val="false"/>
          <w:bCs w:val="false"/>
          <w:i w:val="false"/>
          <w:iCs w:val="false"/>
          <w:color w:val="2A2A28"/>
          <w:sz w:val="22"/>
          <w:szCs w:val="22"/>
        </w:rPr>
        <w:t xml:space="preserve">Cybersecurity is one of the hardest categories in B2B to build pipeline in. The buyer — typically a CISO or VP of Security — is sophisticated, skeptical, and saturated with vendor outreach. Every EDR vendor, SIEM platform, and cloud security tool is running the same playbook: fear-based messaging, analyst-quoted reports, and aggressive SDR sequences. The result is buyer fatigue and a market where generic demand gen produces diminishing returns.</w:t>
      </w:r>
    </w:p>
    <w:p>
      <w:pPr>
        <w:spacing w:after="160" w:before="0"/>
      </w:pPr>
      <w:r>
        <w:rPr>
          <w:rFonts w:ascii="Arial" w:cs="Arial" w:eastAsia="Arial" w:hAnsi="Arial"/>
          <w:b w:val="false"/>
          <w:bCs w:val="false"/>
          <w:i w:val="false"/>
          <w:iCs w:val="false"/>
          <w:color w:val="2A2A28"/>
          <w:sz w:val="22"/>
          <w:szCs w:val="22"/>
        </w:rPr>
        <w:t xml:space="preserve">Halcyon’s specific challenge compounds this. The pitch — “you already have CrowdStrike, but you still have a ransomware gap” — requires a demand gen leader who can articulate a nuanced augmentation story to a buyer who thinks they’re already protected. That’s a fundamentally different motion than selling a replacement product. It demands credibility, precision targeting, and messaging that moves a psychologically resistant buyer.</w:t>
      </w:r>
    </w:p>
    <w:p>
      <w:pPr>
        <w:spacing w:after="60" w:before="0"/>
      </w:pPr>
    </w:p>
    <w:p>
      <w:pPr>
        <w:spacing w:after="80" w:before="0"/>
      </w:pPr>
      <w:r>
        <w:rPr>
          <w:rFonts w:ascii="Arial" w:cs="Arial" w:eastAsia="Arial" w:hAnsi="Arial"/>
          <w:color w:val="888880"/>
          <w:spacing w:val="40"/>
          <w:sz w:val="16"/>
          <w:szCs w:val="16"/>
        </w:rPr>
        <w:t xml:space="preserve">THE COST OF GETTING IT WRONG</w:t>
      </w:r>
    </w:p>
    <w:p>
      <w:pPr>
        <w:spacing w:after="160" w:before="0"/>
      </w:pPr>
      <w:r>
        <w:rPr>
          <w:rFonts w:ascii="Arial" w:cs="Arial" w:eastAsia="Arial" w:hAnsi="Arial"/>
          <w:b w:val="false"/>
          <w:bCs w:val="false"/>
          <w:i w:val="false"/>
          <w:iCs w:val="false"/>
          <w:color w:val="2A2A28"/>
          <w:sz w:val="22"/>
          <w:szCs w:val="22"/>
        </w:rPr>
        <w:t xml:space="preserve">A VP of Demand Generation who misreads the Halcyon buyer doesn’t just produce weak pipeline — they produce expensive, low-quality pipeline. The consequences:</w:t>
      </w:r>
    </w:p>
    <w:p>
      <w:pPr>
        <w:pStyle w:val="ListParagraph"/>
        <w:numPr>
          <w:ilvl w:val="0"/>
          <w:numId w:val="2"/>
        </w:numPr>
        <w:spacing w:after="100" w:before="0"/>
      </w:pPr>
      <w:r>
        <w:rPr>
          <w:rFonts w:ascii="Arial" w:cs="Arial" w:eastAsia="Arial" w:hAnsi="Arial"/>
          <w:color w:val="2A2A28"/>
          <w:sz w:val="22"/>
          <w:szCs w:val="22"/>
        </w:rPr>
        <w:t xml:space="preserve">Extended sales cycles driven by misaligned MQLs that consume SDR capacity without converting</w:t>
      </w:r>
    </w:p>
    <w:p>
      <w:pPr>
        <w:pStyle w:val="ListParagraph"/>
        <w:numPr>
          <w:ilvl w:val="0"/>
          <w:numId w:val="2"/>
        </w:numPr>
        <w:spacing w:after="100" w:before="0"/>
      </w:pPr>
      <w:r>
        <w:rPr>
          <w:rFonts w:ascii="Arial" w:cs="Arial" w:eastAsia="Arial" w:hAnsi="Arial"/>
          <w:color w:val="2A2A28"/>
          <w:sz w:val="22"/>
          <w:szCs w:val="22"/>
        </w:rPr>
        <w:t xml:space="preserve">CAC bleed as paid media spend chases the wrong personas in the wrong channels</w:t>
      </w:r>
    </w:p>
    <w:p>
      <w:pPr>
        <w:pStyle w:val="ListParagraph"/>
        <w:numPr>
          <w:ilvl w:val="0"/>
          <w:numId w:val="2"/>
        </w:numPr>
        <w:spacing w:after="100" w:before="0"/>
      </w:pPr>
      <w:r>
        <w:rPr>
          <w:rFonts w:ascii="Arial" w:cs="Arial" w:eastAsia="Arial" w:hAnsi="Arial"/>
          <w:color w:val="2A2A28"/>
          <w:sz w:val="22"/>
          <w:szCs w:val="22"/>
        </w:rPr>
        <w:t xml:space="preserve">Lost market window as competitors execute faster and occupy the CISO’s mindshare</w:t>
      </w:r>
    </w:p>
    <w:p>
      <w:pPr>
        <w:pStyle w:val="ListParagraph"/>
        <w:numPr>
          <w:ilvl w:val="0"/>
          <w:numId w:val="2"/>
        </w:numPr>
        <w:spacing w:after="100" w:before="0"/>
      </w:pPr>
      <w:r>
        <w:rPr>
          <w:rFonts w:ascii="Arial" w:cs="Arial" w:eastAsia="Arial" w:hAnsi="Arial"/>
          <w:color w:val="2A2A28"/>
          <w:sz w:val="22"/>
          <w:szCs w:val="22"/>
        </w:rPr>
        <w:t xml:space="preserve">False confidence from vanity metrics (impressions, MQL volume) masking real pipeline decay</w:t>
      </w:r>
    </w:p>
    <w:p>
      <w:pPr>
        <w:spacing w:after="100" w:before="0"/>
      </w:pPr>
    </w:p>
    <w:p>
      <w:pPr>
        <w:spacing w:after="160" w:before="0"/>
      </w:pPr>
      <w:r>
        <w:rPr>
          <w:rFonts w:ascii="Arial" w:cs="Arial" w:eastAsia="Arial" w:hAnsi="Arial"/>
          <w:b w:val="false"/>
          <w:bCs w:val="false"/>
          <w:i w:val="false"/>
          <w:iCs w:val="false"/>
          <w:color w:val="2A2A28"/>
          <w:sz w:val="22"/>
          <w:szCs w:val="22"/>
        </w:rPr>
        <w:t xml:space="preserve">At Halcyon’s current ARR trajectory and growth expectations, the cost of a wrong VP DG hire is not just a salary line. It is 12–18 months of compounded pipeline underperformance.</w:t>
      </w:r>
    </w:p>
    <w:p>
      <w:pPr>
        <w:spacing w:after="60" w:before="0"/>
      </w:pPr>
    </w:p>
    <w:p>
      <w:pPr>
        <w:spacing w:after="80" w:before="0"/>
      </w:pPr>
      <w:r>
        <w:rPr>
          <w:rFonts w:ascii="Arial" w:cs="Arial" w:eastAsia="Arial" w:hAnsi="Arial"/>
          <w:color w:val="888880"/>
          <w:spacing w:val="40"/>
          <w:sz w:val="16"/>
          <w:szCs w:val="16"/>
        </w:rPr>
        <w:t xml:space="preserve">WHAT SEPARATES GREAT DEMAND GEN LEADERS FROM MEDIOCRE ONES</w:t>
      </w:r>
    </w:p>
    <w:p>
      <w:pPr>
        <w:spacing w:after="160" w:before="0"/>
      </w:pPr>
      <w:r>
        <w:rPr>
          <w:rFonts w:ascii="Arial" w:cs="Arial" w:eastAsia="Arial" w:hAnsi="Arial"/>
          <w:b w:val="false"/>
          <w:bCs w:val="false"/>
          <w:i w:val="false"/>
          <w:iCs w:val="false"/>
          <w:color w:val="2A2A28"/>
          <w:sz w:val="22"/>
          <w:szCs w:val="22"/>
        </w:rPr>
        <w:t xml:space="preserve">The best VP-level demand gen leaders share three attributes that are not common:</w:t>
      </w:r>
    </w:p>
    <w:p>
      <w:pPr>
        <w:pStyle w:val="ListParagraph"/>
        <w:numPr>
          <w:ilvl w:val="0"/>
          <w:numId w:val="2"/>
        </w:numPr>
        <w:spacing w:after="100" w:before="0"/>
      </w:pPr>
      <w:r>
        <w:rPr>
          <w:rFonts w:ascii="Arial" w:cs="Arial" w:eastAsia="Arial" w:hAnsi="Arial"/>
          <w:color w:val="2A2A28"/>
          <w:sz w:val="22"/>
          <w:szCs w:val="22"/>
        </w:rPr>
        <w:t xml:space="preserve">They understand the buyer psychographically, not just demographically — they know what keeps the CISO up at night, what triggers a budget conversation, and what language earns trust versus sets off vendor alarm bells.</w:t>
      </w:r>
    </w:p>
    <w:p>
      <w:pPr>
        <w:pStyle w:val="ListParagraph"/>
        <w:numPr>
          <w:ilvl w:val="0"/>
          <w:numId w:val="2"/>
        </w:numPr>
        <w:spacing w:after="100" w:before="0"/>
      </w:pPr>
      <w:r>
        <w:rPr>
          <w:rFonts w:ascii="Arial" w:cs="Arial" w:eastAsia="Arial" w:hAnsi="Arial"/>
          <w:color w:val="2A2A28"/>
          <w:sz w:val="22"/>
          <w:szCs w:val="22"/>
        </w:rPr>
        <w:t xml:space="preserve">They connect demand gen output to revenue with precision — not “leads generated” but pipeline-to-close rates, CAC payback periods, and influenced ARR. They speak the CFO’s language.</w:t>
      </w:r>
    </w:p>
    <w:p>
      <w:pPr>
        <w:pStyle w:val="ListParagraph"/>
        <w:numPr>
          <w:ilvl w:val="0"/>
          <w:numId w:val="2"/>
        </w:numPr>
        <w:spacing w:after="100" w:before="0"/>
      </w:pPr>
      <w:r>
        <w:rPr>
          <w:rFonts w:ascii="Arial" w:cs="Arial" w:eastAsia="Arial" w:hAnsi="Arial"/>
          <w:color w:val="2A2A28"/>
          <w:sz w:val="22"/>
          <w:szCs w:val="22"/>
        </w:rPr>
        <w:t xml:space="preserve">They build systems, not campaigns — the difference between a demand gen leader who produces one great quarter and one who produces compounding growth year-over-year is whether they’ve built infrastructure: scoring models, attribution frameworks, nurture architecture, and playbooks that survive personnel changes.</w:t>
      </w:r>
    </w:p>
    <w:p>
      <w:pPr>
        <w:spacing w:after="100" w:before="0"/>
      </w:pPr>
    </w:p>
    <w:p>
      <w:pPr>
        <w:spacing w:after="160" w:before="0"/>
      </w:pPr>
      <w:r>
        <w:rPr>
          <w:rFonts w:ascii="Arial" w:cs="Arial" w:eastAsia="Arial" w:hAnsi="Arial"/>
          <w:b w:val="false"/>
          <w:bCs w:val="false"/>
          <w:i w:val="false"/>
          <w:iCs w:val="false"/>
          <w:color w:val="2A2A28"/>
          <w:sz w:val="22"/>
          <w:szCs w:val="22"/>
        </w:rPr>
        <w:t xml:space="preserve">Saren Sakurai demonstrates all three. The sections below show the evidence.</w:t>
      </w:r>
    </w:p>
    <w:p>
      <w:pPr>
        <w:pBdr>
          <w:bottom w:val="single" w:color="CCCBC5" w:sz="4"/>
        </w:pBdr>
        <w:spacing w:after="120" w:before="360"/>
      </w:pPr>
      <w:r>
        <w:rPr>
          <w:rFonts w:ascii="Arial" w:cs="Arial" w:eastAsia="Arial" w:hAnsi="Arial"/>
          <w:b/>
          <w:bCs/>
          <w:color w:val="1A1A18"/>
          <w:sz w:val="24"/>
          <w:szCs w:val="24"/>
        </w:rPr>
        <w:t xml:space="preserve">Section 2: Saren’s Relevant Track Record</w:t>
      </w:r>
    </w:p>
    <w:p>
      <w:pPr>
        <w:spacing w:after="60" w:before="0"/>
      </w:pPr>
    </w:p>
    <w:p>
      <w:pPr>
        <w:spacing w:after="80" w:before="0"/>
      </w:pPr>
      <w:r>
        <w:rPr>
          <w:rFonts w:ascii="Arial" w:cs="Arial" w:eastAsia="Arial" w:hAnsi="Arial"/>
          <w:color w:val="888880"/>
          <w:spacing w:val="40"/>
          <w:sz w:val="16"/>
          <w:szCs w:val="16"/>
        </w:rPr>
        <w:t xml:space="preserve">CYLANCE — DEMAND GEN FOR AN AI CYBERSECURITY COMPANY AT EXIT SCALE</w:t>
      </w:r>
    </w:p>
    <w:p>
      <w:pPr>
        <w:spacing w:after="160" w:before="0"/>
      </w:pPr>
      <w:r>
        <w:rPr>
          <w:rFonts w:ascii="Arial" w:cs="Arial" w:eastAsia="Arial" w:hAnsi="Arial"/>
          <w:b w:val="false"/>
          <w:bCs w:val="false"/>
          <w:i w:val="false"/>
          <w:iCs w:val="false"/>
          <w:color w:val="2A2A28"/>
          <w:sz w:val="22"/>
          <w:szCs w:val="22"/>
        </w:rPr>
        <w:t xml:space="preserve">From 2017 to 2020, Saren served as Director of Demand Generation &amp; Web at Cylance — the AI-native endpoint security company that BlackBerry acquired for $1.4B. This is the single most relevant piece of experience for the Halcyon context, and it deserves detailed examination.</w:t>
      </w:r>
    </w:p>
    <w:p>
      <w:pPr>
        <w:spacing w:after="160" w:before="0"/>
      </w:pPr>
      <w:r>
        <w:rPr>
          <w:rFonts w:ascii="Arial" w:cs="Arial" w:eastAsia="Arial" w:hAnsi="Arial"/>
          <w:b w:val="false"/>
          <w:bCs w:val="false"/>
          <w:i w:val="false"/>
          <w:iCs w:val="false"/>
          <w:color w:val="2A2A28"/>
          <w:sz w:val="22"/>
          <w:szCs w:val="22"/>
        </w:rPr>
        <w:t xml:space="preserve">Cylance was selling a technically sophisticated product to enterprise and government buyers who were already invested in incumbent security tools. The objection map was nearly identical to Halcyon’s: “We already have [X], why do we need you?” Saren built the demand gen infrastructure to answer that question at scale:</w:t>
      </w:r>
    </w:p>
    <w:p>
      <w:pPr>
        <w:pStyle w:val="ListParagraph"/>
        <w:numPr>
          <w:ilvl w:val="0"/>
          <w:numId w:val="2"/>
        </w:numPr>
        <w:spacing w:after="100" w:before="0"/>
      </w:pPr>
      <w:r>
        <w:rPr>
          <w:rFonts w:ascii="Arial" w:cs="Arial" w:eastAsia="Arial" w:hAnsi="Arial"/>
          <w:color w:val="2A2A28"/>
          <w:sz w:val="22"/>
          <w:szCs w:val="22"/>
        </w:rPr>
        <w:t xml:space="preserve">Deployed the Forrester/Sirius Decisions Demand Generation framework — not a campaign refresh, but a ground-up architectural rebuild of how Cylance identified, engaged, and qualified enterprise buyers</w:t>
      </w:r>
    </w:p>
    <w:p>
      <w:pPr>
        <w:pStyle w:val="ListParagraph"/>
        <w:numPr>
          <w:ilvl w:val="0"/>
          <w:numId w:val="2"/>
        </w:numPr>
        <w:spacing w:after="100" w:before="0"/>
      </w:pPr>
      <w:r>
        <w:rPr>
          <w:rFonts w:ascii="Arial" w:cs="Arial" w:eastAsia="Arial" w:hAnsi="Arial"/>
          <w:color w:val="2A2A28"/>
          <w:sz w:val="22"/>
          <w:szCs w:val="22"/>
        </w:rPr>
        <w:t xml:space="preserve">Generated $4M per quarter in pipeline revenue on a $2.5M annual paid media budget — an 8:1 ROI that reflects both channel discipline and creative precision</w:t>
      </w:r>
    </w:p>
    <w:p>
      <w:pPr>
        <w:pStyle w:val="ListParagraph"/>
        <w:numPr>
          <w:ilvl w:val="0"/>
          <w:numId w:val="2"/>
        </w:numPr>
        <w:spacing w:after="100" w:before="0"/>
      </w:pPr>
      <w:r>
        <w:rPr>
          <w:rFonts w:ascii="Arial" w:cs="Arial" w:eastAsia="Arial" w:hAnsi="Arial"/>
          <w:color w:val="2A2A28"/>
          <w:sz w:val="22"/>
          <w:szCs w:val="22"/>
        </w:rPr>
        <w:t xml:space="preserve">Reduced CAC by over 70% through intent-driven targeting, behavioral segmentation, and full-funnel conversion optimization</w:t>
      </w:r>
    </w:p>
    <w:p>
      <w:pPr>
        <w:pStyle w:val="ListParagraph"/>
        <w:numPr>
          <w:ilvl w:val="0"/>
          <w:numId w:val="2"/>
        </w:numPr>
        <w:spacing w:after="100" w:before="0"/>
      </w:pPr>
      <w:r>
        <w:rPr>
          <w:rFonts w:ascii="Arial" w:cs="Arial" w:eastAsia="Arial" w:hAnsi="Arial"/>
          <w:color w:val="2A2A28"/>
          <w:sz w:val="22"/>
          <w:szCs w:val="22"/>
        </w:rPr>
        <w:t xml:space="preserve">Led a five-member global demand center across five regions, managing the entire demand gen motion from content creation through pipeline conversion</w:t>
      </w:r>
    </w:p>
    <w:p>
      <w:pPr>
        <w:pStyle w:val="ListParagraph"/>
        <w:numPr>
          <w:ilvl w:val="0"/>
          <w:numId w:val="2"/>
        </w:numPr>
        <w:spacing w:after="100" w:before="0"/>
      </w:pPr>
      <w:r>
        <w:rPr>
          <w:rFonts w:ascii="Arial" w:cs="Arial" w:eastAsia="Arial" w:hAnsi="Arial"/>
          <w:color w:val="2A2A28"/>
          <w:sz w:val="22"/>
          <w:szCs w:val="22"/>
        </w:rPr>
        <w:t xml:space="preserve">Oversaw a $1.3M full rebuild of cylance.com — a 300+ page multi-lingual site — coordinating 40 internal and agency resources, and improving product page conversions by 31%</w:t>
      </w:r>
    </w:p>
    <w:p>
      <w:pPr>
        <w:spacing w:after="100" w:before="0"/>
      </w:pPr>
    </w:p>
    <w:p>
      <w:pPr>
        <w:spacing w:after="160" w:before="0"/>
      </w:pPr>
      <w:r>
        <w:rPr>
          <w:rFonts w:ascii="Arial" w:cs="Arial" w:eastAsia="Arial" w:hAnsi="Arial"/>
          <w:b w:val="false"/>
          <w:bCs w:val="false"/>
          <w:i w:val="false"/>
          <w:iCs w:val="false"/>
          <w:color w:val="2A2A28"/>
          <w:sz w:val="22"/>
          <w:szCs w:val="22"/>
        </w:rPr>
        <w:t xml:space="preserve">The Cylance engagement wasn’t a single campaign win. It was three-plus years of systematic infrastructure-building inside a late-stage startup under exit pressure. That is the profile Halcyon needs.</w:t>
      </w:r>
    </w:p>
    <w:p>
      <w:pPr>
        <w:spacing w:after="60" w:before="0"/>
      </w:pPr>
    </w:p>
    <w:p>
      <w:pPr>
        <w:spacing w:after="80" w:before="0"/>
      </w:pPr>
      <w:r>
        <w:rPr>
          <w:rFonts w:ascii="Arial" w:cs="Arial" w:eastAsia="Arial" w:hAnsi="Arial"/>
          <w:color w:val="888880"/>
          <w:spacing w:val="40"/>
          <w:sz w:val="16"/>
          <w:szCs w:val="16"/>
        </w:rPr>
        <w:t xml:space="preserve">BLACKBERRY — ENTERPRISE-SCALE MARKETING OPERATIONS POST-ACQUISITION</w:t>
      </w:r>
    </w:p>
    <w:p>
      <w:pPr>
        <w:spacing w:after="160" w:before="0"/>
      </w:pPr>
      <w:r>
        <w:rPr>
          <w:rFonts w:ascii="Arial" w:cs="Arial" w:eastAsia="Arial" w:hAnsi="Arial"/>
          <w:b w:val="false"/>
          <w:bCs w:val="false"/>
          <w:i w:val="false"/>
          <w:iCs w:val="false"/>
          <w:color w:val="2A2A28"/>
          <w:sz w:val="22"/>
          <w:szCs w:val="22"/>
        </w:rPr>
        <w:t xml:space="preserve">After the Cylance acquisition, Saren moved into a Senior Director role at BlackBerry, where he managed global digital marketing for what was then described as the world’s largest AI cybersecurity software firm. His scope expanded dramatically:</w:t>
      </w:r>
    </w:p>
    <w:p>
      <w:pPr>
        <w:pStyle w:val="ListParagraph"/>
        <w:numPr>
          <w:ilvl w:val="0"/>
          <w:numId w:val="2"/>
        </w:numPr>
        <w:spacing w:after="100" w:before="0"/>
      </w:pPr>
      <w:r>
        <w:rPr>
          <w:rFonts w:ascii="Arial" w:cs="Arial" w:eastAsia="Arial" w:hAnsi="Arial"/>
          <w:color w:val="2A2A28"/>
          <w:sz w:val="22"/>
          <w:szCs w:val="22"/>
        </w:rPr>
        <w:t xml:space="preserve">Managed the $2.3M corporate paid media planning and execution team</w:t>
      </w:r>
    </w:p>
    <w:p>
      <w:pPr>
        <w:pStyle w:val="ListParagraph"/>
        <w:numPr>
          <w:ilvl w:val="0"/>
          <w:numId w:val="2"/>
        </w:numPr>
        <w:spacing w:after="100" w:before="0"/>
      </w:pPr>
      <w:r>
        <w:rPr>
          <w:rFonts w:ascii="Arial" w:cs="Arial" w:eastAsia="Arial" w:hAnsi="Arial"/>
          <w:color w:val="2A2A28"/>
          <w:sz w:val="22"/>
          <w:szCs w:val="22"/>
        </w:rPr>
        <w:t xml:space="preserve">Drove 550% year-over-year increase in intent-driven traffic through SEM strategy optimization</w:t>
      </w:r>
    </w:p>
    <w:p>
      <w:pPr>
        <w:pStyle w:val="ListParagraph"/>
        <w:numPr>
          <w:ilvl w:val="0"/>
          <w:numId w:val="2"/>
        </w:numPr>
        <w:spacing w:after="100" w:before="0"/>
      </w:pPr>
      <w:r>
        <w:rPr>
          <w:rFonts w:ascii="Arial" w:cs="Arial" w:eastAsia="Arial" w:hAnsi="Arial"/>
          <w:color w:val="2A2A28"/>
          <w:sz w:val="22"/>
          <w:szCs w:val="22"/>
        </w:rPr>
        <w:t xml:space="preserve">Achieved 8× year-over-year growth in ABM traction — a metric that directly maps to Halcyon’s enterprise targeting strategy</w:t>
      </w:r>
    </w:p>
    <w:p>
      <w:pPr>
        <w:pStyle w:val="ListParagraph"/>
        <w:numPr>
          <w:ilvl w:val="0"/>
          <w:numId w:val="2"/>
        </w:numPr>
        <w:spacing w:after="100" w:before="0"/>
      </w:pPr>
      <w:r>
        <w:rPr>
          <w:rFonts w:ascii="Arial" w:cs="Arial" w:eastAsia="Arial" w:hAnsi="Arial"/>
          <w:color w:val="2A2A28"/>
          <w:sz w:val="22"/>
          <w:szCs w:val="22"/>
        </w:rPr>
        <w:t xml:space="preserve">Reported directly to the Chief Marketing Officer and delivered quarterly presentations to the Board of Directors</w:t>
      </w:r>
    </w:p>
    <w:p>
      <w:pPr>
        <w:spacing w:after="100" w:before="0"/>
      </w:pPr>
    </w:p>
    <w:p>
      <w:pPr>
        <w:spacing w:after="160" w:before="0"/>
      </w:pPr>
      <w:r>
        <w:rPr>
          <w:rFonts w:ascii="Arial" w:cs="Arial" w:eastAsia="Arial" w:hAnsi="Arial"/>
          <w:b w:val="false"/>
          <w:bCs w:val="false"/>
          <w:i w:val="false"/>
          <w:iCs w:val="false"/>
          <w:color w:val="2A2A28"/>
          <w:sz w:val="22"/>
          <w:szCs w:val="22"/>
        </w:rPr>
        <w:t xml:space="preserve">Board-level accountability is not a common attribute in VP DG candidates. Saren has already operated at that level of visibility and financial scrutiny. He will not need to develop executive presence — he already has it.</w:t>
      </w:r>
    </w:p>
    <w:p>
      <w:pPr>
        <w:spacing w:after="60" w:before="0"/>
      </w:pPr>
    </w:p>
    <w:p>
      <w:pPr>
        <w:spacing w:after="80" w:before="0"/>
      </w:pPr>
      <w:r>
        <w:rPr>
          <w:rFonts w:ascii="Arial" w:cs="Arial" w:eastAsia="Arial" w:hAnsi="Arial"/>
          <w:color w:val="888880"/>
          <w:spacing w:val="40"/>
          <w:sz w:val="16"/>
          <w:szCs w:val="16"/>
        </w:rPr>
        <w:t xml:space="preserve">WETHOSAI AND QWIET AI — REPLICABLE RESULTS ACROSS DIFFERENT CONTEXTS</w:t>
      </w:r>
    </w:p>
    <w:p>
      <w:pPr>
        <w:spacing w:after="160" w:before="0"/>
      </w:pPr>
      <w:r>
        <w:rPr>
          <w:rFonts w:ascii="Arial" w:cs="Arial" w:eastAsia="Arial" w:hAnsi="Arial"/>
          <w:b w:val="false"/>
          <w:bCs w:val="false"/>
          <w:i w:val="false"/>
          <w:iCs w:val="false"/>
          <w:color w:val="2A2A28"/>
          <w:sz w:val="22"/>
          <w:szCs w:val="22"/>
        </w:rPr>
        <w:t xml:space="preserve">Saren’s most recent engagements demonstrate that his Cylance results were not a single-company phenomenon. At WethosAI, a pre-Series A behavioral intelligence platform, he produced 344% inbound lead growth, improved demo-to-opportunity conversion by 28%, and built a content-assisted pipeline that drove 41% of new business — all with startup-level resources.</w:t>
      </w:r>
    </w:p>
    <w:p>
      <w:pPr>
        <w:spacing w:after="160" w:before="0"/>
      </w:pPr>
      <w:r>
        <w:rPr>
          <w:rFonts w:ascii="Arial" w:cs="Arial" w:eastAsia="Arial" w:hAnsi="Arial"/>
          <w:b w:val="false"/>
          <w:bCs w:val="false"/>
          <w:i w:val="false"/>
          <w:iCs w:val="false"/>
          <w:color w:val="2A2A28"/>
          <w:sz w:val="22"/>
          <w:szCs w:val="22"/>
        </w:rPr>
        <w:t xml:space="preserve">At Qwiet AI, he rebuilt a broken demand gen program in six weeks: weekly leads went from 2–3 to 20–30, Google Ads spend dropped 70% while conversion rates increased 30%, and LinkedIn inbound leads grew 300% in a single quarter.</w:t>
      </w:r>
    </w:p>
    <w:p>
      <w:pPr>
        <w:spacing w:after="160" w:before="0"/>
      </w:pPr>
      <w:r>
        <w:rPr>
          <w:rFonts w:ascii="Arial" w:cs="Arial" w:eastAsia="Arial" w:hAnsi="Arial"/>
          <w:b w:val="false"/>
          <w:bCs w:val="false"/>
          <w:i w:val="false"/>
          <w:iCs w:val="false"/>
          <w:color w:val="2A2A28"/>
          <w:sz w:val="22"/>
          <w:szCs w:val="22"/>
        </w:rPr>
        <w:t xml:space="preserve">The pattern is consistent across company stages, budgets, and product categories: Saren diagnoses quickly, rebuilds systematically, and produces results that compound. That is the operating model Halcyon needs.</w:t>
      </w:r>
    </w:p>
    <w:p>
      <w:pPr>
        <w:spacing w:after="60" w:before="0"/>
      </w:pPr>
    </w:p>
    <w:p>
      <w:pPr>
        <w:spacing w:after="80" w:before="0"/>
      </w:pPr>
      <w:r>
        <w:rPr>
          <w:rFonts w:ascii="Arial" w:cs="Arial" w:eastAsia="Arial" w:hAnsi="Arial"/>
          <w:color w:val="888880"/>
          <w:spacing w:val="40"/>
          <w:sz w:val="16"/>
          <w:szCs w:val="16"/>
        </w:rPr>
        <w:t xml:space="preserve">AI-AUGMENTED DEMAND GEN — SCALING WITH SYSTEMS, NOT HEADCOUNT</w:t>
      </w:r>
    </w:p>
    <w:p>
      <w:pPr>
        <w:spacing w:after="160" w:before="0"/>
      </w:pPr>
      <w:r>
        <w:rPr>
          <w:rFonts w:ascii="Arial" w:cs="Arial" w:eastAsia="Arial" w:hAnsi="Arial"/>
          <w:b w:val="false"/>
          <w:bCs w:val="false"/>
          <w:i w:val="false"/>
          <w:iCs w:val="false"/>
          <w:color w:val="2A2A28"/>
          <w:sz w:val="22"/>
          <w:szCs w:val="22"/>
        </w:rPr>
        <w:t xml:space="preserve">Saren has invested heavily in building AI-native marketing infrastructure — not as a gimmick, but as a genuine operational philosophy. He has built a 23-prompt AI marketing framework spanning market definition, persona development, journey mapping, messaging architecture, and campaign configuration. He co-founded Onederous, an AI-powered brand marketing engine.</w:t>
      </w:r>
    </w:p>
    <w:p>
      <w:pPr>
        <w:spacing w:after="160" w:before="0"/>
      </w:pPr>
      <w:r>
        <w:rPr>
          <w:rFonts w:ascii="Arial" w:cs="Arial" w:eastAsia="Arial" w:hAnsi="Arial"/>
          <w:b w:val="false"/>
          <w:bCs w:val="false"/>
          <w:i w:val="false"/>
          <w:iCs w:val="false"/>
          <w:color w:val="2A2A28"/>
          <w:sz w:val="22"/>
          <w:szCs w:val="22"/>
        </w:rPr>
        <w:t xml:space="preserve">For Halcyon, this matters for a specific reason: the most efficient demand gen operations at growth-stage companies are not the ones with the largest teams — they are the ones with the best systems. An AI-augmented approach allows Saren to scale campaign output, content production, and performance analysis without proportionally scaling headcount. In a funding environment where efficiency ratios matter to investors and boards, this is a structural advantage.</w:t>
      </w:r>
    </w:p>
    <w:p>
      <w:pPr>
        <w:pBdr>
          <w:bottom w:val="single" w:color="CCCBC5" w:sz="4"/>
        </w:pBdr>
        <w:spacing w:after="120" w:before="360"/>
      </w:pPr>
      <w:r>
        <w:rPr>
          <w:rFonts w:ascii="Arial" w:cs="Arial" w:eastAsia="Arial" w:hAnsi="Arial"/>
          <w:b/>
          <w:bCs/>
          <w:color w:val="1A1A18"/>
          <w:sz w:val="24"/>
          <w:szCs w:val="24"/>
        </w:rPr>
        <w:t xml:space="preserve">Section 3: Why Saren Is Better Than Alternative Candidates</w:t>
      </w:r>
    </w:p>
    <w:p>
      <w:pPr>
        <w:spacing w:after="60" w:before="0"/>
      </w:pPr>
    </w:p>
    <w:p>
      <w:pPr>
        <w:spacing w:after="80" w:before="0"/>
      </w:pPr>
      <w:r>
        <w:rPr>
          <w:rFonts w:ascii="Arial" w:cs="Arial" w:eastAsia="Arial" w:hAnsi="Arial"/>
          <w:color w:val="888880"/>
          <w:spacing w:val="40"/>
          <w:sz w:val="16"/>
          <w:szCs w:val="16"/>
        </w:rPr>
        <w:t xml:space="preserve">VS. INTERNAL PROMOTION FROM EXISTING MARKETING</w:t>
      </w:r>
    </w:p>
    <w:p>
      <w:pPr>
        <w:spacing w:after="160" w:before="0"/>
      </w:pPr>
      <w:r>
        <w:rPr>
          <w:rFonts w:ascii="Arial" w:cs="Arial" w:eastAsia="Arial" w:hAnsi="Arial"/>
          <w:b w:val="false"/>
          <w:bCs w:val="false"/>
          <w:i w:val="false"/>
          <w:iCs w:val="false"/>
          <w:color w:val="2A2A28"/>
          <w:sz w:val="22"/>
          <w:szCs w:val="22"/>
        </w:rPr>
        <w:t xml:space="preserve">The typical internal candidate for a VP DG role has execution-level experience in one or two channels but lacks the enterprise complexity and systems-level thinking that Halcyon’s current growth stage demands. Promoting internally is appropriate when the goal is continuity; it is not appropriate when the goal is step-change pipeline growth in a difficult market.</w:t>
      </w:r>
    </w:p>
    <w:p>
      <w:pPr>
        <w:spacing w:after="160" w:before="0"/>
      </w:pPr>
      <w:r>
        <w:rPr>
          <w:rFonts w:ascii="Arial" w:cs="Arial" w:eastAsia="Arial" w:hAnsi="Arial"/>
          <w:b w:val="false"/>
          <w:bCs w:val="false"/>
          <w:i w:val="false"/>
          <w:iCs w:val="false"/>
          <w:color w:val="2A2A28"/>
          <w:sz w:val="22"/>
          <w:szCs w:val="22"/>
        </w:rPr>
        <w:t xml:space="preserve">Halcyon’s target buyer — the CISO navigating a board-mandated ransomware resilience initiative in manufacturing or healthcare — requires demand gen infrastructure that most internal candidates have never built. The cost of a learning curve at VP level is measured in quarters of missed pipeline, not weeks of onboarding.</w:t>
      </w:r>
    </w:p>
    <w:p>
      <w:pPr>
        <w:spacing w:after="60" w:before="0"/>
      </w:pPr>
    </w:p>
    <w:p>
      <w:pPr>
        <w:spacing w:after="80" w:before="0"/>
      </w:pPr>
      <w:r>
        <w:rPr>
          <w:rFonts w:ascii="Arial" w:cs="Arial" w:eastAsia="Arial" w:hAnsi="Arial"/>
          <w:color w:val="888880"/>
          <w:spacing w:val="40"/>
          <w:sz w:val="16"/>
          <w:szCs w:val="16"/>
        </w:rPr>
        <w:t xml:space="preserve">VS. EXTERNAL HIRE FROM A LARGE TECH COMPANY</w:t>
      </w:r>
    </w:p>
    <w:p>
      <w:pPr>
        <w:spacing w:after="160" w:before="0"/>
      </w:pPr>
      <w:r>
        <w:rPr>
          <w:rFonts w:ascii="Arial" w:cs="Arial" w:eastAsia="Arial" w:hAnsi="Arial"/>
          <w:b w:val="false"/>
          <w:bCs w:val="false"/>
          <w:i w:val="false"/>
          <w:iCs w:val="false"/>
          <w:color w:val="2A2A28"/>
          <w:sz w:val="22"/>
          <w:szCs w:val="22"/>
        </w:rPr>
        <w:t xml:space="preserve">The experienced demand gen leader from a large-cap tech company brings brand equity and process familiarity. What they often lack is the startup operating mentality, the budget creativity, and the urgency that Halcyon’s growth stage requires. Large-company demand gen leaders are trained to run established programs, not build from scratch. They are expensive, slow to adapt, and often struggle when they cannot rely on existing brand recognition and agency infrastructure to generate pipeline.</w:t>
      </w:r>
    </w:p>
    <w:p>
      <w:pPr>
        <w:spacing w:after="160" w:before="0"/>
      </w:pPr>
      <w:r>
        <w:rPr>
          <w:rFonts w:ascii="Arial" w:cs="Arial" w:eastAsia="Arial" w:hAnsi="Arial"/>
          <w:b w:val="false"/>
          <w:bCs w:val="false"/>
          <w:i w:val="false"/>
          <w:iCs w:val="false"/>
          <w:color w:val="2A2A28"/>
          <w:sz w:val="22"/>
          <w:szCs w:val="22"/>
        </w:rPr>
        <w:t xml:space="preserve">More specifically: a candidate who has spent their career at a Palo Alto Networks or a Cisco has never had to build a demand gen program without a marketing organization of 50+ people behind them. Saren has. Multiple times.</w:t>
      </w:r>
    </w:p>
    <w:p>
      <w:pPr>
        <w:spacing w:after="60" w:before="0"/>
      </w:pPr>
    </w:p>
    <w:p>
      <w:pPr>
        <w:spacing w:after="80" w:before="0"/>
      </w:pPr>
      <w:r>
        <w:rPr>
          <w:rFonts w:ascii="Arial" w:cs="Arial" w:eastAsia="Arial" w:hAnsi="Arial"/>
          <w:color w:val="888880"/>
          <w:spacing w:val="40"/>
          <w:sz w:val="16"/>
          <w:szCs w:val="16"/>
        </w:rPr>
        <w:t xml:space="preserve">VS. AGENCY OR CONSULTANT BROUGHT IN-HOUSE</w:t>
      </w:r>
    </w:p>
    <w:p>
      <w:pPr>
        <w:spacing w:after="160" w:before="0"/>
      </w:pPr>
      <w:r>
        <w:rPr>
          <w:rFonts w:ascii="Arial" w:cs="Arial" w:eastAsia="Arial" w:hAnsi="Arial"/>
          <w:b w:val="false"/>
          <w:bCs w:val="false"/>
          <w:i w:val="false"/>
          <w:iCs w:val="false"/>
          <w:color w:val="2A2A28"/>
          <w:sz w:val="22"/>
          <w:szCs w:val="22"/>
        </w:rPr>
        <w:t xml:space="preserve">The fractional consultant hire can diagnose and recommend, but they are structurally misaligned with the FTE role. They optimize for engagement scope and deliverable delivery, not for long-term pipeline growth. They build decks, not teams. They advise on strategy, but someone else has to own the number.</w:t>
      </w:r>
    </w:p>
    <w:p>
      <w:pPr>
        <w:spacing w:after="160" w:before="0"/>
      </w:pPr>
      <w:r>
        <w:rPr>
          <w:rFonts w:ascii="Arial" w:cs="Arial" w:eastAsia="Arial" w:hAnsi="Arial"/>
          <w:b w:val="false"/>
          <w:bCs w:val="false"/>
          <w:i w:val="false"/>
          <w:iCs w:val="false"/>
          <w:color w:val="2A2A28"/>
          <w:sz w:val="22"/>
          <w:szCs w:val="22"/>
        </w:rPr>
        <w:t xml:space="preserve">What Saren brings that a consultant cannot is full-cycle accountability. He has owned pipeline targets. He has built teams. He has stood in front of a board and explained why CAC moved. The distinction between a consultant who has done the work and an executive who has owned the outcome is decisive at the VP level.</w:t>
      </w:r>
    </w:p>
    <w:p>
      <w:pPr>
        <w:pBdr>
          <w:bottom w:val="single" w:color="CCCBC5" w:sz="4"/>
        </w:pBdr>
        <w:spacing w:after="120" w:before="360"/>
      </w:pPr>
      <w:r>
        <w:rPr>
          <w:rFonts w:ascii="Arial" w:cs="Arial" w:eastAsia="Arial" w:hAnsi="Arial"/>
          <w:b/>
          <w:bCs/>
          <w:color w:val="1A1A18"/>
          <w:sz w:val="24"/>
          <w:szCs w:val="24"/>
        </w:rPr>
        <w:t xml:space="preserve">Section 4: Specific Capabilities for Halcyon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BC5" w:sz="4"/>
              <w:left w:val="none" w:color="FFFFFF" w:sz="0"/>
              <w:bottom w:val="single" w:color="CCCBC5" w:sz="4"/>
              <w:right w:val="none" w:color="FFFFFF" w:sz="0"/>
            </w:tcBorders>
            <w:shd w:fill="1A1A18" w:val="clear"/>
            <w:tcMar>
              <w:top w:type="dxa" w:w="100"/>
              <w:left w:type="dxa" w:w="160"/>
              <w:bottom w:type="dxa" w:w="100"/>
              <w:right w:type="dxa" w:w="160"/>
            </w:tcMar>
          </w:tcPr>
          <w:p>
            <w:pPr>
              <w:spacing w:after="0" w:before="0"/>
            </w:pPr>
            <w:r>
              <w:rPr>
                <w:rFonts w:ascii="Arial" w:cs="Arial" w:eastAsia="Arial" w:hAnsi="Arial"/>
                <w:b/>
                <w:bCs/>
                <w:color w:val="FFFFFF"/>
                <w:spacing w:val="30"/>
                <w:sz w:val="18"/>
                <w:szCs w:val="18"/>
              </w:rPr>
              <w:t xml:space="preserve">CAPABILITY</w:t>
            </w:r>
          </w:p>
        </w:tc>
        <w:tc>
          <w:tcPr>
            <w:tcW w:type="dxa" w:w="6160"/>
            <w:tcBorders>
              <w:top w:val="single" w:color="CCCBC5" w:sz="4"/>
              <w:left w:val="none" w:color="FFFFFF" w:sz="0"/>
              <w:bottom w:val="single" w:color="CCCBC5" w:sz="4"/>
              <w:right w:val="none" w:color="FFFFFF" w:sz="0"/>
            </w:tcBorders>
            <w:shd w:fill="1A1A18" w:val="clear"/>
            <w:tcMar>
              <w:top w:type="dxa" w:w="100"/>
              <w:left w:type="dxa" w:w="160"/>
              <w:bottom w:type="dxa" w:w="100"/>
              <w:right w:type="dxa" w:w="160"/>
            </w:tcMar>
          </w:tcPr>
          <w:p>
            <w:pPr>
              <w:spacing w:after="0" w:before="0"/>
            </w:pPr>
            <w:r>
              <w:rPr>
                <w:rFonts w:ascii="Arial" w:cs="Arial" w:eastAsia="Arial" w:hAnsi="Arial"/>
                <w:b/>
                <w:bCs/>
                <w:color w:val="FFFFFF"/>
                <w:spacing w:val="30"/>
                <w:sz w:val="18"/>
                <w:szCs w:val="18"/>
              </w:rPr>
              <w:t xml:space="preserve">HALCYON APPLICATION</w:t>
            </w:r>
          </w:p>
        </w:tc>
      </w:tr>
      <w:tr>
        <w:tc>
          <w:tcPr>
            <w:tcW w:type="dxa" w:w="3200"/>
            <w:tcBorders>
              <w:top w:val="none" w:color="FFFFFF" w:sz="0"/>
              <w:left w:val="none" w:color="FFFFFF" w:sz="0"/>
              <w:bottom w:val="single" w:color="CCCBC5" w:sz="4"/>
              <w:right w:val="none" w:color="FFFFFF" w:sz="0"/>
            </w:tcBorders>
            <w:shd w:fill="F4F3EF" w:val="clear"/>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Enterprise &amp; government buyer expertise</w:t>
            </w:r>
          </w:p>
        </w:tc>
        <w:tc>
          <w:tcPr>
            <w:tcW w:type="dxa" w:w="616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color w:val="2A2A28"/>
                <w:sz w:val="21"/>
                <w:szCs w:val="21"/>
              </w:rPr>
              <w:t xml:space="preserve">Halcyon’s ICP is a CISO under board pressure in manufacturing, healthcare, or government. Saren has built demand gen specifically for that buyer at Cylance, including government/sovereign cloud contexts with 16-month deal cycles and multi-stakeholder buying committees.</w:t>
            </w:r>
          </w:p>
        </w:tc>
      </w:tr>
      <w:tr>
        <w:tc>
          <w:tcPr>
            <w:tcW w:type="dxa" w:w="3200"/>
            <w:tcBorders>
              <w:top w:val="none" w:color="FFFFFF" w:sz="0"/>
              <w:left w:val="none" w:color="FFFFFF" w:sz="0"/>
              <w:bottom w:val="single" w:color="CCCBC5" w:sz="4"/>
              <w:right w:val="none" w:color="FFFFFF" w:sz="0"/>
            </w:tcBorders>
            <w:shd w:fill="F4F3EF" w:val="clear"/>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Demand gen in a crowded security market</w:t>
            </w:r>
          </w:p>
        </w:tc>
        <w:tc>
          <w:tcPr>
            <w:tcW w:type="dxa" w:w="616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color w:val="2A2A28"/>
                <w:sz w:val="21"/>
                <w:szCs w:val="21"/>
              </w:rPr>
              <w:t xml:space="preserve">Halcyon competes for CISO attention against CrowdStrike, SentinelOne, and Microsoft Defender — companies with dramatically larger marketing budgets. Saren built Cylance’s demand gen program against those same competitors and doubled their share of voice.</w:t>
            </w:r>
          </w:p>
        </w:tc>
      </w:tr>
      <w:tr>
        <w:tc>
          <w:tcPr>
            <w:tcW w:type="dxa" w:w="3200"/>
            <w:tcBorders>
              <w:top w:val="none" w:color="FFFFFF" w:sz="0"/>
              <w:left w:val="none" w:color="FFFFFF" w:sz="0"/>
              <w:bottom w:val="single" w:color="CCCBC5" w:sz="4"/>
              <w:right w:val="none" w:color="FFFFFF" w:sz="0"/>
            </w:tcBorders>
            <w:shd w:fill="F4F3EF" w:val="clear"/>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Marketing infrastructure for rapid scale</w:t>
            </w:r>
          </w:p>
        </w:tc>
        <w:tc>
          <w:tcPr>
            <w:tcW w:type="dxa" w:w="616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color w:val="2A2A28"/>
                <w:sz w:val="21"/>
                <w:szCs w:val="21"/>
              </w:rPr>
              <w:t xml:space="preserve">Halcyon is at a stage where demand gen infrastructure matters more than individual campaigns. Saren has built the Sirius Decisions framework, behavioral lead scoring, multi-region content operations, and attribution architecture. The infrastructure playbook exists. He’s already run it.</w:t>
            </w:r>
          </w:p>
        </w:tc>
      </w:tr>
      <w:tr>
        <w:tc>
          <w:tcPr>
            <w:tcW w:type="dxa" w:w="3200"/>
            <w:tcBorders>
              <w:top w:val="none" w:color="FFFFFF" w:sz="0"/>
              <w:left w:val="none" w:color="FFFFFF" w:sz="0"/>
              <w:bottom w:val="single" w:color="CCCBC5" w:sz="4"/>
              <w:right w:val="none" w:color="FFFFFF" w:sz="0"/>
            </w:tcBorders>
            <w:shd w:fill="F4F3EF" w:val="clear"/>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AI-native demand gen operations</w:t>
            </w:r>
          </w:p>
        </w:tc>
        <w:tc>
          <w:tcPr>
            <w:tcW w:type="dxa" w:w="616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color w:val="2A2A28"/>
                <w:sz w:val="21"/>
                <w:szCs w:val="21"/>
              </w:rPr>
              <w:t xml:space="preserve">Halcyon’s mission is AI-powered ransomware defense. A VP DG who uses AI-augmented demand gen systems is alignment in both philosophy and practice — a meaningful signal to the organization and to the market.</w:t>
            </w:r>
          </w:p>
        </w:tc>
      </w:tr>
    </w:tbl>
    <w:p>
      <w:pPr>
        <w:pBdr>
          <w:bottom w:val="single" w:color="CCCBC5" w:sz="4"/>
        </w:pBdr>
        <w:spacing w:after="120" w:before="360"/>
      </w:pPr>
      <w:r>
        <w:rPr>
          <w:rFonts w:ascii="Arial" w:cs="Arial" w:eastAsia="Arial" w:hAnsi="Arial"/>
          <w:b/>
          <w:bCs/>
          <w:color w:val="1A1A18"/>
          <w:sz w:val="24"/>
          <w:szCs w:val="24"/>
        </w:rPr>
        <w:t xml:space="preserve">Section 5: 90-Day Roadmap &amp; Early Wins</w:t>
      </w:r>
    </w:p>
    <w:p>
      <w:pPr>
        <w:spacing w:after="60" w:before="0"/>
      </w:pPr>
    </w:p>
    <w:p>
      <w:pPr>
        <w:spacing w:after="160" w:before="0"/>
      </w:pPr>
      <w:r>
        <w:rPr>
          <w:rFonts w:ascii="Arial" w:cs="Arial" w:eastAsia="Arial" w:hAnsi="Arial"/>
          <w:b w:val="false"/>
          <w:bCs w:val="false"/>
          <w:i w:val="false"/>
          <w:iCs w:val="false"/>
          <w:color w:val="2A2A28"/>
          <w:sz w:val="22"/>
          <w:szCs w:val="22"/>
        </w:rPr>
        <w:t xml:space="preserve">The following roadmap is not hypothetical. It is derived from the actual sequence Saren has executed across multiple engagements. It is presented here as evidence of his operational discipline and as a basis for expectation-setting with the hiring team.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BC5" w:sz="4"/>
              <w:left w:val="none" w:color="FFFFFF" w:sz="0"/>
              <w:bottom w:val="single" w:color="CCCBC5" w:sz="4"/>
              <w:right w:val="none" w:color="FFFFFF" w:sz="0"/>
            </w:tcBorders>
            <w:shd w:fill="1A1A18" w:val="clear"/>
            <w:tcMar>
              <w:top w:type="dxa" w:w="100"/>
              <w:left w:type="dxa" w:w="160"/>
              <w:bottom w:type="dxa" w:w="100"/>
              <w:right w:type="dxa" w:w="160"/>
            </w:tcMar>
          </w:tcPr>
          <w:p>
            <w:pPr>
              <w:spacing w:after="0" w:before="0"/>
            </w:pPr>
            <w:r>
              <w:rPr>
                <w:rFonts w:ascii="Arial" w:cs="Arial" w:eastAsia="Arial" w:hAnsi="Arial"/>
                <w:b/>
                <w:bCs/>
                <w:color w:val="FFFFFF"/>
                <w:spacing w:val="30"/>
                <w:sz w:val="18"/>
                <w:szCs w:val="18"/>
              </w:rPr>
              <w:t xml:space="preserve">PHASE</w:t>
            </w:r>
          </w:p>
        </w:tc>
        <w:tc>
          <w:tcPr>
            <w:tcW w:type="dxa" w:w="3200"/>
            <w:tcBorders>
              <w:top w:val="single" w:color="CCCBC5" w:sz="4"/>
              <w:left w:val="none" w:color="FFFFFF" w:sz="0"/>
              <w:bottom w:val="single" w:color="CCCBC5" w:sz="4"/>
              <w:right w:val="none" w:color="FFFFFF" w:sz="0"/>
            </w:tcBorders>
            <w:shd w:fill="1A1A18" w:val="clear"/>
            <w:tcMar>
              <w:top w:type="dxa" w:w="100"/>
              <w:left w:type="dxa" w:w="160"/>
              <w:bottom w:type="dxa" w:w="100"/>
              <w:right w:type="dxa" w:w="160"/>
            </w:tcMar>
          </w:tcPr>
          <w:p>
            <w:pPr>
              <w:spacing w:after="0" w:before="0"/>
            </w:pPr>
            <w:r>
              <w:rPr>
                <w:rFonts w:ascii="Arial" w:cs="Arial" w:eastAsia="Arial" w:hAnsi="Arial"/>
                <w:b/>
                <w:bCs/>
                <w:color w:val="FFFFFF"/>
                <w:spacing w:val="30"/>
                <w:sz w:val="18"/>
                <w:szCs w:val="18"/>
              </w:rPr>
              <w:t xml:space="preserve">FOCUS</w:t>
            </w:r>
          </w:p>
        </w:tc>
        <w:tc>
          <w:tcPr>
            <w:tcW w:type="dxa" w:w="4560"/>
            <w:tcBorders>
              <w:top w:val="single" w:color="CCCBC5" w:sz="4"/>
              <w:left w:val="none" w:color="FFFFFF" w:sz="0"/>
              <w:bottom w:val="single" w:color="CCCBC5" w:sz="4"/>
              <w:right w:val="none" w:color="FFFFFF" w:sz="0"/>
            </w:tcBorders>
            <w:shd w:fill="1A1A18" w:val="clear"/>
            <w:tcMar>
              <w:top w:type="dxa" w:w="100"/>
              <w:left w:type="dxa" w:w="160"/>
              <w:bottom w:type="dxa" w:w="100"/>
              <w:right w:type="dxa" w:w="160"/>
            </w:tcMar>
          </w:tcPr>
          <w:p>
            <w:pPr>
              <w:spacing w:after="0" w:before="0"/>
            </w:pPr>
            <w:r>
              <w:rPr>
                <w:rFonts w:ascii="Arial" w:cs="Arial" w:eastAsia="Arial" w:hAnsi="Arial"/>
                <w:b/>
                <w:bCs/>
                <w:color w:val="FFFFFF"/>
                <w:spacing w:val="30"/>
                <w:sz w:val="18"/>
                <w:szCs w:val="18"/>
              </w:rPr>
              <w:t xml:space="preserve">DELIVERABLE</w:t>
            </w:r>
          </w:p>
        </w:tc>
      </w:tr>
      <w:tr>
        <w:tc>
          <w:tcPr>
            <w:tcW w:type="dxa" w:w="1600"/>
            <w:tcBorders>
              <w:top w:val="none" w:color="FFFFFF" w:sz="0"/>
              <w:left w:val="none" w:color="FFFFFF" w:sz="0"/>
              <w:bottom w:val="single" w:color="CCCBC5" w:sz="4"/>
              <w:right w:val="none" w:color="FFFFFF" w:sz="0"/>
            </w:tcBorders>
            <w:shd w:fill="F4F3EF" w:val="clear"/>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Days 1–30</w:t>
            </w:r>
          </w:p>
        </w:tc>
        <w:tc>
          <w:tcPr>
            <w:tcW w:type="dxa" w:w="320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Discovery &amp; diagnosis</w:t>
            </w:r>
          </w:p>
        </w:tc>
        <w:tc>
          <w:tcPr>
            <w:tcW w:type="dxa" w:w="456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color w:val="2A2A28"/>
                <w:sz w:val="20"/>
                <w:szCs w:val="20"/>
              </w:rPr>
              <w:t xml:space="preserve">Stakeholder interviews (sales, product, CS, finance). Full audit of demand gen infrastructure, tech stack, and attribution. Buyer and competitive research.
Deliverable: “State of Halcyon Demand Gen” report with ranked gaps and 90-day priorities.</w:t>
            </w:r>
          </w:p>
        </w:tc>
      </w:tr>
      <w:tr>
        <w:tc>
          <w:tcPr>
            <w:tcW w:type="dxa" w:w="1600"/>
            <w:tcBorders>
              <w:top w:val="none" w:color="FFFFFF" w:sz="0"/>
              <w:left w:val="none" w:color="FFFFFF" w:sz="0"/>
              <w:bottom w:val="single" w:color="CCCBC5" w:sz="4"/>
              <w:right w:val="none" w:color="FFFFFF" w:sz="0"/>
            </w:tcBorders>
            <w:shd w:fill="F4F3EF" w:val="clear"/>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Days 31–60</w:t>
            </w:r>
          </w:p>
        </w:tc>
        <w:tc>
          <w:tcPr>
            <w:tcW w:type="dxa" w:w="320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Quick wins &amp; infrastructure</w:t>
            </w:r>
          </w:p>
        </w:tc>
        <w:tc>
          <w:tcPr>
            <w:tcW w:type="dxa" w:w="456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color w:val="2A2A28"/>
                <w:sz w:val="20"/>
                <w:szCs w:val="20"/>
              </w:rPr>
              <w:t xml:space="preserve">Launch first demand gen initiative (ABM play or targeted webinar). Implement behavioral lead scoring model with MQL/SQL thresholds. Build 6-month content calendar.
Deliverable: Scoring model live. First campaign results and initial pipeline attribution.</w:t>
            </w:r>
          </w:p>
        </w:tc>
      </w:tr>
      <w:tr>
        <w:tc>
          <w:tcPr>
            <w:tcW w:type="dxa" w:w="1600"/>
            <w:tcBorders>
              <w:top w:val="none" w:color="FFFFFF" w:sz="0"/>
              <w:left w:val="none" w:color="FFFFFF" w:sz="0"/>
              <w:bottom w:val="single" w:color="CCCBC5" w:sz="4"/>
              <w:right w:val="none" w:color="FFFFFF" w:sz="0"/>
            </w:tcBorders>
            <w:shd w:fill="F4F3EF" w:val="clear"/>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Days 61–90</w:t>
            </w:r>
          </w:p>
        </w:tc>
        <w:tc>
          <w:tcPr>
            <w:tcW w:type="dxa" w:w="320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b/>
                <w:bCs/>
                <w:color w:val="2A2A28"/>
                <w:sz w:val="21"/>
                <w:szCs w:val="21"/>
              </w:rPr>
              <w:t xml:space="preserve">Team &amp; systems scaling</w:t>
            </w:r>
          </w:p>
        </w:tc>
        <w:tc>
          <w:tcPr>
            <w:tcW w:type="dxa" w:w="4560"/>
            <w:tcBorders>
              <w:top w:val="none" w:color="FFFFFF" w:sz="0"/>
              <w:left w:val="none" w:color="FFFFFF" w:sz="0"/>
              <w:bottom w:val="single" w:color="CCCBC5" w:sz="4"/>
              <w:right w:val="none" w:color="FFFFFF" w:sz="0"/>
            </w:tcBorders>
            <w:tcMar>
              <w:top w:type="dxa" w:w="100"/>
              <w:left w:type="dxa" w:w="160"/>
              <w:bottom w:type="dxa" w:w="100"/>
              <w:right w:type="dxa" w:w="160"/>
            </w:tcMar>
          </w:tcPr>
          <w:p>
            <w:pPr>
              <w:spacing w:after="0" w:before="0"/>
            </w:pPr>
            <w:r>
              <w:rPr>
                <w:rFonts w:ascii="Arial" w:cs="Arial" w:eastAsia="Arial" w:hAnsi="Arial"/>
                <w:color w:val="2A2A28"/>
                <w:sz w:val="20"/>
                <w:szCs w:val="20"/>
              </w:rPr>
              <w:t xml:space="preserve">Define org structure and hiring needs. Deploy 6-month demand gen playbook across paid, ABM, content, and field. Establish KPI dashboards and weekly metrics cadence.
Deliverable: Org proposal. 12-month financial model. Board-ready pipeline reporting.</w:t>
            </w:r>
          </w:p>
        </w:tc>
      </w:tr>
    </w:tbl>
    <w:p>
      <w:pPr>
        <w:spacing w:after="160" w:before="0"/>
      </w:pPr>
    </w:p>
    <w:p>
      <w:pPr>
        <w:spacing w:after="160" w:before="0"/>
      </w:pPr>
      <w:r>
        <w:rPr>
          <w:rFonts w:ascii="Arial" w:cs="Arial" w:eastAsia="Arial" w:hAnsi="Arial"/>
          <w:b w:val="false"/>
          <w:bCs w:val="false"/>
          <w:i w:val="false"/>
          <w:iCs w:val="false"/>
          <w:color w:val="2A2A28"/>
          <w:sz w:val="22"/>
          <w:szCs w:val="22"/>
        </w:rPr>
        <w:t xml:space="preserve">By the end of day 90, Halcyon should have: a live lead scoring infrastructure, two to three active demand gen campaigns with attribution data, a defined team structure with open requisitions, and a 12-month demand gen roadmap aligned to board-level pipeline targets. These are not aspirational outcomes — they are the observable pattern from Saren’s prior engagements.</w:t>
      </w:r>
    </w:p>
    <w:p>
      <w:pPr>
        <w:pBdr>
          <w:bottom w:val="single" w:color="CCCBC5" w:sz="4"/>
        </w:pBdr>
        <w:spacing w:after="120" w:before="360"/>
      </w:pPr>
      <w:r>
        <w:rPr>
          <w:rFonts w:ascii="Arial" w:cs="Arial" w:eastAsia="Arial" w:hAnsi="Arial"/>
          <w:b/>
          <w:bCs/>
          <w:color w:val="1A1A18"/>
          <w:sz w:val="24"/>
          <w:szCs w:val="24"/>
        </w:rPr>
        <w:t xml:space="preserve">Section 6: Risk Assessment &amp; Mitigation</w:t>
      </w:r>
    </w:p>
    <w:p>
      <w:pPr>
        <w:spacing w:after="60" w:before="0"/>
      </w:pPr>
    </w:p>
    <w:p>
      <w:pPr>
        <w:spacing w:after="160" w:before="0"/>
      </w:pPr>
      <w:r>
        <w:rPr>
          <w:rFonts w:ascii="Arial" w:cs="Arial" w:eastAsia="Arial" w:hAnsi="Arial"/>
          <w:b w:val="false"/>
          <w:bCs w:val="false"/>
          <w:i w:val="false"/>
          <w:iCs w:val="false"/>
          <w:color w:val="2A2A28"/>
          <w:sz w:val="22"/>
          <w:szCs w:val="22"/>
        </w:rPr>
        <w:t xml:space="preserve">Every hire carries risk. The purpose of this section is to surface the most likely objections from the hiring committee and provide the factual basis for evaluating them.</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1A18" w:val="clear"/>
            <w:tcMar>
              <w:top w:type="dxa" w:w="120"/>
              <w:left w:type="dxa" w:w="160"/>
              <w:bottom w:type="dxa" w:w="120"/>
              <w:right w:type="dxa" w:w="160"/>
            </w:tcMar>
          </w:tcPr>
          <w:p>
            <w:pPr>
              <w:spacing w:after="0" w:before="0"/>
              <w:jc w:val="center"/>
            </w:pPr>
            <w:r>
              <w:rPr>
                <w:rFonts w:ascii="Arial" w:cs="Arial" w:eastAsia="Arial" w:hAnsi="Arial"/>
                <w:b/>
                <w:bCs/>
                <w:color w:val="FFFFFF"/>
                <w:sz w:val="22"/>
                <w:szCs w:val="22"/>
              </w:rPr>
              <w:t xml:space="preserve">Q</w:t>
            </w:r>
          </w:p>
        </w:tc>
        <w:tc>
          <w:tcPr>
            <w:tcW w:type="dxa" w:w="8800"/>
            <w:tcBorders>
              <w:top w:val="single" w:color="CCCBC5" w:sz="4"/>
              <w:left w:val="none" w:color="FFFFFF" w:sz="0"/>
              <w:bottom w:val="single" w:color="CCCBC5" w:sz="4"/>
              <w:right w:val="none" w:color="FFFFFF" w:sz="0"/>
            </w:tcBorders>
            <w:shd w:fill="F4F3EF" w:val="clear"/>
            <w:tcMar>
              <w:top w:type="dxa" w:w="120"/>
              <w:left w:type="dxa" w:w="180"/>
              <w:bottom w:type="dxa" w:w="120"/>
              <w:right w:type="dxa" w:w="180"/>
            </w:tcMar>
          </w:tcPr>
          <w:p>
            <w:pPr>
              <w:spacing w:after="0" w:before="0"/>
            </w:pPr>
            <w:r>
              <w:rPr>
                <w:rFonts w:ascii="Arial" w:cs="Arial" w:eastAsia="Arial" w:hAnsi="Arial"/>
                <w:b/>
                <w:bCs/>
                <w:i/>
                <w:iCs/>
                <w:color w:val="2A2A28"/>
                <w:sz w:val="22"/>
                <w:szCs w:val="22"/>
              </w:rPr>
              <w:t xml:space="preserve">“He’s been a fractional consultant — can he own full P&amp;L?”</w:t>
            </w:r>
          </w:p>
        </w:tc>
      </w:tr>
      <w:tr>
        <w:tc>
          <w:tcPr>
            <w:tcW w:type="dxa" w:w="560"/>
            <w:tcBorders>
              <w:top w:val="none" w:color="FFFFFF" w:sz="0"/>
              <w:left w:val="none" w:color="FFFFFF" w:sz="0"/>
              <w:bottom w:val="none" w:color="FFFFFF" w:sz="0"/>
              <w:right w:val="none" w:color="FFFFFF" w:sz="0"/>
            </w:tcBorders>
            <w:shd w:fill="3A3A38" w:val="clear"/>
            <w:tcMar>
              <w:top w:type="dxa" w:w="120"/>
              <w:left w:type="dxa" w:w="160"/>
              <w:bottom w:type="dxa" w:w="120"/>
              <w:right w:type="dxa" w:w="160"/>
            </w:tcMar>
          </w:tcPr>
          <w:p>
            <w:pPr>
              <w:spacing w:after="0" w:before="0"/>
              <w:jc w:val="center"/>
            </w:pPr>
            <w:r>
              <w:rPr>
                <w:rFonts w:ascii="Arial" w:cs="Arial" w:eastAsia="Arial" w:hAnsi="Arial"/>
                <w:b/>
                <w:bCs/>
                <w:color w:val="CCCCAA"/>
                <w:sz w:val="22"/>
                <w:szCs w:val="22"/>
              </w:rPr>
              <w:t xml:space="preserve">A</w:t>
            </w:r>
          </w:p>
        </w:tc>
        <w:tc>
          <w:tcPr>
            <w:tcW w:type="dxa" w:w="8800"/>
            <w:tcBorders>
              <w:top w:val="none" w:color="FFFFFF" w:sz="0"/>
              <w:left w:val="none" w:color="FFFFFF" w:sz="0"/>
              <w:bottom w:val="single" w:color="CCCBC5" w:sz="4"/>
              <w:right w:val="none" w:color="FFFFFF" w:sz="0"/>
            </w:tcBorders>
            <w:tcMar>
              <w:top w:type="dxa" w:w="120"/>
              <w:left w:type="dxa" w:w="180"/>
              <w:bottom w:type="dxa" w:w="120"/>
              <w:right w:type="dxa" w:w="180"/>
            </w:tcMar>
          </w:tcPr>
          <w:p>
            <w:pPr>
              <w:spacing w:after="0" w:before="0"/>
            </w:pPr>
            <w:r>
              <w:rPr>
                <w:rFonts w:ascii="Arial" w:cs="Arial" w:eastAsia="Arial" w:hAnsi="Arial"/>
                <w:color w:val="2A2A28"/>
                <w:sz w:val="22"/>
                <w:szCs w:val="22"/>
              </w:rPr>
              <w:t xml:space="preserve">This is the right question to ask, and the evidence is strong. Saren’s fractional engagements are not advisory relationships — they are operational ones. At WethosAI, he built and owned the entire go-to-market function from scratch, including pipeline accountability. At Cylance, he owned a $2.5M paid media budget with 8:1 ROI expectations and delivered quarterly to those targets. At BlackBerry, he owned a $2.3M global paid media budget and reported its performance directly to the CMO and Board. The P&amp;L muscle exists. The fractional title is a description of his recent engagement structure, not a signal of lesser accountability.</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1A18" w:val="clear"/>
            <w:tcMar>
              <w:top w:type="dxa" w:w="120"/>
              <w:left w:type="dxa" w:w="160"/>
              <w:bottom w:type="dxa" w:w="120"/>
              <w:right w:type="dxa" w:w="160"/>
            </w:tcMar>
          </w:tcPr>
          <w:p>
            <w:pPr>
              <w:spacing w:after="0" w:before="0"/>
              <w:jc w:val="center"/>
            </w:pPr>
            <w:r>
              <w:rPr>
                <w:rFonts w:ascii="Arial" w:cs="Arial" w:eastAsia="Arial" w:hAnsi="Arial"/>
                <w:b/>
                <w:bCs/>
                <w:color w:val="FFFFFF"/>
                <w:sz w:val="22"/>
                <w:szCs w:val="22"/>
              </w:rPr>
              <w:t xml:space="preserve">Q</w:t>
            </w:r>
          </w:p>
        </w:tc>
        <w:tc>
          <w:tcPr>
            <w:tcW w:type="dxa" w:w="8800"/>
            <w:tcBorders>
              <w:top w:val="single" w:color="CCCBC5" w:sz="4"/>
              <w:left w:val="none" w:color="FFFFFF" w:sz="0"/>
              <w:bottom w:val="single" w:color="CCCBC5" w:sz="4"/>
              <w:right w:val="none" w:color="FFFFFF" w:sz="0"/>
            </w:tcBorders>
            <w:shd w:fill="F4F3EF" w:val="clear"/>
            <w:tcMar>
              <w:top w:type="dxa" w:w="120"/>
              <w:left w:type="dxa" w:w="180"/>
              <w:bottom w:type="dxa" w:w="120"/>
              <w:right w:type="dxa" w:w="180"/>
            </w:tcMar>
          </w:tcPr>
          <w:p>
            <w:pPr>
              <w:spacing w:after="0" w:before="0"/>
            </w:pPr>
            <w:r>
              <w:rPr>
                <w:rFonts w:ascii="Arial" w:cs="Arial" w:eastAsia="Arial" w:hAnsi="Arial"/>
                <w:b/>
                <w:bCs/>
                <w:i/>
                <w:iCs/>
                <w:color w:val="2A2A28"/>
                <w:sz w:val="22"/>
                <w:szCs w:val="22"/>
              </w:rPr>
              <w:t xml:space="preserve">“Is he committed to a full-time FTE role? Will he go back to consulting after a year?”</w:t>
            </w:r>
          </w:p>
        </w:tc>
      </w:tr>
      <w:tr>
        <w:tc>
          <w:tcPr>
            <w:tcW w:type="dxa" w:w="560"/>
            <w:tcBorders>
              <w:top w:val="none" w:color="FFFFFF" w:sz="0"/>
              <w:left w:val="none" w:color="FFFFFF" w:sz="0"/>
              <w:bottom w:val="none" w:color="FFFFFF" w:sz="0"/>
              <w:right w:val="none" w:color="FFFFFF" w:sz="0"/>
            </w:tcBorders>
            <w:shd w:fill="3A3A38" w:val="clear"/>
            <w:tcMar>
              <w:top w:type="dxa" w:w="120"/>
              <w:left w:type="dxa" w:w="160"/>
              <w:bottom w:type="dxa" w:w="120"/>
              <w:right w:type="dxa" w:w="160"/>
            </w:tcMar>
          </w:tcPr>
          <w:p>
            <w:pPr>
              <w:spacing w:after="0" w:before="0"/>
              <w:jc w:val="center"/>
            </w:pPr>
            <w:r>
              <w:rPr>
                <w:rFonts w:ascii="Arial" w:cs="Arial" w:eastAsia="Arial" w:hAnsi="Arial"/>
                <w:b/>
                <w:bCs/>
                <w:color w:val="CCCCAA"/>
                <w:sz w:val="22"/>
                <w:szCs w:val="22"/>
              </w:rPr>
              <w:t xml:space="preserve">A</w:t>
            </w:r>
          </w:p>
        </w:tc>
        <w:tc>
          <w:tcPr>
            <w:tcW w:type="dxa" w:w="8800"/>
            <w:tcBorders>
              <w:top w:val="none" w:color="FFFFFF" w:sz="0"/>
              <w:left w:val="none" w:color="FFFFFF" w:sz="0"/>
              <w:bottom w:val="single" w:color="CCCBC5" w:sz="4"/>
              <w:right w:val="none" w:color="FFFFFF" w:sz="0"/>
            </w:tcBorders>
            <w:tcMar>
              <w:top w:type="dxa" w:w="120"/>
              <w:left w:type="dxa" w:w="180"/>
              <w:bottom w:type="dxa" w:w="120"/>
              <w:right w:type="dxa" w:w="180"/>
            </w:tcMar>
          </w:tcPr>
          <w:p>
            <w:pPr>
              <w:spacing w:after="0" w:before="0"/>
            </w:pPr>
            <w:r>
              <w:rPr>
                <w:rFonts w:ascii="Arial" w:cs="Arial" w:eastAsia="Arial" w:hAnsi="Arial"/>
                <w:color w:val="2A2A28"/>
                <w:sz w:val="22"/>
                <w:szCs w:val="22"/>
              </w:rPr>
              <w:t xml:space="preserve">Retention risk is a legitimate concern with any executive hire, but the signals here are positive. Saren is applying to a company that operates in the cybersecurity category where he has the deepest expertise and strongest track record. Halcyon’s mission — purpose-built ransomware defense at a moment when ransomware has become a board-level crisis — is the kind of market environment that draws builders who want to work on a hard problem. The equity component and the scale of the opportunity (Halcyon at ~$79.5M ARR with a clear path toward an IPO or strategic exit) represent a compelling alternative to fractional engagements. The better question is not whether he’ll stay — it’s whether Halcyon creates the conditions for a leader of his caliber to do their best work.</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A1A18" w:val="clear"/>
            <w:tcMar>
              <w:top w:type="dxa" w:w="120"/>
              <w:left w:type="dxa" w:w="160"/>
              <w:bottom w:type="dxa" w:w="120"/>
              <w:right w:type="dxa" w:w="160"/>
            </w:tcMar>
          </w:tcPr>
          <w:p>
            <w:pPr>
              <w:spacing w:after="0" w:before="0"/>
              <w:jc w:val="center"/>
            </w:pPr>
            <w:r>
              <w:rPr>
                <w:rFonts w:ascii="Arial" w:cs="Arial" w:eastAsia="Arial" w:hAnsi="Arial"/>
                <w:b/>
                <w:bCs/>
                <w:color w:val="FFFFFF"/>
                <w:sz w:val="22"/>
                <w:szCs w:val="22"/>
              </w:rPr>
              <w:t xml:space="preserve">Q</w:t>
            </w:r>
          </w:p>
        </w:tc>
        <w:tc>
          <w:tcPr>
            <w:tcW w:type="dxa" w:w="8800"/>
            <w:tcBorders>
              <w:top w:val="single" w:color="CCCBC5" w:sz="4"/>
              <w:left w:val="none" w:color="FFFFFF" w:sz="0"/>
              <w:bottom w:val="single" w:color="CCCBC5" w:sz="4"/>
              <w:right w:val="none" w:color="FFFFFF" w:sz="0"/>
            </w:tcBorders>
            <w:shd w:fill="F4F3EF" w:val="clear"/>
            <w:tcMar>
              <w:top w:type="dxa" w:w="120"/>
              <w:left w:type="dxa" w:w="180"/>
              <w:bottom w:type="dxa" w:w="120"/>
              <w:right w:type="dxa" w:w="180"/>
            </w:tcMar>
          </w:tcPr>
          <w:p>
            <w:pPr>
              <w:spacing w:after="0" w:before="0"/>
            </w:pPr>
            <w:r>
              <w:rPr>
                <w:rFonts w:ascii="Arial" w:cs="Arial" w:eastAsia="Arial" w:hAnsi="Arial"/>
                <w:b/>
                <w:bCs/>
                <w:i/>
                <w:iCs/>
                <w:color w:val="2A2A28"/>
                <w:sz w:val="22"/>
                <w:szCs w:val="22"/>
              </w:rPr>
              <w:t xml:space="preserve">“Can he build and lead a team? We need a VP who can hire and scale.”</w:t>
            </w:r>
          </w:p>
        </w:tc>
      </w:tr>
      <w:tr>
        <w:tc>
          <w:tcPr>
            <w:tcW w:type="dxa" w:w="560"/>
            <w:tcBorders>
              <w:top w:val="none" w:color="FFFFFF" w:sz="0"/>
              <w:left w:val="none" w:color="FFFFFF" w:sz="0"/>
              <w:bottom w:val="none" w:color="FFFFFF" w:sz="0"/>
              <w:right w:val="none" w:color="FFFFFF" w:sz="0"/>
            </w:tcBorders>
            <w:shd w:fill="3A3A38" w:val="clear"/>
            <w:tcMar>
              <w:top w:type="dxa" w:w="120"/>
              <w:left w:type="dxa" w:w="160"/>
              <w:bottom w:type="dxa" w:w="120"/>
              <w:right w:type="dxa" w:w="160"/>
            </w:tcMar>
          </w:tcPr>
          <w:p>
            <w:pPr>
              <w:spacing w:after="0" w:before="0"/>
              <w:jc w:val="center"/>
            </w:pPr>
            <w:r>
              <w:rPr>
                <w:rFonts w:ascii="Arial" w:cs="Arial" w:eastAsia="Arial" w:hAnsi="Arial"/>
                <w:b/>
                <w:bCs/>
                <w:color w:val="CCCCAA"/>
                <w:sz w:val="22"/>
                <w:szCs w:val="22"/>
              </w:rPr>
              <w:t xml:space="preserve">A</w:t>
            </w:r>
          </w:p>
        </w:tc>
        <w:tc>
          <w:tcPr>
            <w:tcW w:type="dxa" w:w="8800"/>
            <w:tcBorders>
              <w:top w:val="none" w:color="FFFFFF" w:sz="0"/>
              <w:left w:val="none" w:color="FFFFFF" w:sz="0"/>
              <w:bottom w:val="single" w:color="CCCBC5" w:sz="4"/>
              <w:right w:val="none" w:color="FFFFFF" w:sz="0"/>
            </w:tcBorders>
            <w:tcMar>
              <w:top w:type="dxa" w:w="120"/>
              <w:left w:type="dxa" w:w="180"/>
              <w:bottom w:type="dxa" w:w="120"/>
              <w:right w:type="dxa" w:w="180"/>
            </w:tcMar>
          </w:tcPr>
          <w:p>
            <w:pPr>
              <w:spacing w:after="0" w:before="0"/>
            </w:pPr>
            <w:r>
              <w:rPr>
                <w:rFonts w:ascii="Arial" w:cs="Arial" w:eastAsia="Arial" w:hAnsi="Arial"/>
                <w:color w:val="2A2A28"/>
                <w:sz w:val="22"/>
                <w:szCs w:val="22"/>
              </w:rPr>
              <w:t xml:space="preserve">Saren has built and led demand gen teams in multiple configurations. At Cylance, he established and supervised a five-member global demand center spanning five regions — a distributed team coordinating content, digital, and campaign functions across geographies. At BlackBerry, he managed a paid media team within a broader 40-person agency and internal resource mix. At Perficient Digital, earlier in his career, he ran client service and execution teams of up to 25 members. His 90-day plan includes an explicit org structure deliverable, because team design is a decision he approaches systematically, not reactively. The evidence supports a candidate who has hired, structured, and scaled marketing teams — not someone who has only operated as an individual contributor.</w:t>
            </w:r>
          </w:p>
        </w:tc>
      </w:tr>
    </w:tbl>
    <w:p>
      <w:pPr>
        <w:spacing w:after="140" w:before="0"/>
      </w:pPr>
    </w:p>
    <w:p>
      <w:pPr>
        <w:spacing w:after="80" w:before="0"/>
      </w:pPr>
    </w:p>
    <w:p>
      <w:pPr>
        <w:pBdr>
          <w:bottom w:val="single" w:color="CCCBC5" w:sz="4"/>
        </w:pBdr>
        <w:spacing w:after="0" w:before="0"/>
      </w:pPr>
    </w:p>
    <w:p>
      <w:pPr>
        <w:spacing w:after="200" w:before="0"/>
      </w:pPr>
    </w:p>
    <w:p>
      <w:pPr>
        <w:spacing w:after="200" w:before="0"/>
      </w:pPr>
      <w:r>
        <w:rPr>
          <w:rFonts w:ascii="Arial" w:cs="Arial" w:eastAsia="Arial" w:hAnsi="Arial"/>
          <w:b/>
          <w:bCs/>
          <w:color w:val="1A1A18"/>
          <w:sz w:val="26"/>
          <w:szCs w:val="26"/>
        </w:rPr>
        <w:t xml:space="preserve">Closing Recommendation</w:t>
      </w:r>
    </w:p>
    <w:p>
      <w:pPr>
        <w:spacing w:after="160" w:before="0"/>
      </w:pPr>
      <w:r>
        <w:rPr>
          <w:rFonts w:ascii="Arial" w:cs="Arial" w:eastAsia="Arial" w:hAnsi="Arial"/>
          <w:b w:val="false"/>
          <w:bCs w:val="false"/>
          <w:i w:val="false"/>
          <w:iCs w:val="false"/>
          <w:color w:val="2A2A28"/>
          <w:sz w:val="22"/>
          <w:szCs w:val="22"/>
        </w:rPr>
        <w:t xml:space="preserve">Demand generation leadership in cybersecurity is a narrow talent pool. Candidates who understand the buyer, have operated at startup scale, have built systems rather than just campaigns, and can stand in front of a board with a pipeline forecast are genuinely uncommon.</w:t>
      </w:r>
    </w:p>
    <w:p>
      <w:pPr>
        <w:spacing w:after="160" w:before="0"/>
      </w:pPr>
      <w:r>
        <w:rPr>
          <w:rFonts w:ascii="Arial" w:cs="Arial" w:eastAsia="Arial" w:hAnsi="Arial"/>
          <w:b w:val="false"/>
          <w:bCs w:val="false"/>
          <w:i w:val="false"/>
          <w:iCs w:val="false"/>
          <w:color w:val="2A2A28"/>
          <w:sz w:val="22"/>
          <w:szCs w:val="22"/>
        </w:rPr>
        <w:t xml:space="preserve">Saren Sakurai meets all of those criteria. His Cylance experience is directly applicable to Halcyon’s current GTM challenge. His operational track record is quantified and repeatable. His AI-augmented approach positions Halcyon to scale demand gen efficiently. And his executive presence, developed through board-level reporting at BlackBerry, means he will contribute to the leadership team immediately.</w:t>
      </w:r>
    </w:p>
    <w:p>
      <w:pPr>
        <w:spacing w:after="160" w:before="0"/>
      </w:pPr>
      <w:r>
        <w:rPr>
          <w:rFonts w:ascii="Arial" w:cs="Arial" w:eastAsia="Arial" w:hAnsi="Arial"/>
          <w:b w:val="false"/>
          <w:bCs w:val="false"/>
          <w:i w:val="false"/>
          <w:iCs w:val="false"/>
          <w:color w:val="2A2A28"/>
          <w:sz w:val="22"/>
          <w:szCs w:val="22"/>
        </w:rPr>
        <w:t xml:space="preserve">The risk profile here is lower than a typical external VP hire. The upside is materially higher than an internal promotion or a large-company candidate who has never built from scratch.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A1A18" w:val="clear"/>
            <w:tcMar>
              <w:top w:type="dxa" w:w="120"/>
              <w:left w:type="dxa" w:w="180"/>
              <w:bottom w:type="dxa" w:w="120"/>
              <w:right w:type="dxa" w:w="180"/>
            </w:tcMar>
            <w:vAlign w:val="top"/>
          </w:tcPr>
          <w:p>
            <w:pPr>
              <w:spacing w:after="0" w:before="0"/>
            </w:pPr>
            <w:r>
              <w:rPr>
                <w:rFonts w:ascii="Arial" w:cs="Arial" w:eastAsia="Arial" w:hAnsi="Arial"/>
                <w:b/>
                <w:bCs/>
                <w:color w:val="AAAAAA"/>
                <w:spacing w:val="30"/>
                <w:sz w:val="16"/>
                <w:szCs w:val="16"/>
              </w:rPr>
              <w:t xml:space="preserve">BOTTOM LINE</w:t>
            </w:r>
          </w:p>
        </w:tc>
        <w:tc>
          <w:tcPr>
            <w:tcW w:type="dxa" w:w="7920"/>
            <w:tcBorders>
              <w:top w:val="none" w:color="FFFFFF" w:sz="0"/>
              <w:left w:val="none" w:color="FFFFFF" w:sz="0"/>
              <w:bottom w:val="none" w:color="FFFFFF" w:sz="0"/>
              <w:right w:val="none" w:color="FFFFFF" w:sz="0"/>
            </w:tcBorders>
            <w:shd w:fill="F4F3EF" w:val="clear"/>
            <w:tcMar>
              <w:top w:type="dxa" w:w="120"/>
              <w:left w:type="dxa" w:w="180"/>
              <w:bottom w:type="dxa" w:w="120"/>
              <w:right w:type="dxa" w:w="180"/>
            </w:tcMar>
          </w:tcPr>
          <w:p>
            <w:pPr>
              <w:spacing w:after="0" w:before="0"/>
            </w:pPr>
            <w:r>
              <w:rPr>
                <w:rFonts w:ascii="Arial" w:cs="Arial" w:eastAsia="Arial" w:hAnsi="Arial"/>
                <w:i/>
                <w:iCs/>
                <w:color w:val="2A2A28"/>
                <w:sz w:val="22"/>
                <w:szCs w:val="22"/>
              </w:rPr>
              <w:t xml:space="preserve">If you want to accelerate Halcyon’s market growth while controlling CAC — Saren is your answer. Let’s move forward.</w:t>
            </w:r>
          </w:p>
        </w:tc>
      </w:tr>
    </w:tbl>
    <w:p>
      <w:pPr>
        <w:spacing w:after="200" w:before="0"/>
      </w:pPr>
    </w:p>
    <w:p>
      <w:pPr>
        <w:spacing w:after="60" w:before="0"/>
      </w:pPr>
      <w:r>
        <w:rPr>
          <w:rFonts w:ascii="Arial" w:cs="Arial" w:eastAsia="Arial" w:hAnsi="Arial"/>
          <w:b/>
          <w:bCs/>
          <w:color w:val="888880"/>
          <w:sz w:val="20"/>
          <w:szCs w:val="20"/>
        </w:rPr>
        <w:t xml:space="preserve">Contact</w:t>
      </w:r>
    </w:p>
    <w:p>
      <w:pPr>
        <w:spacing w:after="60" w:before="0"/>
      </w:pPr>
      <w:r>
        <w:rPr>
          <w:rFonts w:ascii="Arial" w:cs="Arial" w:eastAsia="Arial" w:hAnsi="Arial"/>
          <w:color w:val="555550"/>
          <w:sz w:val="20"/>
          <w:szCs w:val="20"/>
        </w:rPr>
        <w:t xml:space="preserve">Saren Sakurai  ·  saren.sakurai@gmail.com  ·  saren.ai  ·  Irvine, CA (Remote-ready)</w:t>
      </w:r>
    </w:p>
    <w:p>
      <w:pPr>
        <w:spacing w:after="80" w:before="0"/>
      </w:pPr>
    </w:p>
    <w:p>
      <w:pPr>
        <w:pBdr>
          <w:bottom w:val="single" w:color="CCCBC5" w:sz="4"/>
        </w:pBdr>
        <w:spacing w:after="0" w:before="0"/>
      </w:pPr>
    </w:p>
    <w:p>
      <w:pPr>
        <w:spacing w:after="80" w:before="0"/>
      </w:pPr>
    </w:p>
    <w:p>
      <w:pPr>
        <w:spacing w:after="0" w:before="0"/>
      </w:pPr>
      <w:r>
        <w:rPr>
          <w:rFonts w:ascii="Arial" w:cs="Arial" w:eastAsia="Arial" w:hAnsi="Arial"/>
          <w:i/>
          <w:iCs/>
          <w:color w:val="AAAAAA"/>
          <w:sz w:val="16"/>
          <w:szCs w:val="16"/>
        </w:rPr>
        <w:t xml:space="preserve">This memo is prepared for the sole use of the Halcyon AI executive team. All metrics are sourced from candidate-provided materials and public employment records. This document is confidential and not for external distribution.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BC5" w:sz="4"/>
      </w:pBdr>
      <w:tabs>
        <w:tab w:val="right" w:pos="8640"/>
      </w:tabs>
      <w:spacing w:after="0" w:before="80"/>
    </w:pPr>
    <w:r>
      <w:rPr>
        <w:rFonts w:ascii="Arial" w:cs="Arial" w:eastAsia="Arial" w:hAnsi="Arial"/>
        <w:color w:val="888880"/>
        <w:sz w:val="16"/>
        <w:szCs w:val="16"/>
      </w:rPr>
      <w:t xml:space="preserve">For internal hiring committee use only</w:t>
    </w:r>
    <w:r>
      <w:rPr>
        <w:rFonts w:ascii="Arial" w:cs="Arial" w:eastAsia="Arial" w:hAnsi="Arial"/>
        <w:sz w:val="16"/>
        <w:szCs w:val="16"/>
      </w:rPr>
      <w:t xml:space="preserve">	</w:t>
    </w:r>
    <w:r>
      <w:rPr>
        <w:rFonts w:ascii="Arial" w:cs="Arial" w:eastAsia="Arial" w:hAnsi="Arial"/>
        <w:color w:val="888880"/>
        <w:sz w:val="16"/>
        <w:szCs w:val="16"/>
      </w:rPr>
      <w:t xml:space="preserve">Page </w:t>
    </w:r>
    <w:r>
      <w:rPr>
        <w:rFonts w:ascii="Arial" w:cs="Arial" w:eastAsia="Arial" w:hAnsi="Arial"/>
        <w:color w:val="888880"/>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BC5" w:sz="4"/>
      </w:pBdr>
      <w:tabs>
        <w:tab w:val="right" w:pos="8640"/>
      </w:tabs>
      <w:spacing w:after="80" w:before="0"/>
    </w:pPr>
    <w:r>
      <w:rPr>
        <w:rFonts w:ascii="Arial" w:cs="Arial" w:eastAsia="Arial" w:hAnsi="Arial"/>
        <w:color w:val="888880"/>
        <w:spacing w:val="30"/>
        <w:sz w:val="16"/>
        <w:szCs w:val="16"/>
      </w:rPr>
      <w:t xml:space="preserve">CONFIDENTIAL — HIRING ADVISORY MEMO</w:t>
    </w:r>
    <w:r>
      <w:rPr>
        <w:rFonts w:ascii="Arial" w:cs="Arial" w:eastAsia="Arial" w:hAnsi="Arial"/>
        <w:sz w:val="16"/>
        <w:szCs w:val="16"/>
      </w:rPr>
      <w:t xml:space="preserve">   	</w:t>
    </w:r>
    <w:r>
      <w:rPr>
        <w:rFonts w:ascii="Arial" w:cs="Arial" w:eastAsia="Arial" w:hAnsi="Arial"/>
        <w:color w:val="888880"/>
        <w:sz w:val="16"/>
        <w:szCs w:val="16"/>
      </w:rPr>
      <w:t xml:space="preserve">Saren Sakurai × Halcyon AI · VP of Demand Generation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2026-03-24T06:28:13.181Z</dcterms:created>
  <dcterms:modified xsi:type="dcterms:W3CDTF">2026-03-24T06:28:13.181Z</dcterms:modified>
</cp:coreProperties>
</file>

<file path=docProps/custom.xml><?xml version="1.0" encoding="utf-8"?>
<Properties xmlns="http://schemas.openxmlformats.org/officeDocument/2006/custom-properties" xmlns:vt="http://schemas.openxmlformats.org/officeDocument/2006/docPropsVTypes"/>
</file>