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831"/>
        <w:tblW w:w="8839" w:type="dxa"/>
        <w:tblLook w:val="04A0"/>
      </w:tblPr>
      <w:tblGrid>
        <w:gridCol w:w="572"/>
        <w:gridCol w:w="2631"/>
        <w:gridCol w:w="1215"/>
        <w:gridCol w:w="1804"/>
        <w:gridCol w:w="2016"/>
        <w:gridCol w:w="1160"/>
      </w:tblGrid>
      <w:tr w:rsidR="00484A94" w:rsidTr="00484A94">
        <w:tc>
          <w:tcPr>
            <w:tcW w:w="572" w:type="dxa"/>
          </w:tcPr>
          <w:p w:rsidR="00484A94" w:rsidRDefault="00484A94" w:rsidP="004D5D22">
            <w:r>
              <w:t>Risk no</w:t>
            </w:r>
          </w:p>
        </w:tc>
        <w:tc>
          <w:tcPr>
            <w:tcW w:w="2631" w:type="dxa"/>
          </w:tcPr>
          <w:p w:rsidR="00484A94" w:rsidRDefault="00484A94" w:rsidP="004D5D22">
            <w:r>
              <w:t>Risk priority(high/medium/low)</w:t>
            </w:r>
          </w:p>
        </w:tc>
        <w:tc>
          <w:tcPr>
            <w:tcW w:w="1215" w:type="dxa"/>
          </w:tcPr>
          <w:p w:rsidR="00484A94" w:rsidRDefault="00484A94" w:rsidP="004D5D22">
            <w:r>
              <w:t xml:space="preserve">Likelihood of occurrence </w:t>
            </w:r>
          </w:p>
        </w:tc>
        <w:tc>
          <w:tcPr>
            <w:tcW w:w="1804" w:type="dxa"/>
          </w:tcPr>
          <w:p w:rsidR="00484A94" w:rsidRDefault="00484A94" w:rsidP="004D5D22">
            <w:r>
              <w:t>Risk name/brief description</w:t>
            </w:r>
          </w:p>
        </w:tc>
        <w:tc>
          <w:tcPr>
            <w:tcW w:w="1457" w:type="dxa"/>
          </w:tcPr>
          <w:p w:rsidR="00484A94" w:rsidRDefault="00484A94" w:rsidP="004D5D22">
            <w:r>
              <w:t>Mitigation strategy</w:t>
            </w:r>
          </w:p>
        </w:tc>
        <w:tc>
          <w:tcPr>
            <w:tcW w:w="1160" w:type="dxa"/>
          </w:tcPr>
          <w:p w:rsidR="00484A94" w:rsidRDefault="00484A94" w:rsidP="004D5D22">
            <w:r>
              <w:t>Accepted /mitigated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1</w:t>
            </w:r>
          </w:p>
        </w:tc>
        <w:tc>
          <w:tcPr>
            <w:tcW w:w="2631" w:type="dxa"/>
          </w:tcPr>
          <w:p w:rsidR="00484A94" w:rsidRDefault="00484A94" w:rsidP="004D5D22">
            <w:r>
              <w:t>High</w:t>
            </w:r>
          </w:p>
        </w:tc>
        <w:tc>
          <w:tcPr>
            <w:tcW w:w="1215" w:type="dxa"/>
          </w:tcPr>
          <w:p w:rsidR="00484A94" w:rsidRDefault="00484A94" w:rsidP="004D5D22">
            <w:r>
              <w:t>Moderate</w:t>
            </w:r>
          </w:p>
        </w:tc>
        <w:tc>
          <w:tcPr>
            <w:tcW w:w="1804" w:type="dxa"/>
          </w:tcPr>
          <w:p w:rsidR="00484A94" w:rsidRDefault="00484A94" w:rsidP="004D5D22">
            <w:r>
              <w:t>Misinterpretation of drug suggested</w:t>
            </w:r>
          </w:p>
        </w:tc>
        <w:tc>
          <w:tcPr>
            <w:tcW w:w="1457" w:type="dxa"/>
          </w:tcPr>
          <w:p w:rsidR="00484A94" w:rsidRDefault="00484A94" w:rsidP="004D5D22">
            <w:r>
              <w:t xml:space="preserve">Unambiguous prescription  </w:t>
            </w:r>
          </w:p>
        </w:tc>
        <w:tc>
          <w:tcPr>
            <w:tcW w:w="1160" w:type="dxa"/>
          </w:tcPr>
          <w:p w:rsidR="00484A94" w:rsidRDefault="00484A94" w:rsidP="004D5D22">
            <w:r>
              <w:t>Mitigate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2</w:t>
            </w:r>
          </w:p>
        </w:tc>
        <w:tc>
          <w:tcPr>
            <w:tcW w:w="2631" w:type="dxa"/>
          </w:tcPr>
          <w:p w:rsidR="00484A94" w:rsidRDefault="00484A94" w:rsidP="004D5D22">
            <w:r>
              <w:t>High</w:t>
            </w:r>
          </w:p>
        </w:tc>
        <w:tc>
          <w:tcPr>
            <w:tcW w:w="1215" w:type="dxa"/>
          </w:tcPr>
          <w:p w:rsidR="00484A94" w:rsidRDefault="00484A94" w:rsidP="004D5D22">
            <w:r>
              <w:t>Low</w:t>
            </w:r>
          </w:p>
        </w:tc>
        <w:tc>
          <w:tcPr>
            <w:tcW w:w="1804" w:type="dxa"/>
          </w:tcPr>
          <w:p w:rsidR="00484A94" w:rsidRDefault="00484A94" w:rsidP="004D5D22">
            <w:r>
              <w:t>Improper diagnosis and prognosis of a disease</w:t>
            </w:r>
          </w:p>
        </w:tc>
        <w:tc>
          <w:tcPr>
            <w:tcW w:w="1457" w:type="dxa"/>
          </w:tcPr>
          <w:p w:rsidR="00484A94" w:rsidRDefault="00484A94" w:rsidP="004D5D22">
            <w:r>
              <w:t>Detailed and updated disease database</w:t>
            </w:r>
          </w:p>
        </w:tc>
        <w:tc>
          <w:tcPr>
            <w:tcW w:w="1160" w:type="dxa"/>
          </w:tcPr>
          <w:p w:rsidR="00484A94" w:rsidRDefault="00484A94" w:rsidP="004D5D22">
            <w:r>
              <w:t>Mitigate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3</w:t>
            </w:r>
          </w:p>
        </w:tc>
        <w:tc>
          <w:tcPr>
            <w:tcW w:w="2631" w:type="dxa"/>
          </w:tcPr>
          <w:p w:rsidR="00484A94" w:rsidRDefault="00484A94" w:rsidP="004D5D22">
            <w:r>
              <w:t>Medium</w:t>
            </w:r>
          </w:p>
        </w:tc>
        <w:tc>
          <w:tcPr>
            <w:tcW w:w="1215" w:type="dxa"/>
          </w:tcPr>
          <w:p w:rsidR="00484A94" w:rsidRDefault="00484A94" w:rsidP="004D5D22">
            <w:r>
              <w:t>Low</w:t>
            </w:r>
          </w:p>
        </w:tc>
        <w:tc>
          <w:tcPr>
            <w:tcW w:w="1804" w:type="dxa"/>
          </w:tcPr>
          <w:p w:rsidR="00484A94" w:rsidRDefault="00484A94" w:rsidP="004D5D22">
            <w:r>
              <w:t>Web server failure</w:t>
            </w:r>
          </w:p>
        </w:tc>
        <w:tc>
          <w:tcPr>
            <w:tcW w:w="1457" w:type="dxa"/>
          </w:tcPr>
          <w:p w:rsidR="00484A94" w:rsidRDefault="00484A94" w:rsidP="004D5D22">
            <w:r>
              <w:t>Debug/replacement</w:t>
            </w:r>
          </w:p>
        </w:tc>
        <w:tc>
          <w:tcPr>
            <w:tcW w:w="1160" w:type="dxa"/>
          </w:tcPr>
          <w:p w:rsidR="00484A94" w:rsidRDefault="00484A94" w:rsidP="004D5D22">
            <w:r>
              <w:t>Accepted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4</w:t>
            </w:r>
          </w:p>
        </w:tc>
        <w:tc>
          <w:tcPr>
            <w:tcW w:w="2631" w:type="dxa"/>
          </w:tcPr>
          <w:p w:rsidR="00484A94" w:rsidRDefault="00484A94" w:rsidP="004D5D22">
            <w:r>
              <w:t>High</w:t>
            </w:r>
          </w:p>
        </w:tc>
        <w:tc>
          <w:tcPr>
            <w:tcW w:w="1215" w:type="dxa"/>
          </w:tcPr>
          <w:p w:rsidR="00484A94" w:rsidRDefault="00484A94" w:rsidP="004D5D22">
            <w:r>
              <w:t>Moderate</w:t>
            </w:r>
          </w:p>
        </w:tc>
        <w:tc>
          <w:tcPr>
            <w:tcW w:w="1804" w:type="dxa"/>
          </w:tcPr>
          <w:p w:rsidR="00484A94" w:rsidRDefault="00484A94" w:rsidP="004D5D22">
            <w:r>
              <w:t>Inadequate support from management</w:t>
            </w:r>
          </w:p>
        </w:tc>
        <w:tc>
          <w:tcPr>
            <w:tcW w:w="1457" w:type="dxa"/>
          </w:tcPr>
          <w:p w:rsidR="00484A94" w:rsidRDefault="00484A94" w:rsidP="004D5D22">
            <w:r>
              <w:t>Through testing and proficient system</w:t>
            </w:r>
          </w:p>
        </w:tc>
        <w:tc>
          <w:tcPr>
            <w:tcW w:w="1160" w:type="dxa"/>
          </w:tcPr>
          <w:p w:rsidR="00484A94" w:rsidRDefault="00484A94" w:rsidP="004D5D22">
            <w:r>
              <w:t>Accepted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5</w:t>
            </w:r>
          </w:p>
        </w:tc>
        <w:tc>
          <w:tcPr>
            <w:tcW w:w="2631" w:type="dxa"/>
          </w:tcPr>
          <w:p w:rsidR="00484A94" w:rsidRDefault="00484A94" w:rsidP="004D5D22">
            <w:r>
              <w:t>High</w:t>
            </w:r>
          </w:p>
        </w:tc>
        <w:tc>
          <w:tcPr>
            <w:tcW w:w="1215" w:type="dxa"/>
          </w:tcPr>
          <w:p w:rsidR="00484A94" w:rsidRDefault="00484A94" w:rsidP="004D5D22">
            <w:r>
              <w:t>Low</w:t>
            </w:r>
          </w:p>
        </w:tc>
        <w:tc>
          <w:tcPr>
            <w:tcW w:w="1804" w:type="dxa"/>
          </w:tcPr>
          <w:p w:rsidR="00484A94" w:rsidRDefault="00484A94" w:rsidP="004D5D22">
            <w:r>
              <w:t>Lack of trust in system efficiency</w:t>
            </w:r>
          </w:p>
        </w:tc>
        <w:tc>
          <w:tcPr>
            <w:tcW w:w="1457" w:type="dxa"/>
          </w:tcPr>
          <w:p w:rsidR="00484A94" w:rsidRDefault="00484A94" w:rsidP="004D5D22">
            <w:r>
              <w:t>Through testing, improved features  and proficient system</w:t>
            </w:r>
          </w:p>
        </w:tc>
        <w:tc>
          <w:tcPr>
            <w:tcW w:w="1160" w:type="dxa"/>
          </w:tcPr>
          <w:p w:rsidR="00484A94" w:rsidRDefault="00484A94" w:rsidP="004D5D22">
            <w:r>
              <w:t>Mitigated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6</w:t>
            </w:r>
          </w:p>
        </w:tc>
        <w:tc>
          <w:tcPr>
            <w:tcW w:w="2631" w:type="dxa"/>
          </w:tcPr>
          <w:p w:rsidR="00484A94" w:rsidRDefault="00484A94" w:rsidP="004D5D22">
            <w:r>
              <w:t>Medium</w:t>
            </w:r>
          </w:p>
        </w:tc>
        <w:tc>
          <w:tcPr>
            <w:tcW w:w="1215" w:type="dxa"/>
          </w:tcPr>
          <w:p w:rsidR="00484A94" w:rsidRDefault="00484A94" w:rsidP="004D5D22">
            <w:r>
              <w:t>Very Low</w:t>
            </w:r>
          </w:p>
        </w:tc>
        <w:tc>
          <w:tcPr>
            <w:tcW w:w="1804" w:type="dxa"/>
          </w:tcPr>
          <w:p w:rsidR="00484A94" w:rsidRDefault="00484A94" w:rsidP="004D5D22">
            <w:r>
              <w:t>Unidentified user</w:t>
            </w:r>
          </w:p>
        </w:tc>
        <w:tc>
          <w:tcPr>
            <w:tcW w:w="1457" w:type="dxa"/>
          </w:tcPr>
          <w:p w:rsidR="00484A94" w:rsidRDefault="00484A94" w:rsidP="004D5D22">
            <w:r>
              <w:t>Two step verification process</w:t>
            </w:r>
          </w:p>
        </w:tc>
        <w:tc>
          <w:tcPr>
            <w:tcW w:w="1160" w:type="dxa"/>
          </w:tcPr>
          <w:p w:rsidR="00484A94" w:rsidRDefault="00484A94" w:rsidP="004D5D22">
            <w:r>
              <w:t>Mitigated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7</w:t>
            </w:r>
          </w:p>
        </w:tc>
        <w:tc>
          <w:tcPr>
            <w:tcW w:w="2631" w:type="dxa"/>
          </w:tcPr>
          <w:p w:rsidR="00484A94" w:rsidRDefault="00484A94" w:rsidP="004D5D22">
            <w:r>
              <w:t>Medium</w:t>
            </w:r>
          </w:p>
        </w:tc>
        <w:tc>
          <w:tcPr>
            <w:tcW w:w="1215" w:type="dxa"/>
          </w:tcPr>
          <w:p w:rsidR="00484A94" w:rsidRDefault="00484A94" w:rsidP="004D5D22">
            <w:r>
              <w:t>Very low</w:t>
            </w:r>
          </w:p>
        </w:tc>
        <w:tc>
          <w:tcPr>
            <w:tcW w:w="1804" w:type="dxa"/>
          </w:tcPr>
          <w:p w:rsidR="00484A94" w:rsidRDefault="00484A94" w:rsidP="004D5D22">
            <w:r>
              <w:t>Software overhead</w:t>
            </w:r>
          </w:p>
        </w:tc>
        <w:tc>
          <w:tcPr>
            <w:tcW w:w="1457" w:type="dxa"/>
          </w:tcPr>
          <w:p w:rsidR="00484A94" w:rsidRDefault="004F5C31" w:rsidP="004D5D22">
            <w:r>
              <w:t>Long testing and debugging</w:t>
            </w:r>
          </w:p>
        </w:tc>
        <w:tc>
          <w:tcPr>
            <w:tcW w:w="1160" w:type="dxa"/>
          </w:tcPr>
          <w:p w:rsidR="00484A94" w:rsidRDefault="004F5C31" w:rsidP="004D5D22">
            <w:r>
              <w:t>Mitigated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8</w:t>
            </w:r>
          </w:p>
        </w:tc>
        <w:tc>
          <w:tcPr>
            <w:tcW w:w="2631" w:type="dxa"/>
          </w:tcPr>
          <w:p w:rsidR="00484A94" w:rsidRDefault="004F5C31" w:rsidP="004D5D22">
            <w:r>
              <w:t>Medium</w:t>
            </w:r>
          </w:p>
        </w:tc>
        <w:tc>
          <w:tcPr>
            <w:tcW w:w="1215" w:type="dxa"/>
          </w:tcPr>
          <w:p w:rsidR="00484A94" w:rsidRDefault="004F5C31" w:rsidP="004D5D22">
            <w:r>
              <w:t>Very low</w:t>
            </w:r>
          </w:p>
        </w:tc>
        <w:tc>
          <w:tcPr>
            <w:tcW w:w="1804" w:type="dxa"/>
          </w:tcPr>
          <w:p w:rsidR="00484A94" w:rsidRDefault="00484A94" w:rsidP="004D5D22">
            <w:r>
              <w:t>Erroneous email</w:t>
            </w:r>
          </w:p>
        </w:tc>
        <w:tc>
          <w:tcPr>
            <w:tcW w:w="1457" w:type="dxa"/>
          </w:tcPr>
          <w:p w:rsidR="004F5C31" w:rsidRDefault="004F5C31" w:rsidP="004D5D22">
            <w:proofErr w:type="spellStart"/>
            <w:r>
              <w:t>SSl</w:t>
            </w:r>
            <w:proofErr w:type="spellEnd"/>
            <w:r>
              <w:t xml:space="preserve"> encryption </w:t>
            </w:r>
          </w:p>
        </w:tc>
        <w:tc>
          <w:tcPr>
            <w:tcW w:w="1160" w:type="dxa"/>
          </w:tcPr>
          <w:p w:rsidR="00484A94" w:rsidRDefault="004F5C31" w:rsidP="004D5D22">
            <w:r>
              <w:t>Mitigated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9</w:t>
            </w:r>
          </w:p>
        </w:tc>
        <w:tc>
          <w:tcPr>
            <w:tcW w:w="2631" w:type="dxa"/>
          </w:tcPr>
          <w:p w:rsidR="00484A94" w:rsidRDefault="004F5C31" w:rsidP="004D5D22">
            <w:r>
              <w:t>Medium</w:t>
            </w:r>
          </w:p>
        </w:tc>
        <w:tc>
          <w:tcPr>
            <w:tcW w:w="1215" w:type="dxa"/>
          </w:tcPr>
          <w:p w:rsidR="00484A94" w:rsidRDefault="004F5C31" w:rsidP="004D5D22">
            <w:r>
              <w:t>High</w:t>
            </w:r>
          </w:p>
        </w:tc>
        <w:tc>
          <w:tcPr>
            <w:tcW w:w="1804" w:type="dxa"/>
          </w:tcPr>
          <w:p w:rsidR="00484A94" w:rsidRDefault="004F5C31" w:rsidP="004D5D22">
            <w:r>
              <w:t>Limited</w:t>
            </w:r>
            <w:r w:rsidR="00484A94">
              <w:t xml:space="preserve"> support from CMC</w:t>
            </w:r>
          </w:p>
        </w:tc>
        <w:tc>
          <w:tcPr>
            <w:tcW w:w="1457" w:type="dxa"/>
          </w:tcPr>
          <w:p w:rsidR="00484A94" w:rsidRDefault="004F5C31" w:rsidP="004D5D22">
            <w:r>
              <w:t>Advanced functionality</w:t>
            </w:r>
          </w:p>
        </w:tc>
        <w:tc>
          <w:tcPr>
            <w:tcW w:w="1160" w:type="dxa"/>
          </w:tcPr>
          <w:p w:rsidR="00484A94" w:rsidRDefault="004F5C31" w:rsidP="004D5D22">
            <w:r>
              <w:t>Accepted</w:t>
            </w:r>
          </w:p>
        </w:tc>
      </w:tr>
      <w:tr w:rsidR="00484A94" w:rsidTr="00484A94">
        <w:tc>
          <w:tcPr>
            <w:tcW w:w="572" w:type="dxa"/>
          </w:tcPr>
          <w:p w:rsidR="00484A94" w:rsidRDefault="00484A94" w:rsidP="004D5D22">
            <w:r>
              <w:t>10</w:t>
            </w:r>
          </w:p>
        </w:tc>
        <w:tc>
          <w:tcPr>
            <w:tcW w:w="2631" w:type="dxa"/>
          </w:tcPr>
          <w:p w:rsidR="00484A94" w:rsidRDefault="004F5C31" w:rsidP="004D5D22">
            <w:r>
              <w:t>Medium</w:t>
            </w:r>
          </w:p>
        </w:tc>
        <w:tc>
          <w:tcPr>
            <w:tcW w:w="1215" w:type="dxa"/>
          </w:tcPr>
          <w:p w:rsidR="00484A94" w:rsidRDefault="004F5C31" w:rsidP="004D5D22">
            <w:r>
              <w:t>Low</w:t>
            </w:r>
          </w:p>
        </w:tc>
        <w:tc>
          <w:tcPr>
            <w:tcW w:w="1804" w:type="dxa"/>
          </w:tcPr>
          <w:p w:rsidR="00484A94" w:rsidRDefault="00484A94" w:rsidP="004D5D22">
            <w:r>
              <w:t>Untimely  reply to patient’s request</w:t>
            </w:r>
          </w:p>
        </w:tc>
        <w:tc>
          <w:tcPr>
            <w:tcW w:w="1457" w:type="dxa"/>
          </w:tcPr>
          <w:p w:rsidR="00484A94" w:rsidRDefault="004F5C31" w:rsidP="004D5D22">
            <w:r>
              <w:t>Decrease response time</w:t>
            </w:r>
          </w:p>
        </w:tc>
        <w:tc>
          <w:tcPr>
            <w:tcW w:w="1160" w:type="dxa"/>
          </w:tcPr>
          <w:p w:rsidR="00484A94" w:rsidRDefault="004F5C31" w:rsidP="004D5D22">
            <w:r>
              <w:t>Mitigated</w:t>
            </w:r>
          </w:p>
        </w:tc>
      </w:tr>
      <w:tr w:rsidR="004F5C31" w:rsidTr="00484A94">
        <w:tc>
          <w:tcPr>
            <w:tcW w:w="572" w:type="dxa"/>
          </w:tcPr>
          <w:p w:rsidR="004F5C31" w:rsidRDefault="004F5C31" w:rsidP="004D5D22">
            <w:r>
              <w:t>11</w:t>
            </w:r>
          </w:p>
        </w:tc>
        <w:tc>
          <w:tcPr>
            <w:tcW w:w="2631" w:type="dxa"/>
          </w:tcPr>
          <w:p w:rsidR="004F5C31" w:rsidRDefault="004F5C31" w:rsidP="004D5D22">
            <w:r>
              <w:t>Low</w:t>
            </w:r>
          </w:p>
        </w:tc>
        <w:tc>
          <w:tcPr>
            <w:tcW w:w="1215" w:type="dxa"/>
          </w:tcPr>
          <w:p w:rsidR="004F5C31" w:rsidRDefault="004F5C31" w:rsidP="004D5D22">
            <w:r>
              <w:t>Moderate</w:t>
            </w:r>
          </w:p>
        </w:tc>
        <w:tc>
          <w:tcPr>
            <w:tcW w:w="1804" w:type="dxa"/>
          </w:tcPr>
          <w:p w:rsidR="004F5C31" w:rsidRDefault="004F5C31" w:rsidP="004D5D22">
            <w:r>
              <w:t>Unavoidable circumstances-sudden illness, system failure, loss of work</w:t>
            </w:r>
          </w:p>
        </w:tc>
        <w:tc>
          <w:tcPr>
            <w:tcW w:w="1457" w:type="dxa"/>
          </w:tcPr>
          <w:p w:rsidR="004F5C31" w:rsidRDefault="004F5C31" w:rsidP="004D5D22">
            <w:r>
              <w:t>Backup, updated system, slag time</w:t>
            </w:r>
          </w:p>
        </w:tc>
        <w:tc>
          <w:tcPr>
            <w:tcW w:w="1160" w:type="dxa"/>
          </w:tcPr>
          <w:p w:rsidR="004F5C31" w:rsidRDefault="004F5C31" w:rsidP="004D5D22">
            <w:r>
              <w:t>Accepted</w:t>
            </w:r>
          </w:p>
        </w:tc>
      </w:tr>
    </w:tbl>
    <w:p w:rsidR="00F130CD" w:rsidRDefault="008D4C01">
      <w:r>
        <w:t>Risk management strategy:</w:t>
      </w:r>
    </w:p>
    <w:p w:rsidR="008D4C01" w:rsidRDefault="008D4C01">
      <w:pPr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In on campus health center management system, risk management is one of the key responsibi</w:t>
      </w:r>
      <w:r w:rsidR="0057065A">
        <w:rPr>
          <w:rFonts w:ascii="Lucida Sans" w:hAnsi="Lucida Sans"/>
          <w:color w:val="000000"/>
          <w:sz w:val="18"/>
          <w:szCs w:val="18"/>
          <w:shd w:val="clear" w:color="auto" w:fill="FFFFFF"/>
        </w:rPr>
        <w:t>lities of the Medical officers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>. They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provide</w:t>
      </w:r>
      <w:r w:rsidR="0057065A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training for each Doctor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within the </w:t>
      </w:r>
      <w:r w:rsidR="0057065A">
        <w:rPr>
          <w:rFonts w:ascii="Lucida Sans" w:hAnsi="Lucida Sans"/>
          <w:color w:val="000000"/>
          <w:sz w:val="18"/>
          <w:szCs w:val="18"/>
          <w:shd w:val="clear" w:color="auto" w:fill="FFFFFF"/>
        </w:rPr>
        <w:t>Health center to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ensure that risk assessment is built into their working practices and to enable them to carry out annual </w:t>
      </w:r>
      <w:r w:rsidR="0057065A">
        <w:rPr>
          <w:rFonts w:ascii="Lucida Sans" w:hAnsi="Lucida Sans"/>
          <w:color w:val="000000"/>
          <w:sz w:val="18"/>
          <w:szCs w:val="18"/>
          <w:shd w:val="clear" w:color="auto" w:fill="FFFFFF"/>
        </w:rPr>
        <w:t>risk assessments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. These are then collated</w:t>
      </w:r>
      <w:r w:rsidR="0057065A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by the Medical superintendent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to enable Medical officers 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to discuss and assess the o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>verall risks to the health center management system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. A 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>prioritized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profile of the top 30 risks is then presen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ted to the Chief medical officer 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for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discussion over the acceptance/mitigation of the risks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. This process usually takes 2 months. Progress is reviewed after 6 months with a report </w:t>
      </w:r>
      <w:r w:rsidR="004D5D22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sent to VIT management. </w:t>
      </w:r>
    </w:p>
    <w:p w:rsidR="004D5D22" w:rsidRDefault="004D5D22">
      <w:pPr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Initial risk list:</w:t>
      </w:r>
    </w:p>
    <w:p w:rsidR="008D4C01" w:rsidRDefault="008D4C01"/>
    <w:p w:rsidR="008D4C01" w:rsidRDefault="008D4C01"/>
    <w:p w:rsidR="008D4C01" w:rsidRDefault="008D4C01"/>
    <w:p w:rsidR="008D4C01" w:rsidRDefault="008D4C01"/>
    <w:p w:rsidR="008D4C01" w:rsidRDefault="005503A9">
      <w:r>
        <w:rPr>
          <w:noProof/>
        </w:rPr>
        <w:pict>
          <v:oval id="_x0000_s1040" style="position:absolute;margin-left:125.25pt;margin-top:181.75pt;width:1in;height:42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0B97" w:rsidRDefault="00DA0B97">
                  <w:r>
                    <w:t>RDBMS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6" style="position:absolute;margin-left:170.25pt;margin-top:73pt;width:134.25pt;height:285.75pt;z-index: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5503A9" w:rsidRDefault="005503A9"/>
                <w:p w:rsidR="005503A9" w:rsidRDefault="005503A9"/>
                <w:p w:rsidR="005503A9" w:rsidRDefault="005503A9"/>
                <w:p w:rsidR="005503A9" w:rsidRPr="005503A9" w:rsidRDefault="005503A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DA0B97" w:rsidRPr="005503A9" w:rsidRDefault="00DA0B97" w:rsidP="005503A9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5503A9">
                    <w:rPr>
                      <w:b/>
                      <w:sz w:val="24"/>
                      <w:szCs w:val="24"/>
                    </w:rPr>
                    <w:t xml:space="preserve">On Campus Heath </w:t>
                  </w:r>
                  <w:r w:rsidR="005503A9" w:rsidRPr="005503A9">
                    <w:rPr>
                      <w:b/>
                      <w:sz w:val="24"/>
                      <w:szCs w:val="24"/>
                    </w:rPr>
                    <w:t xml:space="preserve">                                      </w:t>
                  </w:r>
                  <w:r w:rsidRPr="005503A9">
                    <w:rPr>
                      <w:b/>
                      <w:sz w:val="24"/>
                      <w:szCs w:val="24"/>
                    </w:rPr>
                    <w:t>Center management system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8pt;margin-top:98.5pt;width:198.75pt;height:145.5pt;flip:x y;z-index:25167257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37.25pt;margin-top:98.5pt;width:23.25pt;height:87.75pt;flip:x y;z-index:251671552" o:connectortype="straight">
            <v:stroke endarrow="block"/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margin-left:65.65pt;margin-top:38.45pt;width:114.95pt;height:66.1pt;rotation:1588189fd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503A9" w:rsidRDefault="005503A9">
                  <w:r>
                    <w:t xml:space="preserve">          Refer to CMC</w:t>
                  </w:r>
                </w:p>
              </w:txbxContent>
            </v:textbox>
          </v:shape>
        </w:pict>
      </w:r>
      <w:r w:rsidR="00DA0B97">
        <w:rPr>
          <w:noProof/>
        </w:rPr>
        <w:pict>
          <v:shape id="_x0000_s1041" type="#_x0000_t32" style="position:absolute;margin-left:79.5pt;margin-top:201.75pt;width:45.75pt;height:.05pt;flip:x;z-index:251669504" o:connectortype="straight">
            <v:stroke startarrow="block" endarrow="block"/>
          </v:shape>
        </w:pict>
      </w:r>
      <w:r w:rsidR="00DA0B9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9" type="#_x0000_t22" style="position:absolute;margin-left:1.5pt;margin-top:139.75pt;width:74.25pt;height:104.2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DA0B97" w:rsidRDefault="00DA0B97">
                  <w:r>
                    <w:t>Database</w:t>
                  </w:r>
                </w:p>
              </w:txbxContent>
            </v:textbox>
          </v:shape>
        </w:pict>
      </w:r>
      <w:r w:rsidR="00DA0B97">
        <w:rPr>
          <w:noProof/>
        </w:rPr>
        <w:pict>
          <v:roundrect id="_x0000_s1034" style="position:absolute;margin-left:359.25pt;margin-top:296.5pt;width:81.75pt;height:45pt;z-index:25166233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B97" w:rsidRDefault="00DA0B97" w:rsidP="00DA0B97">
                  <w:r>
                    <w:t>Admin</w:t>
                  </w:r>
                </w:p>
              </w:txbxContent>
            </v:textbox>
          </v:roundrect>
        </w:pict>
      </w:r>
      <w:r w:rsidR="00DA0B97">
        <w:rPr>
          <w:noProof/>
        </w:rPr>
        <w:pict>
          <v:roundrect id="_x0000_s1033" style="position:absolute;margin-left:359.25pt;margin-top:223.75pt;width:81.75pt;height:45pt;z-index:25166131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B97" w:rsidRDefault="00DA0B97" w:rsidP="00DA0B97">
                  <w:r>
                    <w:t>Doctor</w:t>
                  </w:r>
                </w:p>
              </w:txbxContent>
            </v:textbox>
          </v:roundrect>
        </w:pict>
      </w:r>
      <w:r w:rsidR="00DA0B97">
        <w:rPr>
          <w:noProof/>
        </w:rPr>
        <w:pict>
          <v:shape id="_x0000_s1037" type="#_x0000_t32" style="position:absolute;margin-left:303pt;margin-top:249.25pt;width:57pt;height:0;z-index:251665408" o:connectortype="straight">
            <v:stroke startarrow="block" endarrow="block"/>
          </v:shape>
        </w:pict>
      </w:r>
      <w:r w:rsidR="00DA0B97">
        <w:rPr>
          <w:noProof/>
        </w:rPr>
        <w:pict>
          <v:shape id="_x0000_s1038" type="#_x0000_t32" style="position:absolute;margin-left:304.5pt;margin-top:319.75pt;width:57pt;height:0;z-index:251666432" o:connectortype="straight">
            <v:stroke startarrow="block" endarrow="block"/>
          </v:shape>
        </w:pict>
      </w:r>
      <w:r w:rsidR="00DA0B97">
        <w:rPr>
          <w:noProof/>
        </w:rPr>
        <w:pict>
          <v:shape id="_x0000_s1036" type="#_x0000_t32" style="position:absolute;margin-left:303pt;margin-top:171.25pt;width:57pt;height:0;z-index:251664384" o:connectortype="straight">
            <v:stroke startarrow="block" endarrow="block"/>
          </v:shape>
        </w:pict>
      </w:r>
      <w:r w:rsidR="00DA0B97">
        <w:rPr>
          <w:noProof/>
        </w:rPr>
        <w:pict>
          <v:shape id="_x0000_s1035" type="#_x0000_t32" style="position:absolute;margin-left:302.25pt;margin-top:98.5pt;width:57pt;height:0;z-index:251663360" o:connectortype="straight">
            <v:stroke startarrow="block" endarrow="block"/>
          </v:shape>
        </w:pict>
      </w:r>
      <w:r w:rsidR="00DA0B97">
        <w:rPr>
          <w:noProof/>
        </w:rPr>
        <w:pict>
          <v:roundrect id="_x0000_s1032" style="position:absolute;margin-left:359.25pt;margin-top:153.75pt;width:81.75pt;height:4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B97" w:rsidRDefault="00DA0B97" w:rsidP="00DA0B97">
                  <w:r>
                    <w:t>Faculty/staff</w:t>
                  </w:r>
                </w:p>
              </w:txbxContent>
            </v:textbox>
          </v:roundrect>
        </w:pict>
      </w:r>
      <w:r w:rsidR="00DA0B97">
        <w:rPr>
          <w:noProof/>
        </w:rPr>
        <w:pict>
          <v:roundrect id="_x0000_s1031" style="position:absolute;margin-left:359.25pt;margin-top:83.5pt;width:81.75pt;height:45pt;z-index:2516592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B97" w:rsidRDefault="00DA0B97">
                  <w:r>
                    <w:t>Student</w:t>
                  </w:r>
                </w:p>
              </w:txbxContent>
            </v:textbox>
          </v:roundrect>
        </w:pict>
      </w:r>
    </w:p>
    <w:sectPr w:rsidR="008D4C01" w:rsidSect="00F1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4C01"/>
    <w:rsid w:val="002173CA"/>
    <w:rsid w:val="003D3F16"/>
    <w:rsid w:val="00484A94"/>
    <w:rsid w:val="004D5D22"/>
    <w:rsid w:val="004F5C31"/>
    <w:rsid w:val="005503A9"/>
    <w:rsid w:val="0057065A"/>
    <w:rsid w:val="008D4C01"/>
    <w:rsid w:val="00DA0B97"/>
    <w:rsid w:val="00F1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7" type="connector" idref="#_x0000_s1041"/>
        <o:r id="V:Rule11" type="connector" idref="#_x0000_s1045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C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2013-03-03T13:36:00Z</dcterms:created>
  <dcterms:modified xsi:type="dcterms:W3CDTF">2013-03-03T15:35:00Z</dcterms:modified>
</cp:coreProperties>
</file>