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sz w:val="56"/>
          <w:szCs w:val="56"/>
        </w:rPr>
        <w:t xml:space="preserve">Synthetic Indian Personas</w:t>
      </w:r>
    </w:p>
    <w:p>
      <w:pPr>
        <w:spacing w:before="120"/>
        <w:jc w:val="center"/>
      </w:pPr>
      <w:r>
        <w:rPr>
          <w:sz w:val="28"/>
          <w:szCs w:val="28"/>
        </w:rPr>
        <w:t xml:space="preserve">A Foundational Design Specification for a Population-Scale,</w:t>
      </w:r>
    </w:p>
    <w:p>
      <w:pPr>
        <w:jc w:val="center"/>
      </w:pPr>
      <w:r>
        <w:rPr>
          <w:sz w:val="28"/>
          <w:szCs w:val="28"/>
        </w:rPr>
        <w:t xml:space="preserve">Cognitively-Grounded Persona Simulation System</w:t>
      </w:r>
    </w:p>
    <w:p>
      <w:pPr>
        <w:spacing w:before="600"/>
        <w:jc w:val="center"/>
      </w:pPr>
      <w:r>
        <w:rPr>
          <w:i/>
          <w:iCs/>
          <w:sz w:val="24"/>
          <w:szCs w:val="24"/>
        </w:rPr>
        <w:t xml:space="preserve">Technical Design Report</w:t>
      </w:r>
    </w:p>
    <w:p>
      <w:pPr>
        <w:spacing w:before="1600"/>
        <w:jc w:val="center"/>
      </w:pPr>
      <w:r>
        <w:rPr>
          <w:sz w:val="22"/>
          <w:szCs w:val="22"/>
        </w:rPr>
        <w:t xml:space="preserve">Prepared by</w:t>
      </w:r>
    </w:p>
    <w:p>
      <w:pPr>
        <w:spacing w:before="60"/>
        <w:jc w:val="center"/>
      </w:pPr>
      <w:r>
        <w:rPr>
          <w:b/>
          <w:bCs/>
          <w:sz w:val="24"/>
          <w:szCs w:val="24"/>
        </w:rPr>
        <w:t xml:space="preserve">Project Working Group</w:t>
      </w:r>
    </w:p>
    <w:p>
      <w:pPr>
        <w:spacing w:before="60"/>
        <w:jc w:val="center"/>
      </w:pPr>
      <w:r>
        <w:rPr>
          <w:sz w:val="20"/>
          <w:szCs w:val="20"/>
        </w:rPr>
        <w:t xml:space="preserve">Synthesis and research assistance: Claude (Anthropic)</w:t>
      </w:r>
    </w:p>
    <w:p>
      <w:pPr>
        <w:spacing w:before="1300"/>
        <w:jc w:val="center"/>
      </w:pPr>
      <w:r>
        <w:rPr>
          <w:sz w:val="22"/>
          <w:szCs w:val="22"/>
        </w:rPr>
        <w:t xml:space="preserve">Version 1.1 — IEEE Reference Edition</w:t>
      </w:r>
    </w:p>
    <w:p>
      <w:pPr>
        <w:spacing w:before="60"/>
        <w:jc w:val="center"/>
      </w:pPr>
      <w:r>
        <w:rPr>
          <w:sz w:val="22"/>
          <w:szCs w:val="22"/>
        </w:rPr>
        <w:t xml:space="preserve">June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Abstract</w:t>
      </w:r>
    </w:p>
    <w:p>
      <w:pPr>
        <w:spacing w:after="140" w:line="288"/>
        <w:jc w:val="both"/>
      </w:pPr>
      <w:r>
        <w:t xml:space="preserve">This report consolidates the complete design discussion for a system that generates and operates large populations of synthetic personas representing the people of India, for the purpose of predicting human attitudes and behaviour and augmenting market, social, and political research. It states the project vision, surveys the global state of the art and its validated limits, assesses commercial feasibility in the Indian market, and specifies a four-part technical architecture: (i) a population-scale generation pipeline that adapts the PersonaHub methodology to native Indic data; (ii) a cognitive persona architecture comprising a psyche, a mind, a behavioural engine, and a validation discipline; (iii) a realism-enhancement layer that introduces the controlled imperfection, embodiment, and social embedding characteristic of real humans; and (iv) a decision engine grounded in eight literatures of human thinking, neuroscience, and decision-making, unified into a single predictive-processing architecture. The report defines the data foundation, the validation framework centred on out-of-distribution testing and prediction-powered inference, a phased build roadmap, and the ethical and regulatory constraints under India's data-protection law. A fully worked example persona demonstrates the architecture end to end. Appendix A provides a self-contained prompt to initiate implementation in a new working session; Appendix B specifies the per-persona parameter schema. Citations follow the IEEE referencing standard and are numbered in order of first appearance.</w:t>
      </w:r>
    </w:p>
    <w:p>
      <w:pPr>
        <w:spacing w:after="140" w:line="288"/>
        <w:jc w:val="both"/>
      </w:pPr>
      <w:r>
        <w:t xml:space="preserve">Guiding principle throughout: a synthetic persona is not a demographic label but a falsifiable hypothesis about a real human being, held with an explicit confidence interval and graded continuously against reality. The objective is not the largest possible number of personas but faithful coverage of the populated cells of India's real joint distribution, validated on private, unseen data.</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and Project Vision</w:t>
      </w:r>
    </w:p>
    <w:p>
      <w:pPr>
        <w:spacing w:after="140" w:line="288"/>
        <w:jc w:val="both"/>
      </w:pPr>
      <w:r>
        <w:rPr>
          <w:b/>
          <w:bCs/>
        </w:rPr>
        <w:t xml:space="preserve">Objective. </w:t>
      </w:r>
      <w:r>
        <w:t xml:space="preserve">Build an application that creates more than one million near-realistic synthetic personas spanning the full spectrum of India — every linguistic, regional, communal, economic, occupational, generational, and cultural variation — such that each persona thinks, decides, and behaves like a real human being. These personas are queried, individually and at population scale, to predict how real Indians would respond to products, messages, policies, and events.</w:t>
      </w:r>
    </w:p>
    <w:p>
      <w:pPr>
        <w:spacing w:after="140" w:line="288"/>
        <w:jc w:val="both"/>
      </w:pPr>
      <w:r>
        <w:rPr>
          <w:b/>
          <w:bCs/>
        </w:rPr>
        <w:t xml:space="preserve">Guiding concept. </w:t>
      </w:r>
      <w:r>
        <w:t xml:space="preserve">Learn from global experience; build for India. The system draws on the worldwide research frontier in generative agents, silicon sampling, and computational cognitive science, and re-grounds all of it in authentic Indian data and Indian psychology rather than translating Western personas.</w:t>
      </w:r>
    </w:p>
    <w:p>
      <w:pPr>
        <w:spacing w:after="140" w:line="288"/>
        <w:jc w:val="both"/>
      </w:pPr>
      <w:r>
        <w:rPr>
          <w:b/>
          <w:bCs/>
        </w:rPr>
        <w:t xml:space="preserve">Core thesis. </w:t>
      </w:r>
      <w:r>
        <w:t xml:space="preserve">The value of the system is not persona count but calibration. One billion ungrounded personas predict nothing; a population grounded in real human data, with an honest mind and validated against reality, predicts much. The unit of quality is the fidelity of the population's behaviour to the real population it represents.</w:t>
      </w:r>
    </w:p>
    <w:p>
      <w:pPr>
        <w:pStyle w:val="Heading1"/>
      </w:pPr>
      <w:r>
        <w:t xml:space="preserve">2. Problem Definition and Use Cases</w:t>
      </w:r>
    </w:p>
    <w:p>
      <w:pPr>
        <w:pStyle w:val="Heading2"/>
      </w:pPr>
      <w:r>
        <w:t xml:space="preserve">2.1 Persona Types</w:t>
      </w:r>
    </w:p>
    <w:p>
      <w:pPr>
        <w:spacing w:after="140" w:line="288"/>
        <w:jc w:val="both"/>
      </w:pPr>
      <w:r>
        <w:t xml:space="preserve">“Persona” is used in several senses. This project concerns synthetic-user personas — simulated people used to test products, run research, and generate behavioural predictions — as distinct from user-facing assistant personas, functional/role agents, expert agents, and marketing buyer profiles.</w:t>
      </w:r>
    </w:p>
    <w:p>
      <w:pPr>
        <w:pStyle w:val="Heading2"/>
      </w:pPr>
      <w:r>
        <w:t xml:space="preserve">2.2 What Makes a Persona Predictive</w:t>
      </w:r>
    </w:p>
    <w:p>
      <w:pPr>
        <w:spacing w:after="140" w:line="288"/>
        <w:jc w:val="both"/>
      </w:pPr>
      <w:r>
        <w:t xml:space="preserve">The research-backed predictive hierarchy is context &gt; situational goals &gt; constraints &gt; validated behaviour &gt; general traits. Demographics barely predict behaviour, and decontextualised psychographics can reduce accuracy; conditioning a language model on rich backstories markedly improves correspondence with real sub-populations </w:t>
      </w:r>
      <w:hyperlink w:history="1" w:anchor="ref_argyle">
        <w:r>
          <w:rPr>
            <w:rStyle w:val="Hyperlink"/>
          </w:rPr>
          <w:t xml:space="preserve">[1]</w:t>
        </w:r>
      </w:hyperlink>
      <w:r>
        <w:t xml:space="preserve">. A persona that merely lists attributes is a stereotype; a persona that encodes a mechanism — given this context, goal, and constraint, here is why the person will predictably act — is generative and falsifiable. The decision rule must be derived from what the person did, not from what they say they value.</w:t>
      </w:r>
    </w:p>
    <w:p>
      <w:pPr>
        <w:pStyle w:val="Heading2"/>
      </w:pPr>
      <w:r>
        <w:t xml:space="preserve">2.3 Validated Use Cases and Their Limits</w:t>
      </w:r>
    </w:p>
    <w:p>
      <w:pPr>
        <w:spacing w:after="140" w:line="288"/>
        <w:jc w:val="both"/>
      </w:pPr>
      <w:r>
        <w:t xml:space="preserve">Synthetic personas are credible for directional and aggregate tasks — concept screening, message and advertising pre-testing, survey augmentation, and segment-level distribution estimation. They are not credible substitutes for human research on deep individual prediction, on socially sensitive attitudes (caste, religion, gender), or on niche tail segments. The honest product is a decision accelerator and pre-screen, not a replacement.</w:t>
      </w:r>
    </w:p>
    <w:p>
      <w:pPr>
        <w:pStyle w:val="Heading1"/>
      </w:pPr>
      <w:r>
        <w:t xml:space="preserve">3. Market and Feasibility Assessment</w:t>
      </w:r>
    </w:p>
    <w:p>
      <w:pPr>
        <w:pStyle w:val="Heading2"/>
      </w:pPr>
      <w:r>
        <w:t xml:space="preserve">3.1 Global State of the Art and Its Validated Limits</w:t>
      </w:r>
    </w:p>
    <w:p>
      <w:pPr>
        <w:spacing w:after="140" w:line="288"/>
        <w:jc w:val="both"/>
      </w:pPr>
      <w:r>
        <w:t xml:space="preserve">Three method families exist: large-language-model roleplay and agent simulation; statistical survey augmentation; and vertical qualitative tooling. Credibility tracks how much real human data anchors the output.</w:t>
      </w:r>
    </w:p>
    <w:p>
      <w:pPr>
        <w:pStyle w:val="ListParagraph"/>
        <w:numPr>
          <w:ilvl w:val="0"/>
          <w:numId w:val="2"/>
        </w:numPr>
        <w:spacing w:after="70" w:line="276"/>
      </w:pPr>
      <w:r>
        <w:rPr>
          <w:b/>
          <w:bCs/>
        </w:rPr>
        <w:t xml:space="preserve">Scaling research: </w:t>
      </w:r>
      <w:r>
        <w:t xml:space="preserve">PersonaHub generated ~1.02 billion personas via Text-to-Persona and Persona-to-Persona </w:t>
      </w:r>
      <w:hyperlink w:history="1" w:anchor="ref_personahub">
        <w:r>
          <w:rPr>
            <w:rStyle w:val="Hyperlink"/>
          </w:rPr>
          <w:t xml:space="preserve">[2]</w:t>
        </w:r>
      </w:hyperlink>
      <w:r>
        <w:t xml:space="preserve">; Nemotron-Personas grounded 100,000 in real census statistics </w:t>
      </w:r>
      <w:hyperlink w:history="1" w:anchor="ref_nemotron">
        <w:r>
          <w:rPr>
            <w:rStyle w:val="Hyperlink"/>
          </w:rPr>
          <w:t xml:space="preserve">[3]</w:t>
        </w:r>
      </w:hyperlink>
      <w:r>
        <w:t xml:space="preserve">; interview-grounded agents reproduced General Social Survey answers at ~85% of participants' own test–retest consistency </w:t>
      </w:r>
      <w:hyperlink w:history="1" w:anchor="ref_park2024">
        <w:r>
          <w:rPr>
            <w:rStyle w:val="Hyperlink"/>
          </w:rPr>
          <w:t xml:space="preserve">[4]</w:t>
        </w:r>
      </w:hyperlink>
      <w:r>
        <w:t xml:space="preserve">; and large agent societies model 10,000+ interacting agents </w:t>
      </w:r>
      <w:hyperlink w:history="1" w:anchor="ref_agentsociety">
        <w:r>
          <w:rPr>
            <w:rStyle w:val="Hyperlink"/>
          </w:rPr>
          <w:t xml:space="preserve">[5]</w:t>
        </w:r>
      </w:hyperlink>
      <w:r>
        <w:t xml:space="preserve">.</w:t>
      </w:r>
    </w:p>
    <w:p>
      <w:pPr>
        <w:pStyle w:val="ListParagraph"/>
        <w:numPr>
          <w:ilvl w:val="0"/>
          <w:numId w:val="2"/>
        </w:numPr>
        <w:spacing w:after="70" w:line="276"/>
      </w:pPr>
      <w:r>
        <w:rPr>
          <w:b/>
          <w:bCs/>
        </w:rPr>
        <w:t xml:space="preserve">Commercial validation: </w:t>
      </w:r>
      <w:r>
        <w:t xml:space="preserve">semantic-similarity rating reaches ~90% of achievable purchase-intent correlation </w:t>
      </w:r>
      <w:hyperlink w:history="1" w:anchor="ref_pymc">
        <w:r>
          <w:rPr>
            <w:rStyle w:val="Hyperlink"/>
          </w:rPr>
          <w:t xml:space="preserve">[6]</w:t>
        </w:r>
      </w:hyperlink>
      <w:r>
        <w:t xml:space="preserve">; statistical augmentation boosts under-sampled segments up to threefold from a small real base </w:t>
      </w:r>
      <w:hyperlink w:history="1" w:anchor="ref_fairgen">
        <w:r>
          <w:rPr>
            <w:rStyle w:val="Hyperlink"/>
          </w:rPr>
          <w:t xml:space="preserve">[7]</w:t>
        </w:r>
      </w:hyperlink>
      <w:r>
        <w:t xml:space="preserve">.</w:t>
      </w:r>
    </w:p>
    <w:p>
      <w:pPr>
        <w:pStyle w:val="ListParagraph"/>
        <w:numPr>
          <w:ilvl w:val="0"/>
          <w:numId w:val="2"/>
        </w:numPr>
        <w:spacing w:after="70" w:line="276"/>
      </w:pPr>
      <w:r>
        <w:rPr>
          <w:b/>
          <w:bCs/>
        </w:rPr>
        <w:t xml:space="preserve">Validated failures: </w:t>
      </w:r>
      <w:r>
        <w:t xml:space="preserve">the recall-versus-prediction trap (apparent accuracy collapses on unseen data); mode collapse and variance compression that erase the strategically important tails </w:t>
      </w:r>
      <w:hyperlink w:history="1" w:anchor="ref_verbalized">
        <w:r>
          <w:rPr>
            <w:rStyle w:val="Hyperlink"/>
          </w:rPr>
          <w:t xml:space="preserve">[8]</w:t>
        </w:r>
      </w:hyperlink>
      <w:r>
        <w:t xml:space="preserve">; and the fact that distributional alignment trades off against correlation structure and individual accuracy </w:t>
      </w:r>
      <w:hyperlink w:history="1" w:anchor="ref_beyondmarginal">
        <w:r>
          <w:rPr>
            <w:rStyle w:val="Hyperlink"/>
          </w:rPr>
          <w:t xml:space="preserve">[9]</w:t>
        </w:r>
      </w:hyperlink>
      <w:r>
        <w:t xml:space="preserve">.</w:t>
      </w:r>
    </w:p>
    <w:p>
      <w:pPr>
        <w:pStyle w:val="Heading2"/>
      </w:pPr>
      <w:r>
        <w:t xml:space="preserve">3.2 The Indian Market</w:t>
      </w:r>
    </w:p>
    <w:p>
      <w:pPr>
        <w:spacing w:after="140" w:line="288"/>
        <w:jc w:val="both"/>
      </w:pPr>
      <w:r>
        <w:t xml:space="preserve">The Indian research and insights industry was approximately INR 29,008 crore (~USD 3.5 billion) in FY2025, but roughly 80% is export/back-office and ~58% is analytics rather than classical research, leaving a smaller addressable domestic pool </w:t>
      </w:r>
      <w:hyperlink w:history="1" w:anchor="ref_mrsi">
        <w:r>
          <w:rPr>
            <w:rStyle w:val="Hyperlink"/>
          </w:rPr>
          <w:t xml:space="preserve">[10]</w:t>
        </w:r>
      </w:hyperlink>
      <w:r>
        <w:t xml:space="preserve">. Indian custom quantitative studies are already inexpensive (commonly USD 3,000–10,000), and incumbents (Kantar, NielsenIQ, Ipsos) already ship synthetic offerings. The strongest India-specific demand sits in political and electoral simulation. Any use of personal or survey data must comply with India's data-protection regime </w:t>
      </w:r>
      <w:hyperlink w:history="1" w:anchor="ref_dpdp">
        <w:r>
          <w:rPr>
            <w:rStyle w:val="Hyperlink"/>
          </w:rPr>
          <w:t xml:space="preserve">[11]</w:t>
        </w:r>
      </w:hyperlink>
      <w:r>
        <w:t xml:space="preserve">.</w:t>
      </w:r>
    </w:p>
    <w:p>
      <w:pPr>
        <w:pStyle w:val="Heading2"/>
      </w:pPr>
      <w:r>
        <w:t xml:space="preserve">3.3 Verdict and Strategic Reframe</w:t>
      </w:r>
    </w:p>
    <w:p>
      <w:pPr>
        <w:spacing w:after="140" w:line="288"/>
        <w:jc w:val="both"/>
      </w:pPr>
      <w:r>
        <w:rPr>
          <w:b/>
          <w:bCs/>
        </w:rPr>
        <w:t xml:space="preserve">As pitched, no. </w:t>
      </w:r>
      <w:r>
        <w:t xml:space="preserve">A “million-persona behavioural oracle that replaces research” fails simultaneously on data, model ceiling, and market, and the highest-value vertical (politics) sits precisely on the technology's weakest points (sensitive caste/religion attitudes, vernacular languages, the rural majority).</w:t>
      </w:r>
    </w:p>
    <w:p>
      <w:pPr>
        <w:spacing w:after="140" w:line="288"/>
        <w:jc w:val="both"/>
      </w:pPr>
      <w:r>
        <w:rPr>
          <w:b/>
          <w:bCs/>
        </w:rPr>
        <w:t xml:space="preserve">Reframed, conditionally yes. </w:t>
      </w:r>
      <w:r>
        <w:t xml:space="preserve">Build a prediction-powered augmentation engine: synthetic output plus a thin real-human sample yields provably valid confidence intervals regardless of model accuracy. Sell tighter confidence per unit of fieldwork, not personas. Sequence tech-safe before money-rich: de-risk on non-sensitive consumer concept screening in one language, then expand. The durable moat is a proprietary, vernacular, rural-inclusive anchor panel plus the validation harness, not the model. If the de-risking test fails, pivot to selling the anchor panel and validation toolkit to incumbents.</w:t>
      </w:r>
      <w:hyperlink w:history="1" w:anchor="ref_ppi">
        <w:r>
          <w:rPr>
            <w:rStyle w:val="Hyperlink"/>
          </w:rPr>
          <w:t xml:space="preserve">[12]</w:t>
        </w:r>
      </w:hyperlink>
    </w:p>
    <w:p>
      <w:pPr>
        <w:pStyle w:val="Heading1"/>
      </w:pPr>
      <w:r>
        <w:t xml:space="preserve">4. The Dimensional Foundation: India as a Joint Distribution</w:t>
      </w:r>
    </w:p>
    <w:p>
      <w:pPr>
        <w:spacing w:after="140" w:line="288"/>
        <w:jc w:val="both"/>
      </w:pPr>
      <w:r>
        <w:t xml:space="preserve">The central modelling principle is that a persona is a point in a high-dimensional joint distribution, not a checklist of independent attributes. People who share a language can share almost nothing else; the dimensions are correlated, and only the combinations that actually occur in India are valid.</w:t>
      </w:r>
    </w:p>
    <w:p>
      <w:pPr>
        <w:pStyle w:val="Heading2"/>
      </w:pPr>
      <w:r>
        <w:t xml:space="preserve">4.1 The Dimensional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Dimension</w:t>
            </w:r>
          </w:p>
        </w:tc>
        <w:tc>
          <w:tcPr>
            <w:tcW w:type="dxa" w:w="676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Real resolution (sourced)</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Language / mother tongue</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Census 2011: 19,569 raw returns → 1,369 mother tongues → 270 (&gt;10k speakers) → 121 languages; 22 scheduled + 99 non-scheduled. </w:t>
            </w:r>
            <w:hyperlink w:history="1" w:anchor="ref_census">
              <w:r>
                <w:rPr>
                  <w:rStyle w:val="Hyperlink"/>
                </w:rPr>
                <w:t xml:space="preserve">[13]</w:t>
              </w:r>
            </w:hyperlink>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Community (jati) / social group</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Anthropological Survey of India, People of India: 4,635 communities (461 Scheduled Tribes); plus varna category. </w:t>
            </w:r>
            <w:hyperlink w:history="1" w:anchor="ref_ansi">
              <w:r>
                <w:rPr>
                  <w:rStyle w:val="Hyperlink"/>
                </w:rPr>
                <w:t xml:space="preserve">[14]</w:t>
              </w:r>
            </w:hyperlink>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Religion and sect</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Hindu, Muslim, Christian, Sikh, Buddhist, Jain, others — each with sub-traditions.</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Geography / tier</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28 states + 8 UTs; 700+ districts; metro / Tier-1 / Tier-2 / Tier-3 / town / village; agro-climatic zones.</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Economic stratum</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NCCS A1–E3 (12 grades), chief-wage-earner education × durables owned, unified rural+urban. </w:t>
            </w:r>
            <w:hyperlink w:history="1" w:anchor="ref_nccs">
              <w:r>
                <w:rPr>
                  <w:rStyle w:val="Hyperlink"/>
                </w:rPr>
                <w:t xml:space="preserve">[15]</w:t>
              </w:r>
            </w:hyperlink>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Occupation / vocation</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Agriculture / informal / formal services / manufacturing / gig / government / professional; role × department × tenure.</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Life-stage / household</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Age cohort, gender, joint vs nuclear family, marital status, generation.</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Psychographic / cultural</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Diet, festival calendar, religiosity, media diet, aspiration, digital access, migration status.</w:t>
            </w:r>
          </w:p>
        </w:tc>
      </w:tr>
    </w:tbl>
    <w:p>
      <w:pPr>
        <w:pStyle w:val="Heading2"/>
      </w:pPr>
      <w:r>
        <w:t xml:space="preserve">4.2 The Combinatorics: Generatable, Real, and Needed</w:t>
      </w:r>
    </w:p>
    <w:p>
      <w:pPr>
        <w:spacing w:after="140" w:line="288"/>
        <w:jc w:val="both"/>
      </w:pPr>
      <w:r>
        <w:t xml:space="preserve">The raw combinatorial space is not in the millions but, with continuous psychological variables, effectively infinite. The demographic skeleton alone discretises to roughly 1.5 × 10^13 cells. India has ~1.4 × 10^9 people, so more than 99.99% of permutations correspond to no real human. The target is therefore the populated support of the real joint distribution — plausibly low single-digit millions of distinct, representative personas, each re-samplable to any required N — never the Cartesian product, whose mass is fictional and whose generation actively harms fidelity.</w:t>
      </w:r>
    </w:p>
    <w:p>
      <w:pPr>
        <w:pStyle w:val="Heading1"/>
      </w:pPr>
      <w:r>
        <w:t xml:space="preserve">5. Scale Architecture: PersonaHub-for-India</w:t>
      </w:r>
    </w:p>
    <w:p>
      <w:pPr>
        <w:spacing w:after="140" w:line="288"/>
        <w:jc w:val="both"/>
      </w:pPr>
      <w:r>
        <w:t xml:space="preserve">Generation re-seeds the PersonaHub method </w:t>
      </w:r>
      <w:hyperlink w:history="1" w:anchor="ref_personahub">
        <w:r>
          <w:rPr>
            <w:rStyle w:val="Hyperlink"/>
          </w:rPr>
          <w:t xml:space="preserve">[2]</w:t>
        </w:r>
      </w:hyperlink>
      <w:r>
        <w:t xml:space="preserve"> from native Indic text so that authentic Indian combinations emerge from real data rather than being invented by a Western-trained model. Six stages:</w:t>
      </w:r>
    </w:p>
    <w:p>
      <w:pPr>
        <w:pStyle w:val="ListParagraph"/>
        <w:numPr>
          <w:ilvl w:val="0"/>
          <w:numId w:val="2"/>
        </w:numPr>
        <w:spacing w:after="70" w:line="276"/>
      </w:pPr>
      <w:r>
        <w:rPr>
          <w:b/>
          <w:bCs/>
        </w:rPr>
        <w:t xml:space="preserve">1. Indic Text-to-Persona. </w:t>
      </w:r>
      <w:r>
        <w:t xml:space="preserve">Run “who would write / read / like this?” over AI4Bharat's Sangraha corpus (251B tokens, 22 scheduled languages, including OCR of vernacular print and transcribed audio/video), prompting in-language </w:t>
      </w:r>
      <w:hyperlink w:history="1" w:anchor="ref_sangraha">
        <w:r>
          <w:rPr>
            <w:rStyle w:val="Hyperlink"/>
          </w:rPr>
          <w:t xml:space="preserve">[16]</w:t>
        </w:r>
      </w:hyperlink>
      <w:r>
        <w:t xml:space="preserve">.</w:t>
      </w:r>
    </w:p>
    <w:p>
      <w:pPr>
        <w:pStyle w:val="ListParagraph"/>
        <w:numPr>
          <w:ilvl w:val="0"/>
          <w:numId w:val="2"/>
        </w:numPr>
        <w:spacing w:after="70" w:line="276"/>
      </w:pPr>
      <w:r>
        <w:rPr>
          <w:b/>
          <w:bCs/>
        </w:rPr>
        <w:t xml:space="preserve">2. Persona-to-Persona expansion. </w:t>
      </w:r>
      <w:r>
        <w:t xml:space="preserve">Reach the offline majority through interpersonal relationships, grounded in the People of India ethnographies so relationships are real, not hallucinated </w:t>
      </w:r>
      <w:hyperlink w:history="1" w:anchor="ref_ansi">
        <w:r>
          <w:rPr>
            <w:rStyle w:val="Hyperlink"/>
          </w:rPr>
          <w:t xml:space="preserve">[14]</w:t>
        </w:r>
      </w:hyperlink>
      <w:r>
        <w:t xml:space="preserve">.</w:t>
      </w:r>
    </w:p>
    <w:p>
      <w:pPr>
        <w:pStyle w:val="ListParagraph"/>
        <w:numPr>
          <w:ilvl w:val="0"/>
          <w:numId w:val="2"/>
        </w:numPr>
        <w:spacing w:after="70" w:line="276"/>
      </w:pPr>
      <w:r>
        <w:t xml:space="preserve">3. Multilingual deduplication. MinHash plus cross-lingual embeddings, with per-language thresholds, so the same persona across scripts merges while distinct communities are not collapsed.</w:t>
      </w:r>
    </w:p>
    <w:p>
      <w:pPr>
        <w:pStyle w:val="ListParagraph"/>
        <w:numPr>
          <w:ilvl w:val="0"/>
          <w:numId w:val="2"/>
        </w:numPr>
        <w:spacing w:after="70" w:line="276"/>
      </w:pPr>
      <w:r>
        <w:t xml:space="preserve">4. Distribution grounding. Reweight the diverse pool to real joint margins via iterative proportional fitting, fitting household-and-person margins jointly, attaching a representativeness weight to each persona.</w:t>
      </w:r>
    </w:p>
    <w:p>
      <w:pPr>
        <w:pStyle w:val="ListParagraph"/>
        <w:numPr>
          <w:ilvl w:val="0"/>
          <w:numId w:val="2"/>
        </w:numPr>
        <w:spacing w:after="70" w:line="276"/>
      </w:pPr>
      <w:r>
        <w:t xml:space="preserve">5. Schema enrichment. Promote each persona to a structured object: dimensional coordinates, narrative, and decision priors.</w:t>
      </w:r>
    </w:p>
    <w:p>
      <w:pPr>
        <w:pStyle w:val="ListParagraph"/>
        <w:numPr>
          <w:ilvl w:val="0"/>
          <w:numId w:val="2"/>
        </w:numPr>
        <w:spacing w:after="70" w:line="276"/>
      </w:pPr>
      <w:r>
        <w:t xml:space="preserve">6. Multilingual voicing. Each persona responds in its own language and register, modelling code-switching, fine-tuned on real Indic responses rather than prompt-roleplay.</w:t>
      </w:r>
    </w:p>
    <w:p>
      <w:pPr>
        <w:pStyle w:val="Heading1"/>
      </w:pPr>
      <w:r>
        <w:t xml:space="preserve">6. The Cognitive Persona Architecture</w:t>
      </w:r>
    </w:p>
    <w:p>
      <w:pPr>
        <w:spacing w:after="140" w:line="288"/>
        <w:jc w:val="both"/>
      </w:pPr>
      <w:r>
        <w:t xml:space="preserve">On the demographic skeleton sit four layers that constitute human intelligence.</w:t>
      </w:r>
    </w:p>
    <w:p>
      <w:pPr>
        <w:pStyle w:val="Heading2"/>
      </w:pPr>
      <w:r>
        <w:t xml:space="preserve">6.1 Layer 1 — The Psyche</w:t>
      </w:r>
    </w:p>
    <w:p>
      <w:pPr>
        <w:spacing w:after="140" w:line="288"/>
        <w:jc w:val="both"/>
      </w:pPr>
      <w:r>
        <w:t xml:space="preserve">A structured numeric vector, validated by behaviour rather than self-report: HEXACO personality, including Honesty-Humility, which governs moral and rule-bending decisions </w:t>
      </w:r>
      <w:hyperlink w:history="1" w:anchor="ref_hexaco">
        <w:r>
          <w:rPr>
            <w:rStyle w:val="Hyperlink"/>
          </w:rPr>
          <w:t xml:space="preserve">[17]</w:t>
        </w:r>
      </w:hyperlink>
      <w:r>
        <w:t xml:space="preserve">; Schwartz value ranks, whose circumplex enforces coherence </w:t>
      </w:r>
      <w:hyperlink w:history="1" w:anchor="ref_schwartz">
        <w:r>
          <w:rPr>
            <w:rStyle w:val="Hyperlink"/>
          </w:rPr>
          <w:t xml:space="preserve">[18]</w:t>
        </w:r>
      </w:hyperlink>
      <w:r>
        <w:t xml:space="preserve">; Moral-Foundations weights </w:t>
      </w:r>
      <w:hyperlink w:history="1" w:anchor="ref_haidt">
        <w:r>
          <w:rPr>
            <w:rStyle w:val="Hyperlink"/>
          </w:rPr>
          <w:t xml:space="preserve">[19]</w:t>
        </w:r>
      </w:hyperlink>
      <w:r>
        <w:t xml:space="preserve">; locus of control and religiosity (the fatalism–agency dial); and per-persona tuned cognitive-bias intensities. Traits are represented as a mean plus an idiosyncratic variance, and the entire vector is sampled sub-nationally — never from a single national culture score.</w:t>
      </w:r>
    </w:p>
    <w:p>
      <w:pPr>
        <w:pStyle w:val="Heading2"/>
      </w:pPr>
      <w:r>
        <w:t xml:space="preserve">6.2 Layer 2 — The Mind</w:t>
      </w:r>
    </w:p>
    <w:p>
      <w:pPr>
        <w:spacing w:after="140" w:line="288"/>
        <w:jc w:val="both"/>
      </w:pPr>
      <w:r>
        <w:t xml:space="preserve">The generative-agent stack </w:t>
      </w:r>
      <w:hyperlink w:history="1" w:anchor="ref_park2023">
        <w:r>
          <w:rPr>
            <w:rStyle w:val="Hyperlink"/>
          </w:rPr>
          <w:t xml:space="preserve">[20]</w:t>
        </w:r>
      </w:hyperlink>
      <w:r>
        <w:t xml:space="preserve">, upgraded: a memory stream retrieved by recency, importance, and relevance; reflection that synthesises higher-level beliefs; memory typing into episodic, semantic, and procedural stores </w:t>
      </w:r>
      <w:hyperlink w:history="1" w:anchor="ref_coala">
        <w:r>
          <w:rPr>
            <w:rStyle w:val="Hyperlink"/>
          </w:rPr>
          <w:t xml:space="preserve">[21]</w:t>
        </w:r>
      </w:hyperlink>
      <w:r>
        <w:t xml:space="preserve">; evolving long-term memory </w:t>
      </w:r>
      <w:hyperlink w:history="1" w:anchor="ref_amem">
        <w:r>
          <w:rPr>
            <w:rStyle w:val="Hyperlink"/>
          </w:rPr>
          <w:t xml:space="preserve">[22]</w:t>
        </w:r>
      </w:hyperlink>
      <w:r>
        <w:t xml:space="preserve"> atop an operating-system-style memory manager </w:t>
      </w:r>
      <w:hyperlink w:history="1" w:anchor="ref_memgpt">
        <w:r>
          <w:rPr>
            <w:rStyle w:val="Hyperlink"/>
          </w:rPr>
          <w:t xml:space="preserve">[23]</w:t>
        </w:r>
      </w:hyperlink>
      <w:r>
        <w:t xml:space="preserve">; a Belief-Desire-Intention goal layer with commitment so long-horizon goals persist; an emotion state; and explicit per-relationship belief models to compensate for brittle theory of mind.</w:t>
      </w:r>
    </w:p>
    <w:p>
      <w:pPr>
        <w:pStyle w:val="Heading2"/>
      </w:pPr>
      <w:r>
        <w:t xml:space="preserve">6.3 Layer 3 — The Behavioural Engine</w:t>
      </w:r>
    </w:p>
    <w:p>
      <w:pPr>
        <w:spacing w:after="140" w:line="288"/>
        <w:jc w:val="both"/>
      </w:pPr>
      <w:r>
        <w:t xml:space="preserve">A real daily life rather than random actions: hourly schedules drawn from the India Time Use Survey conditioned on sex × rural/urban × age × employment </w:t>
      </w:r>
      <w:hyperlink w:history="1" w:anchor="ref_tus">
        <w:r>
          <w:rPr>
            <w:rStyle w:val="Hyperlink"/>
          </w:rPr>
          <w:t xml:space="preserve">[24]</w:t>
        </w:r>
      </w:hyperlink>
      <w:r>
        <w:t xml:space="preserve"> (encoding, for instance, the ~305 minutes/day of women's unpaid domestic work); habit loops gated by behaviour-change frameworks so actions are contextual </w:t>
      </w:r>
      <w:hyperlink w:history="1" w:anchor="ref_comb">
        <w:r>
          <w:rPr>
            <w:rStyle w:val="Hyperlink"/>
          </w:rPr>
          <w:t xml:space="preserve">[25]</w:t>
        </w:r>
      </w:hyperlink>
      <w:r>
        <w:t xml:space="preserve">; real base rates for consumption, media, and finance, with the caveat that 78% banked includes ~35% inactive accounts </w:t>
      </w:r>
      <w:hyperlink w:history="1" w:anchor="ref_findex">
        <w:r>
          <w:rPr>
            <w:rStyle w:val="Hyperlink"/>
          </w:rPr>
          <w:t xml:space="preserve">[26]</w:t>
        </w:r>
      </w:hyperlink>
      <w:r>
        <w:t xml:space="preserve">; and festival, harvest, and life-stage calendar modulation.</w:t>
      </w:r>
    </w:p>
    <w:p>
      <w:pPr>
        <w:pStyle w:val="Heading2"/>
      </w:pPr>
      <w:r>
        <w:t xml:space="preserve">6.4 Layer 4 — Validation</w:t>
      </w:r>
    </w:p>
    <w:p>
      <w:pPr>
        <w:spacing w:after="140" w:line="288"/>
        <w:jc w:val="both"/>
      </w:pPr>
      <w:r>
        <w:t xml:space="preserve">Behavioural, not self-report: scenario batteries tested across paraphrases and option orders; cross-scenario value consistency; an “uncanny coherence” check that flags personas which are too consistent; and out-of-distribution testing against held-out real data, rectified by prediction-powered inference.</w:t>
      </w:r>
    </w:p>
    <w:p>
      <w:pPr>
        <w:pStyle w:val="Heading2"/>
      </w:pPr>
      <w:r>
        <w:t xml:space="preserve">6.5 The Decision Loop</w:t>
      </w:r>
    </w:p>
    <w:p>
      <w:pPr>
        <w:spacing w:after="140" w:line="288"/>
        <w:jc w:val="both"/>
      </w:pPr>
      <w:r>
        <w:t xml:space="preserve">Event → retrieve memories → appraise against goals and update emotion → apply psyche priors → check behavioural feasibility → model the other party → act in native register → write the experience back to memory, possibly reflecting. A faithful output is behaviourally specific, in-character, constraint-consistent, and falsifiable — not a generic demographic statement.</w:t>
      </w:r>
    </w:p>
    <w:p>
      <w:pPr>
        <w:pStyle w:val="Heading1"/>
      </w:pPr>
      <w:r>
        <w:t xml:space="preserve">7. The Realism-Enhancement Layer</w:t>
      </w:r>
    </w:p>
    <w:p>
      <w:pPr>
        <w:spacing w:after="140" w:line="288"/>
        <w:jc w:val="both"/>
      </w:pPr>
      <w:r>
        <w:t xml:space="preserve">A real person is held together by a story, not by consistency. The self-story stays coherent while everything downstream becomes biased, lossy, performed, embodied, and socially pulled.</w:t>
      </w:r>
    </w:p>
    <w:p>
      <w:pPr>
        <w:pStyle w:val="Heading2"/>
      </w:pPr>
      <w:r>
        <w:t xml:space="preserve">7.1 The Messy Inner Self</w:t>
      </w:r>
    </w:p>
    <w:p>
      <w:pPr>
        <w:pStyle w:val="ListParagraph"/>
        <w:numPr>
          <w:ilvl w:val="0"/>
          <w:numId w:val="2"/>
        </w:numPr>
        <w:spacing w:after="70" w:line="276"/>
      </w:pPr>
      <w:r>
        <w:rPr>
          <w:b/>
          <w:bCs/>
        </w:rPr>
        <w:t xml:space="preserve">Narrative identity: </w:t>
      </w:r>
      <w:r>
        <w:t xml:space="preserve">a privileged self-story of redemption/contamination scenes and agency/communion themes, re-narrated to explain choices </w:t>
      </w:r>
      <w:hyperlink w:history="1" w:anchor="ref_mcadams">
        <w:r>
          <w:rPr>
            <w:rStyle w:val="Hyperlink"/>
          </w:rPr>
          <w:t xml:space="preserve">[27]</w:t>
        </w:r>
      </w:hyperlink>
      <w:r>
        <w:t xml:space="preserve">.</w:t>
      </w:r>
    </w:p>
    <w:p>
      <w:pPr>
        <w:pStyle w:val="ListParagraph"/>
        <w:numPr>
          <w:ilvl w:val="0"/>
          <w:numId w:val="2"/>
        </w:numPr>
        <w:spacing w:after="70" w:line="276"/>
      </w:pPr>
      <w:r>
        <w:t xml:space="preserve">Dual-process cognition: a deliberation gate — fast and intuitive by default, slow only under stakes; fatigue degrades deliberation even on important calls.</w:t>
      </w:r>
    </w:p>
    <w:p>
      <w:pPr>
        <w:pStyle w:val="ListParagraph"/>
        <w:numPr>
          <w:ilvl w:val="0"/>
          <w:numId w:val="2"/>
        </w:numPr>
        <w:spacing w:after="70" w:line="276"/>
      </w:pPr>
      <w:r>
        <w:rPr>
          <w:b/>
          <w:bCs/>
        </w:rPr>
        <w:t xml:space="preserve">States over traits: </w:t>
      </w:r>
      <w:r>
        <w:t xml:space="preserve">trait mean plus idiosyncratic variance, de-cloning identical demographic types </w:t>
      </w:r>
      <w:hyperlink w:history="1" w:anchor="ref_fleeson">
        <w:r>
          <w:rPr>
            <w:rStyle w:val="Hyperlink"/>
          </w:rPr>
          <w:t xml:space="preserve">[28]</w:t>
        </w:r>
      </w:hyperlink>
      <w:r>
        <w:t xml:space="preserve">; plus subclinical dark-tetrad loadings and irrational quirks.</w:t>
      </w:r>
    </w:p>
    <w:p>
      <w:pPr>
        <w:pStyle w:val="ListParagraph"/>
        <w:numPr>
          <w:ilvl w:val="0"/>
          <w:numId w:val="2"/>
        </w:numPr>
        <w:spacing w:after="70" w:line="276"/>
      </w:pPr>
      <w:r>
        <w:rPr>
          <w:b/>
          <w:bCs/>
        </w:rPr>
        <w:t xml:space="preserve">Somatic markers and reconstructive memory: </w:t>
      </w:r>
      <w:r>
        <w:t xml:space="preserve">gut-feel priors that bias choice before deliberation </w:t>
      </w:r>
      <w:hyperlink w:history="1" w:anchor="ref_damasio">
        <w:r>
          <w:rPr>
            <w:rStyle w:val="Hyperlink"/>
          </w:rPr>
          <w:t xml:space="preserve">[29]</w:t>
        </w:r>
      </w:hyperlink>
      <w:r>
        <w:t xml:space="preserve">; and rosy drift, mood-congruent recall, and occasional fabrication rather than verbatim recall </w:t>
      </w:r>
      <w:hyperlink w:history="1" w:anchor="ref_schacter">
        <w:r>
          <w:rPr>
            <w:rStyle w:val="Hyperlink"/>
          </w:rPr>
          <w:t xml:space="preserve">[30]</w:t>
        </w:r>
      </w:hyperlink>
      <w:r>
        <w:t xml:space="preserve">.</w:t>
      </w:r>
    </w:p>
    <w:p>
      <w:pPr>
        <w:pStyle w:val="Heading2"/>
      </w:pPr>
      <w:r>
        <w:t xml:space="preserve">7.2 The Embedded, Embodied, Changing Self</w:t>
      </w:r>
    </w:p>
    <w:p>
      <w:pPr>
        <w:pStyle w:val="ListParagraph"/>
        <w:numPr>
          <w:ilvl w:val="0"/>
          <w:numId w:val="2"/>
        </w:numPr>
        <w:spacing w:after="70" w:line="276"/>
      </w:pPr>
      <w:r>
        <w:rPr>
          <w:b/>
          <w:bCs/>
        </w:rPr>
        <w:t xml:space="preserve">Social embedding and contagion: </w:t>
      </w:r>
      <w:r>
        <w:t xml:space="preserve">a typed relationship graph governed by social-identity dynamics </w:t>
      </w:r>
      <w:hyperlink w:history="1" w:anchor="ref_tajfel">
        <w:r>
          <w:rPr>
            <w:rStyle w:val="Hyperlink"/>
          </w:rPr>
          <w:t xml:space="preserve">[31]</w:t>
        </w:r>
      </w:hyperlink>
      <w:r>
        <w:t xml:space="preserve">, with belief spread via bounded-confidence opinion dynamics </w:t>
      </w:r>
      <w:hyperlink w:history="1" w:anchor="ref_bounded">
        <w:r>
          <w:rPr>
            <w:rStyle w:val="Hyperlink"/>
          </w:rPr>
          <w:t xml:space="preserve">[32]</w:t>
        </w:r>
      </w:hyperlink>
      <w:r>
        <w:t xml:space="preserve">; tighter bounds across caste/religion lines reproduce echo chambers.</w:t>
      </w:r>
    </w:p>
    <w:p>
      <w:pPr>
        <w:pStyle w:val="ListParagraph"/>
        <w:numPr>
          <w:ilvl w:val="0"/>
          <w:numId w:val="2"/>
        </w:numPr>
        <w:spacing w:after="70" w:line="276"/>
      </w:pPr>
      <w:r>
        <w:rPr>
          <w:b/>
          <w:bCs/>
        </w:rPr>
        <w:t xml:space="preserve">Impression management: </w:t>
      </w:r>
      <w:r>
        <w:t xml:space="preserve">an audience parameter switches register, disclosed goals, and display rules; the mask slips under stress </w:t>
      </w:r>
      <w:hyperlink w:history="1" w:anchor="ref_goffman">
        <w:r>
          <w:rPr>
            <w:rStyle w:val="Hyperlink"/>
          </w:rPr>
          <w:t xml:space="preserve">[33]</w:t>
        </w:r>
      </w:hyperlink>
      <w:r>
        <w:t xml:space="preserve">.</w:t>
      </w:r>
    </w:p>
    <w:p>
      <w:pPr>
        <w:pStyle w:val="ListParagraph"/>
        <w:numPr>
          <w:ilvl w:val="0"/>
          <w:numId w:val="2"/>
        </w:numPr>
        <w:spacing w:after="70" w:line="276"/>
      </w:pPr>
      <w:r>
        <w:t xml:space="preserve">Linguistic fingerprint (idiolect): an individual voice — lexicon, proverbs, honorifics, code-switch ratios — the cheapest high-impact differentiator in a multilingual setting.</w:t>
      </w:r>
    </w:p>
    <w:p>
      <w:pPr>
        <w:pStyle w:val="ListParagraph"/>
        <w:numPr>
          <w:ilvl w:val="0"/>
          <w:numId w:val="2"/>
        </w:numPr>
        <w:spacing w:after="70" w:line="276"/>
      </w:pPr>
      <w:r>
        <w:rPr>
          <w:b/>
          <w:bCs/>
        </w:rPr>
        <w:t xml:space="preserve">Embodiment, development, and information environment: </w:t>
      </w:r>
      <w:r>
        <w:t xml:space="preserve">physiological state (circadian, hunger, fatigue, fasting, heat) bends mood and decisions; habit automaticity forms over roughly two months </w:t>
      </w:r>
      <w:hyperlink w:history="1" w:anchor="ref_lally">
        <w:r>
          <w:rPr>
            <w:rStyle w:val="Hyperlink"/>
          </w:rPr>
          <w:t xml:space="preserve">[34]</w:t>
        </w:r>
      </w:hyperlink>
      <w:r>
        <w:t xml:space="preserve">; and a per-persona media diet — in India, the WhatsApp forward believed and re-shared even when false </w:t>
      </w:r>
      <w:hyperlink w:history="1" w:anchor="ref_whatsapp">
        <w:r>
          <w:rPr>
            <w:rStyle w:val="Hyperlink"/>
          </w:rPr>
          <w:t xml:space="preserve">[35]</w:t>
        </w:r>
      </w:hyperlink>
      <w:r>
        <w:t xml:space="preserve">.</w:t>
      </w:r>
    </w:p>
    <w:p>
      <w:pPr>
        <w:pStyle w:val="Heading2"/>
      </w:pPr>
      <w:r>
        <w:t xml:space="preserve">7.3 The Realism Stack (Priority Order)</w:t>
      </w:r>
    </w:p>
    <w:p>
      <w:pPr>
        <w:spacing w:after="140" w:line="288"/>
        <w:jc w:val="both"/>
      </w:pPr>
      <w:r>
        <w:t xml:space="preserve">Idiolect → narrative self-story → audience-conditioned register → states-over-traits → controlled inconsistency and reconstructive memory → the physiology/affect loop. Network contagion and the WhatsApp media diet are the highest-effort but most India-authentic additions; full life-course drift is deferred until the rest land.</w:t>
      </w:r>
    </w:p>
    <w:p>
      <w:pPr>
        <w:pStyle w:val="Heading1"/>
      </w:pPr>
      <w:r>
        <w:t xml:space="preserve">8. The Decision Engine: Scientific Foundations</w:t>
      </w:r>
    </w:p>
    <w:p>
      <w:pPr>
        <w:spacing w:after="140" w:line="288"/>
        <w:jc w:val="both"/>
      </w:pPr>
      <w:r>
        <w:t xml:space="preserve">Eight literatures of human thinking, neuroscience, and decision-making were read deep. They do not compete; they nest into one architecture, with predictive processing as the substrate.</w:t>
      </w:r>
    </w:p>
    <w:p>
      <w:pPr>
        <w:pStyle w:val="Heading2"/>
      </w:pPr>
      <w:r>
        <w:t xml:space="preserve">8.1 The Eight Literatures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4250"/>
        <w:gridCol w:w="2960"/>
      </w:tblGrid>
      <w:tr>
        <w:trPr>
          <w:tblHeader/>
        </w:trPr>
        <w:tc>
          <w:tcPr>
            <w:tcW w:type="dxa" w:w="215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Literature</w:t>
            </w:r>
          </w:p>
        </w:tc>
        <w:tc>
          <w:tcPr>
            <w:tcW w:type="dxa" w:w="425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Load-bearing finding(s)</w:t>
            </w:r>
          </w:p>
        </w:tc>
        <w:tc>
          <w:tcPr>
            <w:tcW w:type="dxa" w:w="296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Contribution to the engine</w:t>
            </w:r>
          </w:p>
        </w:tc>
      </w:tr>
      <w:tr>
        <w:tc>
          <w:tcPr>
            <w:tcW w:type="dxa" w:w="2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Dual-process &amp; bounded rationality</w:t>
            </w:r>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System 1/2; prospect theory; satisficing; ecological rationality; scarcity costs ~13 reversible IQ points. </w:t>
            </w:r>
            <w:hyperlink w:history="1" w:anchor="ref_kahneman">
              <w:r>
                <w:rPr>
                  <w:rStyle w:val="Hyperlink"/>
                </w:rPr>
                <w:t xml:space="preserve">[36]</w:t>
              </w:r>
            </w:hyperlink>
            <w:r>
              <w:t xml:space="preserve"> </w:t>
            </w:r>
            <w:hyperlink w:history="1" w:anchor="ref_prospect">
              <w:r>
                <w:rPr>
                  <w:rStyle w:val="Hyperlink"/>
                </w:rPr>
                <w:t xml:space="preserve">[37]</w:t>
              </w:r>
            </w:hyperlink>
            <w:r>
              <w:t xml:space="preserve"> </w:t>
            </w:r>
            <w:hyperlink w:history="1" w:anchor="ref_gigerenzer">
              <w:r>
                <w:rPr>
                  <w:rStyle w:val="Hyperlink"/>
                </w:rPr>
                <w:t xml:space="preserve">[38]</w:t>
              </w:r>
            </w:hyperlink>
            <w:r>
              <w:t xml:space="preserve"> </w:t>
            </w:r>
            <w:hyperlink w:history="1" w:anchor="ref_simon">
              <w:r>
                <w:rPr>
                  <w:rStyle w:val="Hyperlink"/>
                </w:rPr>
                <w:t xml:space="preserve">[39]</w:t>
              </w:r>
            </w:hyperlink>
            <w:r>
              <w:t xml:space="preserve"> </w:t>
            </w:r>
            <w:hyperlink w:history="1" w:anchor="ref_mani">
              <w:r>
                <w:rPr>
                  <w:rStyle w:val="Hyperlink"/>
                </w:rPr>
                <w:t xml:space="preserve">[40]</w:t>
              </w:r>
            </w:hyperlink>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Deliberation gate; prospect-theoretic value; heuristics as competence; scarcity as a state.</w:t>
            </w:r>
          </w:p>
        </w:tc>
      </w:tr>
      <w:tr>
        <w:tc>
          <w:tcPr>
            <w:tcW w:type="dxa" w:w="2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Neuroeconomics</w:t>
            </w:r>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Common neural currency of value; dopamine = reward-prediction-error; wanting ≠ liking; drift-diffusion choice. </w:t>
            </w:r>
            <w:hyperlink w:history="1" w:anchor="ref_glimcher">
              <w:r>
                <w:rPr>
                  <w:rStyle w:val="Hyperlink"/>
                </w:rPr>
                <w:t xml:space="preserve">[41]</w:t>
              </w:r>
            </w:hyperlink>
            <w:r>
              <w:t xml:space="preserve"> </w:t>
            </w:r>
            <w:hyperlink w:history="1" w:anchor="ref_schultz">
              <w:r>
                <w:rPr>
                  <w:rStyle w:val="Hyperlink"/>
                </w:rPr>
                <w:t xml:space="preserve">[42]</w:t>
              </w:r>
            </w:hyperlink>
            <w:r>
              <w:t xml:space="preserve"> </w:t>
            </w:r>
            <w:hyperlink w:history="1" w:anchor="ref_berridge">
              <w:r>
                <w:rPr>
                  <w:rStyle w:val="Hyperlink"/>
                </w:rPr>
                <w:t xml:space="preserve">[43]</w:t>
              </w:r>
            </w:hyperlink>
            <w:r>
              <w:t xml:space="preserve"> </w:t>
            </w:r>
            <w:hyperlink w:history="1" w:anchor="ref_ratcliff">
              <w:r>
                <w:rPr>
                  <w:rStyle w:val="Hyperlink"/>
                </w:rPr>
                <w:t xml:space="preserve">[44]</w:t>
              </w:r>
            </w:hyperlink>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 single utility latent; TD learning; decoupled craving/aspiration; reaction time and confidence.</w:t>
            </w:r>
          </w:p>
        </w:tc>
      </w:tr>
      <w:tr>
        <w:tc>
          <w:tcPr>
            <w:tcW w:type="dxa" w:w="2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Predictive processing</w:t>
            </w:r>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Brain minimises prediction error; precision-weighted priors; interoceptive self. </w:t>
            </w:r>
            <w:hyperlink w:history="1" w:anchor="ref_friston">
              <w:r>
                <w:rPr>
                  <w:rStyle w:val="Hyperlink"/>
                </w:rPr>
                <w:t xml:space="preserve">[45]</w:t>
              </w:r>
            </w:hyperlink>
            <w:r>
              <w:t xml:space="preserve"> </w:t>
            </w:r>
            <w:hyperlink w:history="1" w:anchor="ref_clark">
              <w:r>
                <w:rPr>
                  <w:rStyle w:val="Hyperlink"/>
                </w:rPr>
                <w:t xml:space="preserve">[46]</w:t>
              </w:r>
            </w:hyperlink>
            <w:r>
              <w:t xml:space="preserve"> </w:t>
            </w:r>
            <w:hyperlink w:history="1" w:anchor="ref_seth">
              <w:r>
                <w:rPr>
                  <w:rStyle w:val="Hyperlink"/>
                </w:rPr>
                <w:t xml:space="preserve">[47]</w:t>
              </w:r>
            </w:hyperlink>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The substrate: belief = prior × precision → sticky priors and misinformation resistance from one mechanism.</w:t>
            </w:r>
          </w:p>
        </w:tc>
      </w:tr>
      <w:tr>
        <w:tc>
          <w:tcPr>
            <w:tcW w:type="dxa" w:w="2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Affective neuroscience</w:t>
            </w:r>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Constructed emotion + core affect; primary motivational drives. </w:t>
            </w:r>
            <w:hyperlink w:history="1" w:anchor="ref_barrett">
              <w:r>
                <w:rPr>
                  <w:rStyle w:val="Hyperlink"/>
                </w:rPr>
                <w:t xml:space="preserve">[48]</w:t>
              </w:r>
            </w:hyperlink>
            <w:r>
              <w:t xml:space="preserve"> </w:t>
            </w:r>
            <w:hyperlink w:history="1" w:anchor="ref_panksepp">
              <w:r>
                <w:rPr>
                  <w:rStyle w:val="Hyperlink"/>
                </w:rPr>
                <w:t xml:space="preserve">[49]</w:t>
              </w:r>
            </w:hyperlink>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Hybrid emotion engine with a swappable cultural concept pack (e.g., lajja ≠ shame).</w:t>
            </w:r>
          </w:p>
        </w:tc>
      </w:tr>
      <w:tr>
        <w:tc>
          <w:tcPr>
            <w:tcW w:type="dxa" w:w="2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Memory &amp; the narrative self</w:t>
            </w:r>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Reconstructive memory; reconsolidation (recall = rewrite); habit chunking; the confabulating interpreter. </w:t>
            </w:r>
            <w:hyperlink w:history="1" w:anchor="ref_tulving">
              <w:r>
                <w:rPr>
                  <w:rStyle w:val="Hyperlink"/>
                </w:rPr>
                <w:t xml:space="preserve">[50]</w:t>
              </w:r>
            </w:hyperlink>
            <w:r>
              <w:t xml:space="preserve"> </w:t>
            </w:r>
            <w:hyperlink w:history="1" w:anchor="ref_loftus">
              <w:r>
                <w:rPr>
                  <w:rStyle w:val="Hyperlink"/>
                </w:rPr>
                <w:t xml:space="preserve">[51]</w:t>
              </w:r>
            </w:hyperlink>
            <w:r>
              <w:t xml:space="preserve"> </w:t>
            </w:r>
            <w:hyperlink w:history="1" w:anchor="ref_nader">
              <w:r>
                <w:rPr>
                  <w:rStyle w:val="Hyperlink"/>
                </w:rPr>
                <w:t xml:space="preserve">[52]</w:t>
              </w:r>
            </w:hyperlink>
            <w:r>
              <w:t xml:space="preserve"> </w:t>
            </w:r>
            <w:hyperlink w:history="1" w:anchor="ref_graybiel">
              <w:r>
                <w:rPr>
                  <w:rStyle w:val="Hyperlink"/>
                </w:rPr>
                <w:t xml:space="preserve">[53]</w:t>
              </w:r>
            </w:hyperlink>
            <w:r>
              <w:t xml:space="preserve"> </w:t>
            </w:r>
            <w:hyperlink w:history="1" w:anchor="ref_gazzaniga">
              <w:r>
                <w:rPr>
                  <w:rStyle w:val="Hyperlink"/>
                </w:rPr>
                <w:t xml:space="preserve">[54]</w:t>
              </w:r>
            </w:hyperlink>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Lossy, drifting memory; post-hoc rationalisation; identity-biased retrieval.</w:t>
            </w:r>
          </w:p>
        </w:tc>
      </w:tr>
      <w:tr>
        <w:tc>
          <w:tcPr>
            <w:tcW w:type="dxa" w:w="2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Moral &amp; social cognition</w:t>
            </w:r>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Intuition-first morality; dual-process ethics; dissonance; influence levers; conformity; cooperation. </w:t>
            </w:r>
            <w:hyperlink w:history="1" w:anchor="ref_greene">
              <w:r>
                <w:rPr>
                  <w:rStyle w:val="Hyperlink"/>
                </w:rPr>
                <w:t xml:space="preserve">[55]</w:t>
              </w:r>
            </w:hyperlink>
            <w:r>
              <w:t xml:space="preserve"> </w:t>
            </w:r>
            <w:hyperlink w:history="1" w:anchor="ref_festinger">
              <w:r>
                <w:rPr>
                  <w:rStyle w:val="Hyperlink"/>
                </w:rPr>
                <w:t xml:space="preserve">[56]</w:t>
              </w:r>
            </w:hyperlink>
            <w:r>
              <w:t xml:space="preserve"> </w:t>
            </w:r>
            <w:hyperlink w:history="1" w:anchor="ref_cialdini">
              <w:r>
                <w:rPr>
                  <w:rStyle w:val="Hyperlink"/>
                </w:rPr>
                <w:t xml:space="preserve">[57]</w:t>
              </w:r>
            </w:hyperlink>
            <w:r>
              <w:t xml:space="preserve"> </w:t>
            </w:r>
            <w:hyperlink w:history="1" w:anchor="ref_asch">
              <w:r>
                <w:rPr>
                  <w:rStyle w:val="Hyperlink"/>
                </w:rPr>
                <w:t xml:space="preserve">[58]</w:t>
              </w:r>
            </w:hyperlink>
            <w:r>
              <w:t xml:space="preserve"> </w:t>
            </w:r>
            <w:hyperlink w:history="1" w:anchor="ref_tomasello">
              <w:r>
                <w:rPr>
                  <w:rStyle w:val="Hyperlink"/>
                </w:rPr>
                <w:t xml:space="preserve">[59]</w:t>
              </w:r>
            </w:hyperlink>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Gut verdict then justification; conformity and in-group weighting; social-proof permeability.</w:t>
            </w:r>
          </w:p>
        </w:tc>
      </w:tr>
      <w:tr>
        <w:tc>
          <w:tcPr>
            <w:tcW w:type="dxa" w:w="2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Behavioural economics</w:t>
            </w:r>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Quasi-hyperbolic present bias; mental accounting; visceral hot-cold gap; predictable irrationality. </w:t>
            </w:r>
            <w:hyperlink w:history="1" w:anchor="ref_laibson">
              <w:r>
                <w:rPr>
                  <w:rStyle w:val="Hyperlink"/>
                </w:rPr>
                <w:t xml:space="preserve">[60]</w:t>
              </w:r>
            </w:hyperlink>
            <w:r>
              <w:t xml:space="preserve"> </w:t>
            </w:r>
            <w:hyperlink w:history="1" w:anchor="ref_thaler">
              <w:r>
                <w:rPr>
                  <w:rStyle w:val="Hyperlink"/>
                </w:rPr>
                <w:t xml:space="preserve">[61]</w:t>
              </w:r>
            </w:hyperlink>
            <w:r>
              <w:t xml:space="preserve"> </w:t>
            </w:r>
            <w:hyperlink w:history="1" w:anchor="ref_loewenstein">
              <w:r>
                <w:rPr>
                  <w:rStyle w:val="Hyperlink"/>
                </w:rPr>
                <w:t xml:space="preserve">[62]</w:t>
              </w:r>
            </w:hyperlink>
            <w:r>
              <w:t xml:space="preserve"> </w:t>
            </w:r>
            <w:hyperlink w:history="1" w:anchor="ref_ariely">
              <w:r>
                <w:rPr>
                  <w:rStyle w:val="Hyperlink"/>
                </w:rPr>
                <w:t xml:space="preserve">[63]</w:t>
              </w:r>
            </w:hyperlink>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Present-bias and bandwidth as functions of a scarcity-state variable.</w:t>
            </w:r>
          </w:p>
        </w:tc>
      </w:tr>
      <w:tr>
        <w:tc>
          <w:tcPr>
            <w:tcW w:type="dxa" w:w="2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Culture &amp; cross-cultural cognition</w:t>
            </w:r>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Holistic vs analytic thought; WEIRD outliers; interdependent self; Big-Three ethics; situational attribution; karmic locus. </w:t>
            </w:r>
            <w:hyperlink w:history="1" w:anchor="ref_nisbett">
              <w:r>
                <w:rPr>
                  <w:rStyle w:val="Hyperlink"/>
                </w:rPr>
                <w:t xml:space="preserve">[64]</w:t>
              </w:r>
            </w:hyperlink>
            <w:r>
              <w:t xml:space="preserve"> </w:t>
            </w:r>
            <w:hyperlink w:history="1" w:anchor="ref_henrich">
              <w:r>
                <w:rPr>
                  <w:rStyle w:val="Hyperlink"/>
                </w:rPr>
                <w:t xml:space="preserve">[65]</w:t>
              </w:r>
            </w:hyperlink>
            <w:r>
              <w:t xml:space="preserve"> </w:t>
            </w:r>
            <w:hyperlink w:history="1" w:anchor="ref_markus">
              <w:r>
                <w:rPr>
                  <w:rStyle w:val="Hyperlink"/>
                </w:rPr>
                <w:t xml:space="preserve">[66]</w:t>
              </w:r>
            </w:hyperlink>
            <w:r>
              <w:t xml:space="preserve"> </w:t>
            </w:r>
            <w:hyperlink w:history="1" w:anchor="ref_shweder">
              <w:r>
                <w:rPr>
                  <w:rStyle w:val="Hyperlink"/>
                </w:rPr>
                <w:t xml:space="preserve">[67]</w:t>
              </w:r>
            </w:hyperlink>
            <w:r>
              <w:t xml:space="preserve"> </w:t>
            </w:r>
            <w:hyperlink w:history="1" w:anchor="ref_miller">
              <w:r>
                <w:rPr>
                  <w:rStyle w:val="Hyperlink"/>
                </w:rPr>
                <w:t xml:space="preserve">[68]</w:t>
              </w:r>
            </w:hyperlink>
            <w:r>
              <w:t xml:space="preserve"> </w:t>
            </w:r>
            <w:hyperlink w:history="1" w:anchor="ref_sinha">
              <w:r>
                <w:rPr>
                  <w:rStyle w:val="Hyperlink"/>
                </w:rPr>
                <w:t xml:space="preserve">[69]</w:t>
              </w:r>
            </w:hyperlink>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The culture pack that reweights every module and corrects the base model's Western default.</w:t>
            </w:r>
          </w:p>
        </w:tc>
      </w:tr>
    </w:tbl>
    <w:p>
      <w:pPr>
        <w:pStyle w:val="Heading2"/>
      </w:pPr>
      <w:r>
        <w:t xml:space="preserve">8.2 The Unified Engine</w:t>
      </w:r>
    </w:p>
    <w:p>
      <w:pPr>
        <w:spacing w:after="140" w:line="288"/>
        <w:jc w:val="both"/>
      </w:pPr>
      <w:r>
        <w:t xml:space="preserve">A predictive backbone (belief = prior × precision; action = self-evidencing) carries: a valuation engine (utility latent, reward-prediction-error learning, wanting/liking, drift-diffusion choice, somatic pre-filter); a dual-process controller (fast by default, model-free habit under stress); a hybrid emotion engine (core affect × drives × appraisal × cultural concepts); a reconstructive memory with a confabulating interpreter; an intuition-first moral/social layer permeable to influence and weighted to the in-group; and an economic layer bent by scarcity. A culture pack reweights all of it to be authentically Indian.</w:t>
      </w:r>
    </w:p>
    <w:p>
      <w:pPr>
        <w:pStyle w:val="Heading2"/>
      </w:pPr>
      <w:r>
        <w:t xml:space="preserve">8.3 The Per-Persona Knob Vector</w:t>
      </w:r>
    </w:p>
    <w:p>
      <w:pPr>
        <w:spacing w:after="140" w:line="288"/>
        <w:jc w:val="both"/>
      </w:pPr>
      <w:r>
        <w:t xml:space="preserve">Each persona is the skeleton plus a parameter set, sampled sub-nationally and partly state-dependent: prior precision; reflective disposition; utility curvature, loss-aversion, probability-weighting; present-bias and long-run discount; a continuous scarcity state; motivational-drive baselines; decoupled wanting/liking; moral-foundation weights; power distance, self-construal, attribution style, cognition style, locus; the emotion-concept pack; and learned somatic-marker associations.</w:t>
      </w:r>
    </w:p>
    <w:p>
      <w:pPr>
        <w:pStyle w:val="Heading2"/>
      </w:pPr>
      <w:r>
        <w:t xml:space="preserve">8.4 Honest Scientific Caveats</w:t>
      </w:r>
    </w:p>
    <w:p>
      <w:pPr>
        <w:pStyle w:val="ListParagraph"/>
        <w:numPr>
          <w:ilvl w:val="0"/>
          <w:numId w:val="2"/>
        </w:numPr>
        <w:spacing w:after="70" w:line="276"/>
      </w:pPr>
      <w:r>
        <w:t xml:space="preserve">Loss aversion is not a universal constant; small losses approximate neutrality </w:t>
      </w:r>
      <w:hyperlink w:history="1" w:anchor="ref_galrucker">
        <w:r>
          <w:rPr>
            <w:rStyle w:val="Hyperlink"/>
          </w:rPr>
          <w:t xml:space="preserve">[70]</w:t>
        </w:r>
      </w:hyperlink>
      <w:r>
        <w:t xml:space="preserve">.</w:t>
      </w:r>
    </w:p>
    <w:p>
      <w:pPr>
        <w:pStyle w:val="ListParagraph"/>
        <w:numPr>
          <w:ilvl w:val="0"/>
          <w:numId w:val="2"/>
        </w:numPr>
        <w:spacing w:after="70" w:line="276"/>
      </w:pPr>
      <w:r>
        <w:t xml:space="preserve">“Two systems” is a useful abstraction, not literal neuroanatomy — implement one pipeline with a gate.</w:t>
      </w:r>
    </w:p>
    <w:p>
      <w:pPr>
        <w:pStyle w:val="ListParagraph"/>
        <w:numPr>
          <w:ilvl w:val="0"/>
          <w:numId w:val="2"/>
        </w:numPr>
        <w:spacing w:after="70" w:line="276"/>
      </w:pPr>
      <w:r>
        <w:t xml:space="preserve">The free-energy principle is criticised as over-broad — use it as a scaffold and calibrate empirically.</w:t>
      </w:r>
    </w:p>
    <w:p>
      <w:pPr>
        <w:pStyle w:val="ListParagraph"/>
        <w:numPr>
          <w:ilvl w:val="0"/>
          <w:numId w:val="2"/>
        </w:numPr>
        <w:spacing w:after="70" w:line="276"/>
      </w:pPr>
      <w:r>
        <w:t xml:space="preserve">Basic-emotion versus constructed-emotion is unsettled — hence the hybrid engine; reconsolidation's clinical effects are mixed.</w:t>
      </w:r>
    </w:p>
    <w:p>
      <w:pPr>
        <w:pStyle w:val="ListParagraph"/>
        <w:numPr>
          <w:ilvl w:val="0"/>
          <w:numId w:val="2"/>
        </w:numPr>
        <w:spacing w:after="70" w:line="276"/>
      </w:pPr>
      <w:r>
        <w:t xml:space="preserve">Cultural-dimension scores have methodological limits — never flatten India into one number.</w:t>
      </w:r>
    </w:p>
    <w:p>
      <w:pPr>
        <w:pStyle w:val="Heading1"/>
      </w:pPr>
      <w:r>
        <w:t xml:space="preserve">9. Data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4250"/>
        <w:gridCol w:w="2760"/>
      </w:tblGrid>
      <w:tr>
        <w:trPr>
          <w:tblHeader/>
        </w:trPr>
        <w:tc>
          <w:tcPr>
            <w:tcW w:type="dxa" w:w="235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Source</w:t>
            </w:r>
          </w:p>
        </w:tc>
        <w:tc>
          <w:tcPr>
            <w:tcW w:type="dxa" w:w="425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What it provides</w:t>
            </w:r>
          </w:p>
        </w:tc>
        <w:tc>
          <w:tcPr>
            <w:tcW w:type="dxa" w:w="276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Role</w:t>
            </w:r>
          </w:p>
        </w:tc>
      </w:tr>
      <w:tr>
        <w:tc>
          <w:tcPr>
            <w:tcW w:type="dxa" w:w="2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Census of India 2011 </w:t>
            </w:r>
            <w:hyperlink w:history="1" w:anchor="ref_census">
              <w:r>
                <w:rPr>
                  <w:rStyle w:val="Hyperlink"/>
                </w:rPr>
                <w:t xml:space="preserve">[13]</w:t>
              </w:r>
            </w:hyperlink>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Marginal control totals; geography to district/ward.</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Skeleton control margins.</w:t>
            </w:r>
          </w:p>
        </w:tc>
      </w:tr>
      <w:tr>
        <w:tc>
          <w:tcPr>
            <w:tcW w:type="dxa" w:w="2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IHDS-II </w:t>
            </w:r>
            <w:hyperlink w:history="1" w:anchor="ref_ihds">
              <w:r>
                <w:rPr>
                  <w:rStyle w:val="Hyperlink"/>
                </w:rPr>
                <w:t xml:space="preserve">[71]</w:t>
              </w:r>
            </w:hyperlink>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Individual + household: income, education, employment, attitudes (42,152 households).</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Richest attitudinal grounding (note: 2011–12).</w:t>
            </w:r>
          </w:p>
        </w:tc>
      </w:tr>
      <w:tr>
        <w:tc>
          <w:tcPr>
            <w:tcW w:type="dxa" w:w="2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NFHS-5 </w:t>
            </w:r>
            <w:hyperlink w:history="1" w:anchor="ref_nfhs">
              <w:r>
                <w:rPr>
                  <w:rStyle w:val="Hyperlink"/>
                </w:rPr>
                <w:t xml:space="preserve">[72]</w:t>
              </w:r>
            </w:hyperlink>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Health, assets, amenities, demographics across 707 districts.</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District-granular demographics/assets.</w:t>
            </w:r>
          </w:p>
        </w:tc>
      </w:tr>
      <w:tr>
        <w:tc>
          <w:tcPr>
            <w:tcW w:type="dxa" w:w="2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CMIE CPHS </w:t>
            </w:r>
            <w:hyperlink w:history="1" w:anchor="ref_cmie">
              <w:r>
                <w:rPr>
                  <w:rStyle w:val="Hyperlink"/>
                </w:rPr>
                <w:t xml:space="preserve">[73]</w:t>
              </w:r>
            </w:hyperlink>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Longitudinal panel: consumption, income shocks, sentiment.</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Validation base (temporal hold-outs); licensed.</w:t>
            </w:r>
          </w:p>
        </w:tc>
      </w:tr>
      <w:tr>
        <w:tc>
          <w:tcPr>
            <w:tcW w:type="dxa" w:w="2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PLFS / NSS </w:t>
            </w:r>
            <w:hyperlink w:history="1" w:anchor="ref_plfs">
              <w:r>
                <w:rPr>
                  <w:rStyle w:val="Hyperlink"/>
                </w:rPr>
                <w:t xml:space="preserve">[74]</w:t>
              </w:r>
            </w:hyperlink>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Labour, occupation, industry, expenditure at unit level.</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Employment skeleton.</w:t>
            </w:r>
          </w:p>
        </w:tc>
      </w:tr>
      <w:tr>
        <w:tc>
          <w:tcPr>
            <w:tcW w:type="dxa" w:w="2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Time Use Survey 2024 </w:t>
            </w:r>
            <w:hyperlink w:history="1" w:anchor="ref_tus">
              <w:r>
                <w:rPr>
                  <w:rStyle w:val="Hyperlink"/>
                </w:rPr>
                <w:t xml:space="preserve">[24]</w:t>
              </w:r>
            </w:hyperlink>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Hourly activity by sex × rural/urban × age × employment.</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Daily-life schedules.</w:t>
            </w:r>
          </w:p>
        </w:tc>
      </w:tr>
      <w:tr>
        <w:tc>
          <w:tcPr>
            <w:tcW w:type="dxa" w:w="2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HCES 2023-24; IAMAI-Kantar; NPCI/UPI; Findex </w:t>
            </w:r>
            <w:hyperlink w:history="1" w:anchor="ref_hces">
              <w:r>
                <w:rPr>
                  <w:rStyle w:val="Hyperlink"/>
                </w:rPr>
                <w:t xml:space="preserve">[75]</w:t>
              </w:r>
            </w:hyperlink>
            <w:r>
              <w:t xml:space="preserve"> </w:t>
            </w:r>
            <w:hyperlink w:history="1" w:anchor="ref_iamai">
              <w:r>
                <w:rPr>
                  <w:rStyle w:val="Hyperlink"/>
                </w:rPr>
                <w:t xml:space="preserve">[76]</w:t>
              </w:r>
            </w:hyperlink>
            <w:r>
              <w:t xml:space="preserve"> </w:t>
            </w:r>
            <w:hyperlink w:history="1" w:anchor="ref_npci">
              <w:r>
                <w:rPr>
                  <w:rStyle w:val="Hyperlink"/>
                </w:rPr>
                <w:t xml:space="preserve">[77]</w:t>
              </w:r>
            </w:hyperlink>
            <w:r>
              <w:t xml:space="preserve"> </w:t>
            </w:r>
            <w:hyperlink w:history="1" w:anchor="ref_findex">
              <w:r>
                <w:rPr>
                  <w:rStyle w:val="Hyperlink"/>
                </w:rPr>
                <w:t xml:space="preserve">[26]</w:t>
              </w:r>
            </w:hyperlink>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Consumption shares; media habits; payments; inclusion.</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Behavioural base rates.</w:t>
            </w:r>
          </w:p>
        </w:tc>
      </w:tr>
      <w:tr>
        <w:tc>
          <w:tcPr>
            <w:tcW w:type="dxa" w:w="2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People of India; Sangraha </w:t>
            </w:r>
            <w:hyperlink w:history="1" w:anchor="ref_ansi">
              <w:r>
                <w:rPr>
                  <w:rStyle w:val="Hyperlink"/>
                </w:rPr>
                <w:t xml:space="preserve">[14]</w:t>
              </w:r>
            </w:hyperlink>
            <w:r>
              <w:t xml:space="preserve"> </w:t>
            </w:r>
            <w:hyperlink w:history="1" w:anchor="ref_sangraha">
              <w:r>
                <w:rPr>
                  <w:rStyle w:val="Hyperlink"/>
                </w:rPr>
                <w:t xml:space="preserve">[16]</w:t>
              </w:r>
            </w:hyperlink>
          </w:p>
        </w:tc>
        <w:tc>
          <w:tcPr>
            <w:tcW w:type="dxa" w:w="42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Ethnographies of 4,635 communities; Indic text corpus.</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Memory seeding; native generation.</w:t>
            </w:r>
          </w:p>
        </w:tc>
      </w:tr>
    </w:tbl>
    <w:p>
      <w:pPr>
        <w:pStyle w:val="Heading1"/>
      </w:pPr>
      <w:r>
        <w:t xml:space="preserve">10. Validation Framework</w:t>
      </w:r>
    </w:p>
    <w:p>
      <w:pPr>
        <w:spacing w:after="140" w:line="288"/>
        <w:jc w:val="both"/>
      </w:pPr>
      <w:r>
        <w:t xml:space="preserve">Validation is the moat and must be built first.</w:t>
      </w:r>
    </w:p>
    <w:p>
      <w:pPr>
        <w:pStyle w:val="ListParagraph"/>
        <w:numPr>
          <w:ilvl w:val="0"/>
          <w:numId w:val="2"/>
        </w:numPr>
        <w:spacing w:after="70" w:line="276"/>
      </w:pPr>
      <w:r>
        <w:t xml:space="preserve">Three fidelity targets, scored separately: marginal distributions, joint/correlation structure, and individual-level accuracy — they trade off and must not be collapsed into one number.</w:t>
      </w:r>
    </w:p>
    <w:p>
      <w:pPr>
        <w:pStyle w:val="ListParagraph"/>
        <w:numPr>
          <w:ilvl w:val="0"/>
          <w:numId w:val="2"/>
        </w:numPr>
        <w:spacing w:after="70" w:line="276"/>
      </w:pPr>
      <w:r>
        <w:t xml:space="preserve">Behavioural, not self-report: scenario items across paraphrases, negations, and option orders; cross-scenario value consistency.</w:t>
      </w:r>
    </w:p>
    <w:p>
      <w:pPr>
        <w:pStyle w:val="ListParagraph"/>
        <w:numPr>
          <w:ilvl w:val="0"/>
          <w:numId w:val="2"/>
        </w:numPr>
        <w:spacing w:after="70" w:line="276"/>
      </w:pPr>
      <w:r>
        <w:t xml:space="preserve">Variance and tail audit: explicitly test for mode collapse; ensure the strategically important tails survive.</w:t>
      </w:r>
    </w:p>
    <w:p>
      <w:pPr>
        <w:pStyle w:val="ListParagraph"/>
        <w:numPr>
          <w:ilvl w:val="0"/>
          <w:numId w:val="2"/>
        </w:numPr>
        <w:spacing w:after="70" w:line="276"/>
      </w:pPr>
      <w:r>
        <w:t xml:space="preserve">Out-of-distribution discipline: benchmark against private, never-trained-on data; matching a published survey proves recall, not prediction.</w:t>
      </w:r>
    </w:p>
    <w:p>
      <w:pPr>
        <w:pStyle w:val="ListParagraph"/>
        <w:numPr>
          <w:ilvl w:val="0"/>
          <w:numId w:val="2"/>
        </w:numPr>
        <w:spacing w:after="70" w:line="276"/>
      </w:pPr>
      <w:r>
        <w:rPr>
          <w:b/>
          <w:bCs/>
        </w:rPr>
        <w:t xml:space="preserve">Rectification: </w:t>
      </w:r>
      <w:r>
        <w:t xml:space="preserve">prediction-powered inference combines synthetic output with a thin real sample to produce honest confidence intervals regardless of model accuracy </w:t>
      </w:r>
      <w:hyperlink w:history="1" w:anchor="ref_ppi">
        <w:r>
          <w:rPr>
            <w:rStyle w:val="Hyperlink"/>
          </w:rPr>
          <w:t xml:space="preserve">[12]</w:t>
        </w:r>
      </w:hyperlink>
      <w:r>
        <w:t xml:space="preserve">.</w:t>
      </w:r>
    </w:p>
    <w:p>
      <w:pPr>
        <w:pStyle w:val="ListParagraph"/>
        <w:numPr>
          <w:ilvl w:val="0"/>
          <w:numId w:val="2"/>
        </w:numPr>
        <w:spacing w:after="70" w:line="276"/>
      </w:pPr>
      <w:r>
        <w:t xml:space="preserve">Kill criteria: if rectified estimates do not beat the small-human-sample baseline, there is no value-add; if synthetic subgroup variance is below ~60% of real, homogenisation is unfixable for tails.</w:t>
      </w:r>
    </w:p>
    <w:p>
      <w:pPr>
        <w:pStyle w:val="Heading1"/>
      </w:pPr>
      <w:r>
        <w:t xml:space="preserve">11. Build Roadmap</w:t>
      </w:r>
    </w:p>
    <w:p>
      <w:pPr>
        <w:pStyle w:val="Heading2"/>
      </w:pPr>
      <w:r>
        <w:t xml:space="preserve">11.1 Build Order (Vertical Slice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60"/>
        <w:gridCol w:w="5800"/>
      </w:tblGrid>
      <w:tr>
        <w:trPr>
          <w:tblHeader/>
        </w:trPr>
        <w:tc>
          <w:tcPr>
            <w:tcW w:type="dxa" w:w="6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w:t>
            </w:r>
          </w:p>
        </w:tc>
        <w:tc>
          <w:tcPr>
            <w:tcW w:type="dxa" w:w="296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Layer</w:t>
            </w:r>
          </w:p>
        </w:tc>
        <w:tc>
          <w:tcPr>
            <w:tcW w:type="dxa" w:w="58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Done when</w:t>
            </w:r>
          </w:p>
        </w:tc>
      </w:tr>
      <w:tr>
        <w:tc>
          <w:tcPr>
            <w:tcW w:type="dxa" w:w="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0</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Skeleton</w:t>
            </w:r>
          </w:p>
        </w:tc>
        <w:tc>
          <w:tcPr>
            <w:tcW w:type="dxa" w:w="5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Coordinates form a real cell, not an impossible permutation.</w:t>
            </w:r>
          </w:p>
        </w:tc>
      </w:tr>
      <w:tr>
        <w:tc>
          <w:tcPr>
            <w:tcW w:type="dxa" w:w="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1</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Psyche</w:t>
            </w:r>
          </w:p>
        </w:tc>
        <w:tc>
          <w:tcPr>
            <w:tcW w:type="dxa" w:w="5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Circumplex-coherent; same-skeleton personas differ via variance.</w:t>
            </w:r>
          </w:p>
        </w:tc>
      </w:tr>
      <w:tr>
        <w:tc>
          <w:tcPr>
            <w:tcW w:type="dxa" w:w="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2</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Mind</w:t>
            </w:r>
          </w:p>
        </w:tc>
        <w:tc>
          <w:tcPr>
            <w:tcW w:type="dxa" w:w="5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Retrieves a relevant memory and a reflection that governs a decision.</w:t>
            </w:r>
          </w:p>
        </w:tc>
      </w:tr>
      <w:tr>
        <w:tc>
          <w:tcPr>
            <w:tcW w:type="dxa" w:w="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3</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Self-story</w:t>
            </w:r>
          </w:p>
        </w:tc>
        <w:tc>
          <w:tcPr>
            <w:tcW w:type="dxa" w:w="5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Re-narrates a matching scene to explain a choice.</w:t>
            </w:r>
          </w:p>
        </w:tc>
      </w:tr>
      <w:tr>
        <w:tc>
          <w:tcPr>
            <w:tcW w:type="dxa" w:w="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4</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Voice (idiolect)</w:t>
            </w:r>
          </w:p>
        </w:tc>
        <w:tc>
          <w:tcPr>
            <w:tcW w:type="dxa" w:w="5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Two personas sound like two people in one sentence.</w:t>
            </w:r>
          </w:p>
        </w:tc>
      </w:tr>
      <w:tr>
        <w:tc>
          <w:tcPr>
            <w:tcW w:type="dxa" w:w="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5</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Behavioural engine</w:t>
            </w:r>
          </w:p>
        </w:tc>
        <w:tc>
          <w:tcPr>
            <w:tcW w:type="dxa" w:w="5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 day-in-the-life runs; a decision is gated by real feasibility.</w:t>
            </w:r>
          </w:p>
        </w:tc>
      </w:tr>
      <w:tr>
        <w:tc>
          <w:tcPr>
            <w:tcW w:type="dxa" w:w="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6</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Decision loop</w:t>
            </w:r>
          </w:p>
        </w:tc>
        <w:tc>
          <w:tcPr>
            <w:tcW w:type="dxa" w:w="5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 query yields a behaviourally specific, falsifiable decision.</w:t>
            </w:r>
          </w:p>
        </w:tc>
      </w:tr>
      <w:tr>
        <w:tc>
          <w:tcPr>
            <w:tcW w:type="dxa" w:w="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7</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Realism layer</w:t>
            </w:r>
          </w:p>
        </w:tc>
        <w:tc>
          <w:tcPr>
            <w:tcW w:type="dxa" w:w="5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The persona does something a little wrong and human.</w:t>
            </w:r>
          </w:p>
        </w:tc>
      </w:tr>
    </w:tbl>
    <w:p>
      <w:pPr>
        <w:pStyle w:val="Heading2"/>
      </w:pPr>
      <w:r>
        <w:t xml:space="preserve">11.2 Phases</w:t>
      </w:r>
    </w:p>
    <w:p>
      <w:pPr>
        <w:pStyle w:val="ListParagraph"/>
        <w:numPr>
          <w:ilvl w:val="0"/>
          <w:numId w:val="3"/>
        </w:numPr>
        <w:spacing w:after="70" w:line="276"/>
      </w:pPr>
      <w:r>
        <w:t xml:space="preserve">Phase 0 — De-risk: one language (Hindi), one non-sensitive domain (concept screening), one outcome (relative ranking), validated by prediction-powered inference against a fresh ~300-person human panel; enforce the kill criteria.</w:t>
      </w:r>
    </w:p>
    <w:p>
      <w:pPr>
        <w:pStyle w:val="ListParagraph"/>
        <w:numPr>
          <w:ilvl w:val="0"/>
          <w:numId w:val="3"/>
        </w:numPr>
        <w:spacing w:after="70" w:line="276"/>
      </w:pPr>
      <w:r>
        <w:t xml:space="preserve">Phase 1 — Revenue: consumer concept-screening augmentation, positioned as complement to incumbents, especially for under-sampled rural/vernacular cells.</w:t>
      </w:r>
    </w:p>
    <w:p>
      <w:pPr>
        <w:pStyle w:val="ListParagraph"/>
        <w:numPr>
          <w:ilvl w:val="0"/>
          <w:numId w:val="3"/>
        </w:numPr>
        <w:spacing w:after="70" w:line="276"/>
      </w:pPr>
      <w:r>
        <w:t xml:space="preserve">Phase 2 — Scale and (carefully) politics: national skeleton at 1M; political issue-salience and turnout simulation only after rural/vernacular calibration, never communal vote prediction.</w:t>
      </w:r>
    </w:p>
    <w:p>
      <w:pPr>
        <w:pStyle w:val="ListParagraph"/>
        <w:numPr>
          <w:ilvl w:val="0"/>
          <w:numId w:val="3"/>
        </w:numPr>
        <w:spacing w:after="70" w:line="276"/>
      </w:pPr>
      <w:r>
        <w:t xml:space="preserve">Continuous — Closed loop: every real-world outcome re-enters the hold-out vault; accuracy is re-measured each cycle.</w:t>
      </w:r>
    </w:p>
    <w:p>
      <w:pPr>
        <w:pStyle w:val="Heading1"/>
      </w:pPr>
      <w:r>
        <w:t xml:space="preserve">12. Risks, Limitations, and Ethics</w:t>
      </w:r>
    </w:p>
    <w:p>
      <w:pPr>
        <w:pStyle w:val="ListParagraph"/>
        <w:numPr>
          <w:ilvl w:val="0"/>
          <w:numId w:val="2"/>
        </w:numPr>
        <w:spacing w:after="70" w:line="276"/>
      </w:pPr>
      <w:r>
        <w:rPr>
          <w:b/>
          <w:bCs/>
        </w:rPr>
        <w:t xml:space="preserve">Regulatory: </w:t>
      </w:r>
      <w:r>
        <w:t xml:space="preserve">consent must be free, specific, informed, and revocable; properly synthesised, non-re-identifiable data falls outside core obligations — a privacy-by-design advantage, provided anchor-interview consent is compliant </w:t>
      </w:r>
      <w:hyperlink w:history="1" w:anchor="ref_dpdp">
        <w:r>
          <w:rPr>
            <w:rStyle w:val="Hyperlink"/>
          </w:rPr>
          <w:t xml:space="preserve">[11]</w:t>
        </w:r>
      </w:hyperlink>
      <w:r>
        <w:t xml:space="preserve">.</w:t>
      </w:r>
    </w:p>
    <w:p>
      <w:pPr>
        <w:pStyle w:val="ListParagraph"/>
        <w:numPr>
          <w:ilvl w:val="0"/>
          <w:numId w:val="2"/>
        </w:numPr>
        <w:spacing w:after="70" w:line="276"/>
      </w:pPr>
      <w:r>
        <w:t xml:space="preserve">Sensitive attributes: caste, religion, and communal attitudes stay outside the validity envelope until specifically validated; the base model is biased toward majority narratives here.</w:t>
      </w:r>
    </w:p>
    <w:p>
      <w:pPr>
        <w:pStyle w:val="ListParagraph"/>
        <w:numPr>
          <w:ilvl w:val="0"/>
          <w:numId w:val="2"/>
        </w:numPr>
        <w:spacing w:after="70" w:line="276"/>
      </w:pPr>
      <w:r>
        <w:rPr>
          <w:b/>
          <w:bCs/>
        </w:rPr>
        <w:t xml:space="preserve">Hyper-WEIRD base model: </w:t>
      </w:r>
      <w:r>
        <w:t xml:space="preserve">without sustained cultural conditioning every persona drifts toward a translated Westerner </w:t>
      </w:r>
      <w:hyperlink w:history="1" w:anchor="ref_henrich">
        <w:r>
          <w:rPr>
            <w:rStyle w:val="Hyperlink"/>
          </w:rPr>
          <w:t xml:space="preserve">[65]</w:t>
        </w:r>
      </w:hyperlink>
      <w:r>
        <w:t xml:space="preserve">; correction must be a standing constraint while preserving real internal variance.</w:t>
      </w:r>
    </w:p>
    <w:p>
      <w:pPr>
        <w:pStyle w:val="ListParagraph"/>
        <w:numPr>
          <w:ilvl w:val="0"/>
          <w:numId w:val="2"/>
        </w:numPr>
        <w:spacing w:after="70" w:line="276"/>
      </w:pPr>
      <w:r>
        <w:t xml:space="preserve">Recall versus prediction and mode collapse: the two failure modes most likely to sink the product; both are addressed only by out-of-distribution validation and variance restoration.</w:t>
      </w:r>
    </w:p>
    <w:p>
      <w:pPr>
        <w:pStyle w:val="ListParagraph"/>
        <w:numPr>
          <w:ilvl w:val="0"/>
          <w:numId w:val="2"/>
        </w:numPr>
        <w:spacing w:after="70" w:line="276"/>
      </w:pPr>
      <w:r>
        <w:t xml:space="preserve">Data gaps: no Indian General Social Survey equivalent; the richest attitudinal survey is from 2011–12; white-collar role-by-tenure-by-attitude joints are unmeasured and currently unfalsifiable.</w:t>
      </w:r>
    </w:p>
    <w:p>
      <w:pPr>
        <w:pStyle w:val="Heading1"/>
      </w:pPr>
      <w:r>
        <w:t xml:space="preserve">13. Worked Example: Sunita Devi</w:t>
      </w:r>
    </w:p>
    <w:p>
      <w:pPr>
        <w:spacing w:after="140" w:line="288"/>
        <w:jc w:val="both"/>
      </w:pPr>
      <w:r>
        <w:t xml:space="preserve">Sunita Devi, 34, woman, Kushwaha (OBC), a village near Begusarai, Bihar; Maithili-first with functional Hindi; NCCS D; husband a migrant construction worker in Delhi; runs the household through her self-help group rather than the bank; a shared smartphone and a mostly-inactive bank account. She carries a full psyche vector, episodic memories with importance scores, a reflection that governs her money decisions, a goal (her daughter's schooling), an emotional state, a time-use-grounded day, and idiolect, audience, physiology, and media-diet parameters.</w:t>
      </w:r>
    </w:p>
    <w:p>
      <w:pPr>
        <w:spacing w:after="140" w:line="288"/>
        <w:jc w:val="both"/>
      </w:pPr>
      <w:r>
        <w:rPr>
          <w:b/>
          <w:bCs/>
        </w:rPr>
        <w:t xml:space="preserve">Decision trace (a 99-rupee/month micro-insurance offer). </w:t>
      </w:r>
      <w:r>
        <w:t xml:space="preserve">A high-precision prior (“phone-money disappears; agents want commission”) down-weights the pitch before evaluation; a somatic avoid-tag fires from a past medical-debt memory; a fasting day lowers patience so the drift-diffusion boundary is low and she decides quickly; the recurring debit is framed as a loss against the committed school-fund mental account; an elevated scarcity state raises present bias; intuition-first caution plus social proof route trust through the self-help group; the interdependent self defers to her husband; the interpreter narrates a coherent reason she is unaware is post-hoc. Outcome: a polite deferral, with trust contingent on the group vetting the offer — behaviourally specific, in-character, and falsifiable parameter by parameter. A flat demographic persona would have answered, generically and probably wrongly, that a security-valuing mother would simply buy it.</w:t>
      </w:r>
    </w:p>
    <w:p>
      <w:pPr>
        <w:pStyle w:val="Heading1"/>
      </w:pPr>
      <w:r>
        <w:t xml:space="preserve">14.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Term</w:t>
            </w:r>
          </w:p>
        </w:tc>
        <w:tc>
          <w:tcPr>
            <w:tcW w:type="dxa" w:w="666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Meaning</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Prediction-powered inference (PPI)</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Combining model output with a thin real-human sample to yield statistically valid confidence intervals regardless of model accuracy.</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Mode collapse / variance compression</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Aligned models clustering on the mean and erasing the tails of a distribution.</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Recall vs prediction</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Apparent accuracy from data seen in training (recall) versus genuine forecasting on unseen data (prediction).</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Joint vs marginal distribution</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The correlated co-occurrence of attributes versus each attribute considered independently.</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Anchor interviews</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Deep semi-structured interviews with real people, used to ground synthetic personas.</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Hyper-WEIRD</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The tendency of language models to default to Western, Educated, Industrialised, Rich, Democratic values.</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NCCS</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New Consumer Classification System (A1–E3), India's standard socioeconomic grading.</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Wanting vs liking</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Incentive salience (craving) versus hedonic pleasure — dissociable systems essential for modelling aspiration and addiction.</w:t>
            </w:r>
          </w:p>
        </w:tc>
      </w:tr>
    </w:tbl>
    <w:p>
      <w:pPr>
        <w:pStyle w:val="Heading1"/>
      </w:pPr>
      <w:r>
        <w:t xml:space="preserve">15. Reference Implementations and Open-Source Components</w:t>
      </w:r>
    </w:p>
    <w:p>
      <w:pPr>
        <w:spacing w:after="140" w:line="288"/>
        <w:jc w:val="both"/>
      </w:pPr>
      <w:r>
        <w:t xml:space="preserve">Rather than build from scratch, the system stands on verified open-source projects. Licences must be confirmed in each repository before commercial reliance; the PersonaHub released dataset is research-only (the method, not the bundled data, is reused).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360"/>
        <w:gridCol w:w="1300"/>
      </w:tblGrid>
      <w:tr>
        <w:trPr>
          <w:tblHeader/>
        </w:trPr>
        <w:tc>
          <w:tcPr>
            <w:tcW w:type="dxa" w:w="27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Project (link)</w:t>
            </w:r>
          </w:p>
        </w:tc>
        <w:tc>
          <w:tcPr>
            <w:tcW w:type="dxa" w:w="536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Role in our pipeline</w:t>
            </w:r>
          </w:p>
        </w:tc>
        <w:tc>
          <w:tcPr>
            <w:tcW w:type="dxa" w:w="13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Licence</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5e-_cixcn8lrv3w7edwsw">
              <w:r>
                <w:rPr>
                  <w:rStyle w:val="Hyperlink"/>
                </w:rPr>
                <w:t xml:space="preserve">nvidia/Nemotron-Personas-India</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~600k personas grounded in the 2011 Census; seed population and distributional gold-set.</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CC BY 4.0</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kgdhkcqpeqp8zz7_w2f1f">
              <w:r>
                <w:rPr>
                  <w:rStyle w:val="Hyperlink"/>
                </w:rPr>
                <w:t xml:space="preserve">tencent-ailab/persona-hub</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Persona-to-data expansion method (Text-to-Persona / Persona-to-Persona), re-seeded with Indian scaffolds.</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Repo / data: verify</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tugoyk6m0jupoc4eptzqw">
              <w:r>
                <w:rPr>
                  <w:rStyle w:val="Hyperlink"/>
                </w:rPr>
                <w:t xml:space="preserve">Dirguis/ipfn</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N-dimensional iterative proportional fitting; fit personas to real Census/NFHS/PLFS joint margins.</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Open source</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5w-xnadr4ld63gleygesv">
              <w:r>
                <w:rPr>
                  <w:rStyle w:val="Hyperlink"/>
                </w:rPr>
                <w:t xml:space="preserve">AI4Bharat/IndicTrans2</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Machine translation across all 22 scheduled languages; render persona narratives in the persona's L1.</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MIT</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2xycb7fs-ng6qleg4xy5i">
              <w:r>
                <w:rPr>
                  <w:rStyle w:val="Hyperlink"/>
                </w:rPr>
                <w:t xml:space="preserve">AI4Bharat/IndicLLMSuite</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Sangraha corpus (251B tokens, 22 languages); native Indic text grounding for Text-to-Persona.</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Verify</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6cwd7vkzhh-kydos2oemf">
              <w:r>
                <w:rPr>
                  <w:rStyle w:val="Hyperlink"/>
                </w:rPr>
                <w:t xml:space="preserve">ekzhu/datasketch</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MinHash / LSH near-duplicate detection to keep the continuous stream diverse.</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MIT</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kxdbf7h3zjhs-3yg_zzvr">
              <w:r>
                <w:rPr>
                  <w:rStyle w:val="Hyperlink"/>
                </w:rPr>
                <w:t xml:space="preserve">UKPLab/sentence-transformers</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Embeddings for semantic deduplication and validation.</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Apache-2.0</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fn7yvlme7bo0pok7itzto">
              <w:r>
                <w:rPr>
                  <w:rStyle w:val="Hyperlink"/>
                </w:rPr>
                <w:t xml:space="preserve">joonspk-research/generative_agents</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Memory-stream + reflection cognitive architecture per persona.</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Apache-2.0</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ymkl62nxq-rrytajgmx8">
              <w:r>
                <w:rPr>
                  <w:rStyle w:val="Hyperlink"/>
                </w:rPr>
                <w:t xml:space="preserve">google-deepmind/concordia</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Validatable generative agent-based modelling for behavioural-prediction experiments.</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Apache-2.0</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tiz3o03ftwm46gaton0ph">
              <w:r>
                <w:rPr>
                  <w:rStyle w:val="Hyperlink"/>
                </w:rPr>
                <w:t xml:space="preserve">letta-ai/letta</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Stateful tiered long-term memory runtime (formerly MemGPT).</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Apache-2.0</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g9ujrygi2v86r0bp1pnfg">
              <w:r>
                <w:rPr>
                  <w:rStyle w:val="Hyperlink"/>
                </w:rPr>
                <w:t xml:space="preserve">agiresearch/A-mem</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Lightweight evolving (Zettelkasten) memory for large agent counts.</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Research</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9cdqwxbsral0iz7digdqn">
              <w:r>
                <w:rPr>
                  <w:rStyle w:val="Hyperlink"/>
                </w:rPr>
                <w:t xml:space="preserve">camel-ai/oasis</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Population-scale (to 1M agents) social-dynamics simulation.</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Open source</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0jqhe36dst1ndf07nuvu5">
              <w:r>
                <w:rPr>
                  <w:rStyle w:val="Hyperlink"/>
                </w:rPr>
                <w:t xml:space="preserve">tsinghua-fib-lab/AgentSociety</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Socioeconomic / city-grounded multi-agent simulation.</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Open source</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wka5yvrcezrrfdez6l6gq">
              <w:r>
                <w:rPr>
                  <w:rStyle w:val="Hyperlink"/>
                </w:rPr>
                <w:t xml:space="preserve">ActivitySim/activitysim</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Activity-based daily-pattern grounding (population synthesis lineage).</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BSD-3</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ib74g27sqvdlmnyod1cka">
              <w:r>
                <w:rPr>
                  <w:rStyle w:val="Hyperlink"/>
                </w:rPr>
                <w:t xml:space="preserve">aangelopoulos/ppi_py</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Prediction-powered inference for valid intervals when mixing real and synthetic data.</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Open source</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hyperlink w:history="1" r:id="rId8hfe36xrvn6xeie-qqoh0">
              <w:r>
                <w:rPr>
                  <w:rStyle w:val="Hyperlink"/>
                </w:rPr>
                <w:t xml:space="preserve">joke2k/faker</w:t>
              </w:r>
            </w:hyperlink>
          </w:p>
        </w:tc>
        <w:tc>
          <w:tcPr>
            <w:tcW w:type="dxa" w:w="5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Surface-level filler fields only (addresses, IDs) — never cognition.</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MIT</w:t>
            </w:r>
          </w:p>
        </w:tc>
      </w:tr>
    </w:tbl>
    <w:p>
      <w:pPr>
        <w:spacing w:after="140" w:line="288"/>
        <w:jc w:val="both"/>
      </w:pPr>
      <w:r>
        <w:rPr>
          <w:b/>
          <w:bCs/>
        </w:rPr>
        <w:t xml:space="preserve">Recommended interim stack (adopt now): </w:t>
      </w:r>
      <w:r>
        <w:t xml:space="preserve">Nemotron-Personas-India (seed) + persona-hub method + ipfn (margin fitting) + IndicTrans2 (language) + datasketch and sentence-transformers (dedup). Production adds Concordia/Letta/generative_agents (cognition), OASIS or AgentSociety (scale-out), and ppi_py (validation). Deprioritise GPTeam and AgentVerse for our scale; use MATSim only if mobility becomes central.</w:t>
      </w:r>
    </w:p>
    <w:p>
      <w:pPr>
        <w:pStyle w:val="Heading1"/>
      </w:pPr>
      <w:r>
        <w:t xml:space="preserve">16. Interim Continuous-Generation Operations</w:t>
      </w:r>
    </w:p>
    <w:p>
      <w:pPr>
        <w:spacing w:after="140" w:line="288"/>
        <w:jc w:val="both"/>
      </w:pPr>
      <w:r>
        <w:t xml:space="preserve">An interim generator (persona_factory) is built, tested, and producing real records while the full pipeline is assembled. It samples a demographic skeleton from approximate, correlated Indian priors and assembles the full persona schema (psyche, knob vector, culture pack, idiolect, time-use day, media diet, provenance), de-duplicates, and streams to sharded JSONL with resumable checkpoints. The companion operations runbook details the seven-day schedule.</w:t>
      </w:r>
    </w:p>
    <w:p>
      <w:pPr>
        <w:spacing w:after="140" w:line="288"/>
        <w:jc w:val="both"/>
      </w:pPr>
      <w:r>
        <w:rPr>
          <w:b/>
          <w:bCs/>
        </w:rPr>
        <w:t xml:space="preserve">Throughput. </w:t>
      </w:r>
      <w:r>
        <w:t xml:space="preserve">The service-level target is at least 100 distinct personas every 10 minutes (~14,400/day; ≥100,800 over seven days). Pure sampling far exceeds this — the 10-minute cadence is used as a checkpoint throttle that paces the expensive stages (deduplication, language rendering, validation, optional LLM enrichment), which are the true rate limits.</w:t>
      </w:r>
    </w:p>
    <w:p>
      <w:pPr>
        <w:spacing w:after="140" w:line="288"/>
        <w:jc w:val="both"/>
      </w:pPr>
      <w:r>
        <w:rPr>
          <w:b/>
          <w:bCs/>
        </w:rPr>
        <w:t xml:space="preserve">Agent topology (parallel-map → sequential-reduce). </w:t>
      </w:r>
      <w:r>
        <w:t xml:space="preserve">Generation is embarrassingly parallel — N workers sharded by state × language, each writing its own shard. Deduplication (global MinHash/LSH index), reweighting (ipfn, every six hours, needs the whole population), and the validation gate are sequential reduce stages. Rule: anything that examines one persona is parallel; anything that needs the whole population is sequential. Enrichment workers are parallel but rate-limited by API concurrency and a cost cap.</w:t>
      </w:r>
    </w:p>
    <w:p>
      <w:pPr>
        <w:spacing w:after="140" w:line="288"/>
        <w:jc w:val="both"/>
      </w:pPr>
      <w:r>
        <w:rPr>
          <w:b/>
          <w:bCs/>
        </w:rPr>
        <w:t xml:space="preserve">Operating cycle. </w:t>
      </w:r>
      <w:r>
        <w:t xml:space="preserve">Every 10 minutes: generate, dedup, checkpoint. Hourly: validation sample (schema, joint-coherence, variance/tail audit, distribution drift). Every six hours: ipfn reweight plus coverage-gap targeting to fill rare cells. Daily: QA pass, backup, dedup-index compaction, and a kill-criteria check. The seven-day arc keeps generation constant while progressively landing grounding upgrades: Census margin fitting (Day 2), Nemotron seed and IndicTrans2 rendering (Day 3), memory/self-story enrichment (Day 4), and the validation harness (Day 5).</w:t>
      </w:r>
    </w:p>
    <w:p>
      <w:pPr>
        <w:spacing w:after="140" w:line="288"/>
        <w:jc w:val="both"/>
      </w:pPr>
      <w:r>
        <w:rPr>
          <w:b/>
          <w:bCs/>
        </w:rPr>
        <w:t xml:space="preserve">Honest status. </w:t>
      </w:r>
      <w:r>
        <w:t xml:space="preserve">Every interim record is flagged confidence interim-low: the priors are approximate placeholders, language rendering and cognitive enrichment are not yet applied at full rate, and no record is a validated predictor until microdata grounding and the validation harness are in place. These are scaffolds being produced continuously, not finished predictors.</w:t>
      </w:r>
    </w:p>
    <w:p>
      <w:pPr>
        <w:pStyle w:val="Heading1"/>
      </w:pPr>
      <w:r>
        <w:t xml:space="preserve">References</w:t>
      </w:r>
    </w:p>
    <w:p>
      <w:pPr>
        <w:spacing w:after="80" w:line="264"/>
        <w:ind w:left="620" w:hanging="420"/>
      </w:pPr>
      <w:bookmarkStart w:name="ref_argyle" w:id="1000"/>
      <w:r>
        <w:t xml:space="preserve">[1] </w:t>
      </w:r>
      <w:bookmarkEnd w:id="1000"/>
      <w:r>
        <w:t xml:space="preserve">L. P. Argyle, E. C. Busby, N. Fulda, J. Gubler, C. Rytting, and D. Wingate, "Out of one, many: Using language models to simulate human samples," </w:t>
      </w:r>
      <w:r>
        <w:rPr>
          <w:i/>
          <w:iCs/>
        </w:rPr>
        <w:t xml:space="preserve">Political Analysis</w:t>
      </w:r>
      <w:r>
        <w:t xml:space="preserve">, vol. 31, no. 3, pp. 337–351, 2023.</w:t>
      </w:r>
    </w:p>
    <w:p>
      <w:pPr>
        <w:spacing w:after="80" w:line="264"/>
        <w:ind w:left="620" w:hanging="420"/>
      </w:pPr>
      <w:bookmarkStart w:name="ref_personahub" w:id="1002"/>
      <w:r>
        <w:t xml:space="preserve">[2] </w:t>
      </w:r>
      <w:bookmarkEnd w:id="1002"/>
      <w:r>
        <w:t xml:space="preserve">T. Ge et al., "Scaling synthetic data creation with 1,000,000,000 personas," arXiv:2406.20094, 2024.</w:t>
      </w:r>
    </w:p>
    <w:p>
      <w:pPr>
        <w:spacing w:after="80" w:line="264"/>
        <w:ind w:left="620" w:hanging="420"/>
      </w:pPr>
      <w:bookmarkStart w:name="ref_nemotron" w:id="1004"/>
      <w:r>
        <w:t xml:space="preserve">[3] </w:t>
      </w:r>
      <w:bookmarkEnd w:id="1004"/>
      <w:r>
        <w:t xml:space="preserve">NVIDIA, "Nemotron-Personas: Synthetic personas grounded in real-world distributions," Tech. Rep., 2025.</w:t>
      </w:r>
    </w:p>
    <w:p>
      <w:pPr>
        <w:spacing w:after="80" w:line="264"/>
        <w:ind w:left="620" w:hanging="420"/>
      </w:pPr>
      <w:bookmarkStart w:name="ref_park2024" w:id="1006"/>
      <w:r>
        <w:t xml:space="preserve">[4] </w:t>
      </w:r>
      <w:bookmarkEnd w:id="1006"/>
      <w:r>
        <w:t xml:space="preserve">J. S. Park et al., "Generative agent simulations of 1,000 people," arXiv:2411.10109, 2024.</w:t>
      </w:r>
    </w:p>
    <w:p>
      <w:pPr>
        <w:spacing w:after="80" w:line="264"/>
        <w:ind w:left="620" w:hanging="420"/>
      </w:pPr>
      <w:bookmarkStart w:name="ref_agentsociety" w:id="1008"/>
      <w:r>
        <w:t xml:space="preserve">[5] </w:t>
      </w:r>
      <w:bookmarkEnd w:id="1008"/>
      <w:r>
        <w:t xml:space="preserve">J. Piao et al., "AgentSociety: Large-scale simulation of LLM-driven social agents," arXiv:2502.08691, 2025.</w:t>
      </w:r>
    </w:p>
    <w:p>
      <w:pPr>
        <w:spacing w:after="80" w:line="264"/>
        <w:ind w:left="620" w:hanging="420"/>
      </w:pPr>
      <w:bookmarkStart w:name="ref_pymc" w:id="1010"/>
      <w:r>
        <w:t xml:space="preserve">[6] </w:t>
      </w:r>
      <w:bookmarkEnd w:id="1010"/>
      <w:r>
        <w:t xml:space="preserve">B. Vincent et al., "Semantic similarity rating: predicting consumer survey responses with LLMs," PyMC Labs Tech. Rep., 2024.</w:t>
      </w:r>
    </w:p>
    <w:p>
      <w:pPr>
        <w:spacing w:after="80" w:line="264"/>
        <w:ind w:left="620" w:hanging="420"/>
      </w:pPr>
      <w:bookmarkStart w:name="ref_fairgen" w:id="1012"/>
      <w:r>
        <w:t xml:space="preserve">[7] </w:t>
      </w:r>
      <w:bookmarkEnd w:id="1012"/>
      <w:r>
        <w:t xml:space="preserve">Fairgen, "Statistically accurate AI-generated survey responses," Tech. Rep., 2024.</w:t>
      </w:r>
    </w:p>
    <w:p>
      <w:pPr>
        <w:spacing w:after="80" w:line="264"/>
        <w:ind w:left="620" w:hanging="420"/>
      </w:pPr>
      <w:bookmarkStart w:name="ref_verbalized" w:id="1014"/>
      <w:r>
        <w:t xml:space="preserve">[8] </w:t>
      </w:r>
      <w:bookmarkEnd w:id="1014"/>
      <w:r>
        <w:t xml:space="preserve">J. Zhang et al., "Verbalized sampling: Mitigating mode collapse in aligned language models," arXiv:2510.01171, 2025.</w:t>
      </w:r>
    </w:p>
    <w:p>
      <w:pPr>
        <w:spacing w:after="80" w:line="264"/>
        <w:ind w:left="620" w:hanging="420"/>
      </w:pPr>
      <w:bookmarkStart w:name="ref_beyondmarginal" w:id="1016"/>
      <w:r>
        <w:t xml:space="preserve">[9] </w:t>
      </w:r>
      <w:bookmarkEnd w:id="1016"/>
      <w:r>
        <w:t xml:space="preserve">G. Suri et al., "Beyond marginal distributions: evaluating the representativeness of demographic-aligned LLMs," arXiv:2601.15755, 2026.</w:t>
      </w:r>
    </w:p>
    <w:p>
      <w:pPr>
        <w:spacing w:after="80" w:line="264"/>
        <w:ind w:left="620" w:hanging="420"/>
      </w:pPr>
      <w:bookmarkStart w:name="ref_mrsi" w:id="1018"/>
      <w:r>
        <w:t xml:space="preserve">[10] </w:t>
      </w:r>
      <w:bookmarkEnd w:id="1018"/>
      <w:r>
        <w:t xml:space="preserve">Market Research Society of India, "Indian Research and Insights Industry Report FY2025," MRSI, 2025.</w:t>
      </w:r>
    </w:p>
    <w:p>
      <w:pPr>
        <w:spacing w:after="80" w:line="264"/>
        <w:ind w:left="620" w:hanging="420"/>
      </w:pPr>
      <w:bookmarkStart w:name="ref_dpdp" w:id="1020"/>
      <w:r>
        <w:t xml:space="preserve">[11] </w:t>
      </w:r>
      <w:bookmarkEnd w:id="1020"/>
      <w:r>
        <w:t xml:space="preserve">Government of India, </w:t>
      </w:r>
      <w:r>
        <w:rPr>
          <w:i/>
          <w:iCs/>
        </w:rPr>
        <w:t xml:space="preserve">The Digital Personal Data Protection Act, 2023, and DPDP Rules, 2025</w:t>
      </w:r>
      <w:r>
        <w:t xml:space="preserve">. New Delhi, India: Ministry of Electronics and IT.</w:t>
      </w:r>
    </w:p>
    <w:p>
      <w:pPr>
        <w:spacing w:after="80" w:line="264"/>
        <w:ind w:left="620" w:hanging="420"/>
      </w:pPr>
      <w:bookmarkStart w:name="ref_ppi" w:id="1022"/>
      <w:r>
        <w:t xml:space="preserve">[12] </w:t>
      </w:r>
      <w:bookmarkEnd w:id="1022"/>
      <w:r>
        <w:t xml:space="preserve">A. N. Angelopoulos, S. Bates, C. Fannjiang, M. I. Jordan, and T. Zrnic, "Prediction-powered inference," </w:t>
      </w:r>
      <w:r>
        <w:rPr>
          <w:i/>
          <w:iCs/>
        </w:rPr>
        <w:t xml:space="preserve">Science</w:t>
      </w:r>
      <w:r>
        <w:t xml:space="preserve">, vol. 382, no. 6671, pp. 669–674, 2023.</w:t>
      </w:r>
    </w:p>
    <w:p>
      <w:pPr>
        <w:spacing w:after="80" w:line="264"/>
        <w:ind w:left="620" w:hanging="420"/>
      </w:pPr>
      <w:bookmarkStart w:name="ref_census" w:id="1024"/>
      <w:r>
        <w:t xml:space="preserve">[13] </w:t>
      </w:r>
      <w:bookmarkEnd w:id="1024"/>
      <w:r>
        <w:t xml:space="preserve">Office of the Registrar General and Census Commissioner, "Census of India 2011: Language atlas," Government of India, 2018.</w:t>
      </w:r>
    </w:p>
    <w:p>
      <w:pPr>
        <w:spacing w:after="80" w:line="264"/>
        <w:ind w:left="620" w:hanging="420"/>
      </w:pPr>
      <w:bookmarkStart w:name="ref_ansi" w:id="1026"/>
      <w:r>
        <w:t xml:space="preserve">[14] </w:t>
      </w:r>
      <w:bookmarkEnd w:id="1026"/>
      <w:r>
        <w:t xml:space="preserve">K. S. Singh, </w:t>
      </w:r>
      <w:r>
        <w:rPr>
          <w:i/>
          <w:iCs/>
        </w:rPr>
        <w:t xml:space="preserve">The People of India: National Series</w:t>
      </w:r>
      <w:r>
        <w:t xml:space="preserve">. Calcutta, India: Anthropological Survey of India, 1992–.</w:t>
      </w:r>
    </w:p>
    <w:p>
      <w:pPr>
        <w:spacing w:after="80" w:line="264"/>
        <w:ind w:left="620" w:hanging="420"/>
      </w:pPr>
      <w:bookmarkStart w:name="ref_nccs" w:id="1028"/>
      <w:r>
        <w:t xml:space="preserve">[15] </w:t>
      </w:r>
      <w:bookmarkEnd w:id="1028"/>
      <w:r>
        <w:t xml:space="preserve">Media Research Users Council and Market Research Society of India, "New Consumer Classification System (NCCS)," 2011.</w:t>
      </w:r>
    </w:p>
    <w:p>
      <w:pPr>
        <w:spacing w:after="80" w:line="264"/>
        <w:ind w:left="620" w:hanging="420"/>
      </w:pPr>
      <w:bookmarkStart w:name="ref_sangraha" w:id="1030"/>
      <w:r>
        <w:t xml:space="preserve">[16] </w:t>
      </w:r>
      <w:bookmarkEnd w:id="1030"/>
      <w:r>
        <w:t xml:space="preserve">AI4Bharat, "IndicLLMSuite and the Sangraha corpus for Indic language models," Tech. Rep., 2024.</w:t>
      </w:r>
    </w:p>
    <w:p>
      <w:pPr>
        <w:spacing w:after="80" w:line="264"/>
        <w:ind w:left="620" w:hanging="420"/>
      </w:pPr>
      <w:bookmarkStart w:name="ref_hexaco" w:id="1032"/>
      <w:r>
        <w:t xml:space="preserve">[17] </w:t>
      </w:r>
      <w:bookmarkEnd w:id="1032"/>
      <w:r>
        <w:t xml:space="preserve">M. C. Ashton and K. Lee, "Empirical, theoretical, and practical advantages of the HEXACO model of personality structure," </w:t>
      </w:r>
      <w:r>
        <w:rPr>
          <w:i/>
          <w:iCs/>
        </w:rPr>
        <w:t xml:space="preserve">Personality and Social Psychology Review</w:t>
      </w:r>
      <w:r>
        <w:t xml:space="preserve">, vol. 11, no. 2, pp. 150–166, 2007.</w:t>
      </w:r>
    </w:p>
    <w:p>
      <w:pPr>
        <w:spacing w:after="80" w:line="264"/>
        <w:ind w:left="620" w:hanging="420"/>
      </w:pPr>
      <w:bookmarkStart w:name="ref_schwartz" w:id="1034"/>
      <w:r>
        <w:t xml:space="preserve">[18] </w:t>
      </w:r>
      <w:bookmarkEnd w:id="1034"/>
      <w:r>
        <w:t xml:space="preserve">S. H. Schwartz, "Universals in the content and structure of values," </w:t>
      </w:r>
      <w:r>
        <w:rPr>
          <w:i/>
          <w:iCs/>
        </w:rPr>
        <w:t xml:space="preserve">Advances in Experimental Social Psychology</w:t>
      </w:r>
      <w:r>
        <w:t xml:space="preserve">, vol. 25, pp. 1–65, 1992.</w:t>
      </w:r>
    </w:p>
    <w:p>
      <w:pPr>
        <w:spacing w:after="80" w:line="264"/>
        <w:ind w:left="620" w:hanging="420"/>
      </w:pPr>
      <w:bookmarkStart w:name="ref_haidt" w:id="1036"/>
      <w:r>
        <w:t xml:space="preserve">[19] </w:t>
      </w:r>
      <w:bookmarkEnd w:id="1036"/>
      <w:r>
        <w:t xml:space="preserve">J. Haidt, </w:t>
      </w:r>
      <w:r>
        <w:rPr>
          <w:i/>
          <w:iCs/>
        </w:rPr>
        <w:t xml:space="preserve">The Righteous Mind: Why Good People Are Divided by Politics and Religion</w:t>
      </w:r>
      <w:r>
        <w:t xml:space="preserve">. New York, NY, USA: Pantheon, 2012.</w:t>
      </w:r>
    </w:p>
    <w:p>
      <w:pPr>
        <w:spacing w:after="80" w:line="264"/>
        <w:ind w:left="620" w:hanging="420"/>
      </w:pPr>
      <w:bookmarkStart w:name="ref_park2023" w:id="1038"/>
      <w:r>
        <w:t xml:space="preserve">[20] </w:t>
      </w:r>
      <w:bookmarkEnd w:id="1038"/>
      <w:r>
        <w:t xml:space="preserve">J. S. Park, J. C. O'Brien, C. J. Cai, M. R. Morris, P. Liang, and M. S. Bernstein, "Generative agents: Interactive simulacra of human behavior," arXiv:2304.03442, 2023.</w:t>
      </w:r>
    </w:p>
    <w:p>
      <w:pPr>
        <w:spacing w:after="80" w:line="264"/>
        <w:ind w:left="620" w:hanging="420"/>
      </w:pPr>
      <w:bookmarkStart w:name="ref_coala" w:id="1040"/>
      <w:r>
        <w:t xml:space="preserve">[21] </w:t>
      </w:r>
      <w:bookmarkEnd w:id="1040"/>
      <w:r>
        <w:t xml:space="preserve">T. R. Sumers, S. Yao, K. Narasimhan, and T. L. Griffiths, "Cognitive architectures for language agents," arXiv:2309.02427, 2024.</w:t>
      </w:r>
    </w:p>
    <w:p>
      <w:pPr>
        <w:spacing w:after="80" w:line="264"/>
        <w:ind w:left="620" w:hanging="420"/>
      </w:pPr>
      <w:bookmarkStart w:name="ref_amem" w:id="1042"/>
      <w:r>
        <w:t xml:space="preserve">[22] </w:t>
      </w:r>
      <w:bookmarkEnd w:id="1042"/>
      <w:r>
        <w:t xml:space="preserve">W. Xu, K. Mei, H. Gao, J. Tan, Z. Liang, and Y. Zhang, "A-MEM: Agentic memory for LLM agents," arXiv:2502.12110, 2025.</w:t>
      </w:r>
    </w:p>
    <w:p>
      <w:pPr>
        <w:spacing w:after="80" w:line="264"/>
        <w:ind w:left="620" w:hanging="420"/>
      </w:pPr>
      <w:bookmarkStart w:name="ref_memgpt" w:id="1044"/>
      <w:r>
        <w:t xml:space="preserve">[23] </w:t>
      </w:r>
      <w:bookmarkEnd w:id="1044"/>
      <w:r>
        <w:t xml:space="preserve">C. Packer et al., "MemGPT: Towards LLMs as operating systems," arXiv:2310.08560, 2023.</w:t>
      </w:r>
    </w:p>
    <w:p>
      <w:pPr>
        <w:spacing w:after="80" w:line="264"/>
        <w:ind w:left="620" w:hanging="420"/>
      </w:pPr>
      <w:bookmarkStart w:name="ref_tus" w:id="1046"/>
      <w:r>
        <w:t xml:space="preserve">[24] </w:t>
      </w:r>
      <w:bookmarkEnd w:id="1046"/>
      <w:r>
        <w:t xml:space="preserve">Ministry of Statistics and Programme Implementation, "Time Use Survey 2024," Government of India, 2025.</w:t>
      </w:r>
    </w:p>
    <w:p>
      <w:pPr>
        <w:spacing w:after="80" w:line="264"/>
        <w:ind w:left="620" w:hanging="420"/>
      </w:pPr>
      <w:bookmarkStart w:name="ref_comb" w:id="1048"/>
      <w:r>
        <w:t xml:space="preserve">[25] </w:t>
      </w:r>
      <w:bookmarkEnd w:id="1048"/>
      <w:r>
        <w:t xml:space="preserve">S. Michie, M. M. van Stralen, and R. West, "The behaviour change wheel: a new method for characterising behaviour change interventions," </w:t>
      </w:r>
      <w:r>
        <w:rPr>
          <w:i/>
          <w:iCs/>
        </w:rPr>
        <w:t xml:space="preserve">Implementation Science</w:t>
      </w:r>
      <w:r>
        <w:t xml:space="preserve">, vol. 6, no. 42, 2011.</w:t>
      </w:r>
    </w:p>
    <w:p>
      <w:pPr>
        <w:spacing w:after="80" w:line="264"/>
        <w:ind w:left="620" w:hanging="420"/>
      </w:pPr>
      <w:bookmarkStart w:name="ref_findex" w:id="1050"/>
      <w:r>
        <w:t xml:space="preserve">[26] </w:t>
      </w:r>
      <w:bookmarkEnd w:id="1050"/>
      <w:r>
        <w:t xml:space="preserve">A. Demirgüç-Kunt, L. Klapper, D. Singer, and S. Ansar, </w:t>
      </w:r>
      <w:r>
        <w:rPr>
          <w:i/>
          <w:iCs/>
        </w:rPr>
        <w:t xml:space="preserve">The Global Findex Database 2021</w:t>
      </w:r>
      <w:r>
        <w:t xml:space="preserve">. Washington, DC, USA: World Bank, 2022.</w:t>
      </w:r>
    </w:p>
    <w:p>
      <w:pPr>
        <w:spacing w:after="80" w:line="264"/>
        <w:ind w:left="620" w:hanging="420"/>
      </w:pPr>
      <w:bookmarkStart w:name="ref_mcadams" w:id="1052"/>
      <w:r>
        <w:t xml:space="preserve">[27] </w:t>
      </w:r>
      <w:bookmarkEnd w:id="1052"/>
      <w:r>
        <w:t xml:space="preserve">D. P. McAdams, "The psychology of life stories," </w:t>
      </w:r>
      <w:r>
        <w:rPr>
          <w:i/>
          <w:iCs/>
        </w:rPr>
        <w:t xml:space="preserve">Review of General Psychology</w:t>
      </w:r>
      <w:r>
        <w:t xml:space="preserve">, vol. 5, no. 2, pp. 100–122, 2001.</w:t>
      </w:r>
    </w:p>
    <w:p>
      <w:pPr>
        <w:spacing w:after="80" w:line="264"/>
        <w:ind w:left="620" w:hanging="420"/>
      </w:pPr>
      <w:bookmarkStart w:name="ref_fleeson" w:id="1054"/>
      <w:r>
        <w:t xml:space="preserve">[28] </w:t>
      </w:r>
      <w:bookmarkEnd w:id="1054"/>
      <w:r>
        <w:t xml:space="preserve">W. Fleeson, "Toward a structure- and process-integrated view of personality: traits as density distributions of states," </w:t>
      </w:r>
      <w:r>
        <w:rPr>
          <w:i/>
          <w:iCs/>
        </w:rPr>
        <w:t xml:space="preserve">Journal of Personality and Social Psychology</w:t>
      </w:r>
      <w:r>
        <w:t xml:space="preserve">, vol. 80, no. 6, pp. 1011–1027, 2001.</w:t>
      </w:r>
    </w:p>
    <w:p>
      <w:pPr>
        <w:spacing w:after="80" w:line="264"/>
        <w:ind w:left="620" w:hanging="420"/>
      </w:pPr>
      <w:bookmarkStart w:name="ref_damasio" w:id="1056"/>
      <w:r>
        <w:t xml:space="preserve">[29] </w:t>
      </w:r>
      <w:bookmarkEnd w:id="1056"/>
      <w:r>
        <w:t xml:space="preserve">A. R. Damasio, </w:t>
      </w:r>
      <w:r>
        <w:rPr>
          <w:i/>
          <w:iCs/>
        </w:rPr>
        <w:t xml:space="preserve">Descartes' Error: Emotion, Reason, and the Human Brain</w:t>
      </w:r>
      <w:r>
        <w:t xml:space="preserve">. New York, NY, USA: Putnam, 1994.</w:t>
      </w:r>
    </w:p>
    <w:p>
      <w:pPr>
        <w:spacing w:after="80" w:line="264"/>
        <w:ind w:left="620" w:hanging="420"/>
      </w:pPr>
      <w:bookmarkStart w:name="ref_schacter" w:id="1058"/>
      <w:r>
        <w:t xml:space="preserve">[30] </w:t>
      </w:r>
      <w:bookmarkEnd w:id="1058"/>
      <w:r>
        <w:t xml:space="preserve">D. L. Schacter, "The seven sins of memory: insights from psychology and cognitive neuroscience," </w:t>
      </w:r>
      <w:r>
        <w:rPr>
          <w:i/>
          <w:iCs/>
        </w:rPr>
        <w:t xml:space="preserve">American Psychologist</w:t>
      </w:r>
      <w:r>
        <w:t xml:space="preserve">, vol. 54, no. 3, pp. 182–203, 1999.</w:t>
      </w:r>
    </w:p>
    <w:p>
      <w:pPr>
        <w:spacing w:after="80" w:line="264"/>
        <w:ind w:left="620" w:hanging="420"/>
      </w:pPr>
      <w:bookmarkStart w:name="ref_tajfel" w:id="1060"/>
      <w:r>
        <w:t xml:space="preserve">[31] </w:t>
      </w:r>
      <w:bookmarkEnd w:id="1060"/>
      <w:r>
        <w:t xml:space="preserve">H. Tajfel and J. C. Turner, "An integrative theory of intergroup conflict," in The Social Psychology of Intergroup Relations, 1979, pp. 33–47.</w:t>
      </w:r>
    </w:p>
    <w:p>
      <w:pPr>
        <w:spacing w:after="80" w:line="264"/>
        <w:ind w:left="620" w:hanging="420"/>
      </w:pPr>
      <w:bookmarkStart w:name="ref_bounded" w:id="1062"/>
      <w:r>
        <w:t xml:space="preserve">[32] </w:t>
      </w:r>
      <w:bookmarkEnd w:id="1062"/>
      <w:r>
        <w:t xml:space="preserve">R. Hegselmann and U. Krause, "Opinion dynamics and bounded confidence: models, analysis and simulation," </w:t>
      </w:r>
      <w:r>
        <w:rPr>
          <w:i/>
          <w:iCs/>
        </w:rPr>
        <w:t xml:space="preserve">Journal of Artificial Societies and Social Simulation</w:t>
      </w:r>
      <w:r>
        <w:t xml:space="preserve">, vol. 5, no. 3, 2002.</w:t>
      </w:r>
    </w:p>
    <w:p>
      <w:pPr>
        <w:spacing w:after="80" w:line="264"/>
        <w:ind w:left="620" w:hanging="420"/>
      </w:pPr>
      <w:bookmarkStart w:name="ref_goffman" w:id="1064"/>
      <w:r>
        <w:t xml:space="preserve">[33] </w:t>
      </w:r>
      <w:bookmarkEnd w:id="1064"/>
      <w:r>
        <w:t xml:space="preserve">E. Goffman, </w:t>
      </w:r>
      <w:r>
        <w:rPr>
          <w:i/>
          <w:iCs/>
        </w:rPr>
        <w:t xml:space="preserve">The Presentation of Self in Everyday Life</w:t>
      </w:r>
      <w:r>
        <w:t xml:space="preserve">. New York, NY, USA: Anchor Books, 1959.</w:t>
      </w:r>
    </w:p>
    <w:p>
      <w:pPr>
        <w:spacing w:after="80" w:line="264"/>
        <w:ind w:left="620" w:hanging="420"/>
      </w:pPr>
      <w:bookmarkStart w:name="ref_lally" w:id="1066"/>
      <w:r>
        <w:t xml:space="preserve">[34] </w:t>
      </w:r>
      <w:bookmarkEnd w:id="1066"/>
      <w:r>
        <w:t xml:space="preserve">P. Lally, C. H. M. van Jaarsveld, H. W. W. Potts, and J. Wardle, "How are habits formed: modelling habit formation in the real world," </w:t>
      </w:r>
      <w:r>
        <w:rPr>
          <w:i/>
          <w:iCs/>
        </w:rPr>
        <w:t xml:space="preserve">European Journal of Social Psychology</w:t>
      </w:r>
      <w:r>
        <w:t xml:space="preserve">, vol. 40, no. 6, pp. 998–1009, 2010.</w:t>
      </w:r>
    </w:p>
    <w:p>
      <w:pPr>
        <w:spacing w:after="80" w:line="264"/>
        <w:ind w:left="620" w:hanging="420"/>
      </w:pPr>
      <w:bookmarkStart w:name="ref_whatsapp" w:id="1068"/>
      <w:r>
        <w:t xml:space="preserve">[35] </w:t>
      </w:r>
      <w:bookmarkEnd w:id="1068"/>
      <w:r>
        <w:t xml:space="preserve">S. Banaji and R. Bhat, "WhatsApp vigilantes: an exploration of citizen reception and circulation of WhatsApp misinformation linked to mob violence in India," London School of Economics, 2019.</w:t>
      </w:r>
    </w:p>
    <w:p>
      <w:pPr>
        <w:spacing w:after="80" w:line="264"/>
        <w:ind w:left="620" w:hanging="420"/>
      </w:pPr>
      <w:bookmarkStart w:name="ref_kahneman" w:id="1070"/>
      <w:r>
        <w:t xml:space="preserve">[36] </w:t>
      </w:r>
      <w:bookmarkEnd w:id="1070"/>
      <w:r>
        <w:t xml:space="preserve">D. Kahneman, </w:t>
      </w:r>
      <w:r>
        <w:rPr>
          <w:i/>
          <w:iCs/>
        </w:rPr>
        <w:t xml:space="preserve">Thinking, Fast and Slow</w:t>
      </w:r>
      <w:r>
        <w:t xml:space="preserve">. New York, NY, USA: Farrar, Straus and Giroux, 2011.</w:t>
      </w:r>
    </w:p>
    <w:p>
      <w:pPr>
        <w:spacing w:after="80" w:line="264"/>
        <w:ind w:left="620" w:hanging="420"/>
      </w:pPr>
      <w:bookmarkStart w:name="ref_prospect" w:id="1072"/>
      <w:r>
        <w:t xml:space="preserve">[37] </w:t>
      </w:r>
      <w:bookmarkEnd w:id="1072"/>
      <w:r>
        <w:t xml:space="preserve">A. Tversky and D. Kahneman, "Advances in prospect theory: cumulative representation of uncertainty," </w:t>
      </w:r>
      <w:r>
        <w:rPr>
          <w:i/>
          <w:iCs/>
        </w:rPr>
        <w:t xml:space="preserve">Journal of Risk and Uncertainty</w:t>
      </w:r>
      <w:r>
        <w:t xml:space="preserve">, vol. 5, no. 4, pp. 297–323, 1992.</w:t>
      </w:r>
    </w:p>
    <w:p>
      <w:pPr>
        <w:spacing w:after="80" w:line="264"/>
        <w:ind w:left="620" w:hanging="420"/>
      </w:pPr>
      <w:bookmarkStart w:name="ref_gigerenzer" w:id="1074"/>
      <w:r>
        <w:t xml:space="preserve">[38] </w:t>
      </w:r>
      <w:bookmarkEnd w:id="1074"/>
      <w:r>
        <w:t xml:space="preserve">G. Gigerenzer and P. M. Todd, </w:t>
      </w:r>
      <w:r>
        <w:rPr>
          <w:i/>
          <w:iCs/>
        </w:rPr>
        <w:t xml:space="preserve">Simple Heuristics That Make Us Smart</w:t>
      </w:r>
      <w:r>
        <w:t xml:space="preserve">. Oxford, U.K.: Oxford Univ. Press, 1999.</w:t>
      </w:r>
    </w:p>
    <w:p>
      <w:pPr>
        <w:spacing w:after="80" w:line="264"/>
        <w:ind w:left="620" w:hanging="420"/>
      </w:pPr>
      <w:bookmarkStart w:name="ref_simon" w:id="1076"/>
      <w:r>
        <w:t xml:space="preserve">[39] </w:t>
      </w:r>
      <w:bookmarkEnd w:id="1076"/>
      <w:r>
        <w:t xml:space="preserve">H. A. Simon, "A behavioral model of rational choice," </w:t>
      </w:r>
      <w:r>
        <w:rPr>
          <w:i/>
          <w:iCs/>
        </w:rPr>
        <w:t xml:space="preserve">Quarterly Journal of Economics</w:t>
      </w:r>
      <w:r>
        <w:t xml:space="preserve">, vol. 69, no. 1, pp. 99–118, 1955.</w:t>
      </w:r>
    </w:p>
    <w:p>
      <w:pPr>
        <w:spacing w:after="80" w:line="264"/>
        <w:ind w:left="620" w:hanging="420"/>
      </w:pPr>
      <w:bookmarkStart w:name="ref_mani" w:id="1078"/>
      <w:r>
        <w:t xml:space="preserve">[40] </w:t>
      </w:r>
      <w:bookmarkEnd w:id="1078"/>
      <w:r>
        <w:t xml:space="preserve">A. Mani, S. Mullainathan, E. Shafir, and J. Zhao, "Poverty impedes cognitive function," </w:t>
      </w:r>
      <w:r>
        <w:rPr>
          <w:i/>
          <w:iCs/>
        </w:rPr>
        <w:t xml:space="preserve">Science</w:t>
      </w:r>
      <w:r>
        <w:t xml:space="preserve">, vol. 341, no. 6149, pp. 976–980, 2013.</w:t>
      </w:r>
    </w:p>
    <w:p>
      <w:pPr>
        <w:spacing w:after="80" w:line="264"/>
        <w:ind w:left="620" w:hanging="420"/>
      </w:pPr>
      <w:bookmarkStart w:name="ref_glimcher" w:id="1080"/>
      <w:r>
        <w:t xml:space="preserve">[41] </w:t>
      </w:r>
      <w:bookmarkEnd w:id="1080"/>
      <w:r>
        <w:t xml:space="preserve">P. W. Glimcher, </w:t>
      </w:r>
      <w:r>
        <w:rPr>
          <w:i/>
          <w:iCs/>
        </w:rPr>
        <w:t xml:space="preserve">Foundations of Neuroeconomic Analysis</w:t>
      </w:r>
      <w:r>
        <w:t xml:space="preserve">. Oxford, U.K.: Oxford Univ. Press, 2011.</w:t>
      </w:r>
    </w:p>
    <w:p>
      <w:pPr>
        <w:spacing w:after="80" w:line="264"/>
        <w:ind w:left="620" w:hanging="420"/>
      </w:pPr>
      <w:bookmarkStart w:name="ref_schultz" w:id="1082"/>
      <w:r>
        <w:t xml:space="preserve">[42] </w:t>
      </w:r>
      <w:bookmarkEnd w:id="1082"/>
      <w:r>
        <w:t xml:space="preserve">W. Schultz, P. Dayan, and P. R. Montague, "A neural substrate of prediction and reward," </w:t>
      </w:r>
      <w:r>
        <w:rPr>
          <w:i/>
          <w:iCs/>
        </w:rPr>
        <w:t xml:space="preserve">Science</w:t>
      </w:r>
      <w:r>
        <w:t xml:space="preserve">, vol. 275, no. 5306, pp. 1593–1599, 1997.</w:t>
      </w:r>
    </w:p>
    <w:p>
      <w:pPr>
        <w:spacing w:after="80" w:line="264"/>
        <w:ind w:left="620" w:hanging="420"/>
      </w:pPr>
      <w:bookmarkStart w:name="ref_berridge" w:id="1084"/>
      <w:r>
        <w:t xml:space="preserve">[43] </w:t>
      </w:r>
      <w:bookmarkEnd w:id="1084"/>
      <w:r>
        <w:t xml:space="preserve">K. C. Berridge and T. E. Robinson, "Liking, wanting, and the incentive-sensitization theory of addiction," </w:t>
      </w:r>
      <w:r>
        <w:rPr>
          <w:i/>
          <w:iCs/>
        </w:rPr>
        <w:t xml:space="preserve">American Psychologist</w:t>
      </w:r>
      <w:r>
        <w:t xml:space="preserve">, vol. 71, no. 8, pp. 670–679, 2016.</w:t>
      </w:r>
    </w:p>
    <w:p>
      <w:pPr>
        <w:spacing w:after="80" w:line="264"/>
        <w:ind w:left="620" w:hanging="420"/>
      </w:pPr>
      <w:bookmarkStart w:name="ref_ratcliff" w:id="1086"/>
      <w:r>
        <w:t xml:space="preserve">[44] </w:t>
      </w:r>
      <w:bookmarkEnd w:id="1086"/>
      <w:r>
        <w:t xml:space="preserve">R. Ratcliff and G. McKoon, "The diffusion decision model: theory and data for two-choice decision tasks," </w:t>
      </w:r>
      <w:r>
        <w:rPr>
          <w:i/>
          <w:iCs/>
        </w:rPr>
        <w:t xml:space="preserve">Neural Computation</w:t>
      </w:r>
      <w:r>
        <w:t xml:space="preserve">, vol. 20, no. 4, pp. 873–922, 2008.</w:t>
      </w:r>
    </w:p>
    <w:p>
      <w:pPr>
        <w:spacing w:after="80" w:line="264"/>
        <w:ind w:left="620" w:hanging="420"/>
      </w:pPr>
      <w:bookmarkStart w:name="ref_friston" w:id="1088"/>
      <w:r>
        <w:t xml:space="preserve">[45] </w:t>
      </w:r>
      <w:bookmarkEnd w:id="1088"/>
      <w:r>
        <w:t xml:space="preserve">K. Friston, "The free-energy principle: a unified brain theory?," </w:t>
      </w:r>
      <w:r>
        <w:rPr>
          <w:i/>
          <w:iCs/>
        </w:rPr>
        <w:t xml:space="preserve">Nature Reviews Neuroscience</w:t>
      </w:r>
      <w:r>
        <w:t xml:space="preserve">, vol. 11, pp. 127–138, 2010.</w:t>
      </w:r>
    </w:p>
    <w:p>
      <w:pPr>
        <w:spacing w:after="80" w:line="264"/>
        <w:ind w:left="620" w:hanging="420"/>
      </w:pPr>
      <w:bookmarkStart w:name="ref_clark" w:id="1090"/>
      <w:r>
        <w:t xml:space="preserve">[46] </w:t>
      </w:r>
      <w:bookmarkEnd w:id="1090"/>
      <w:r>
        <w:t xml:space="preserve">A. Clark, "Whatever next? Predictive brains, situated agents, and the future of cognitive science," </w:t>
      </w:r>
      <w:r>
        <w:rPr>
          <w:i/>
          <w:iCs/>
        </w:rPr>
        <w:t xml:space="preserve">Behavioral and Brain Sciences</w:t>
      </w:r>
      <w:r>
        <w:t xml:space="preserve">, vol. 36, no. 3, pp. 181–204, 2013.</w:t>
      </w:r>
    </w:p>
    <w:p>
      <w:pPr>
        <w:spacing w:after="80" w:line="264"/>
        <w:ind w:left="620" w:hanging="420"/>
      </w:pPr>
      <w:bookmarkStart w:name="ref_seth" w:id="1092"/>
      <w:r>
        <w:t xml:space="preserve">[47] </w:t>
      </w:r>
      <w:bookmarkEnd w:id="1092"/>
      <w:r>
        <w:t xml:space="preserve">A. K. Seth, "Interoceptive inference, emotion, and the embodied self," </w:t>
      </w:r>
      <w:r>
        <w:rPr>
          <w:i/>
          <w:iCs/>
        </w:rPr>
        <w:t xml:space="preserve">Trends in Cognitive Sciences</w:t>
      </w:r>
      <w:r>
        <w:t xml:space="preserve">, vol. 17, no. 11, pp. 565–573, 2013.</w:t>
      </w:r>
    </w:p>
    <w:p>
      <w:pPr>
        <w:spacing w:after="80" w:line="264"/>
        <w:ind w:left="620" w:hanging="420"/>
      </w:pPr>
      <w:bookmarkStart w:name="ref_barrett" w:id="1094"/>
      <w:r>
        <w:t xml:space="preserve">[48] </w:t>
      </w:r>
      <w:bookmarkEnd w:id="1094"/>
      <w:r>
        <w:t xml:space="preserve">L. F. Barrett, "The theory of constructed emotion: an active inference account of interoception and categorization," </w:t>
      </w:r>
      <w:r>
        <w:rPr>
          <w:i/>
          <w:iCs/>
        </w:rPr>
        <w:t xml:space="preserve">Social Cognitive and Affective Neuroscience</w:t>
      </w:r>
      <w:r>
        <w:t xml:space="preserve">, vol. 12, no. 1, pp. 1–23, 2017.</w:t>
      </w:r>
    </w:p>
    <w:p>
      <w:pPr>
        <w:spacing w:after="80" w:line="264"/>
        <w:ind w:left="620" w:hanging="420"/>
      </w:pPr>
      <w:bookmarkStart w:name="ref_panksepp" w:id="1096"/>
      <w:r>
        <w:t xml:space="preserve">[49] </w:t>
      </w:r>
      <w:bookmarkEnd w:id="1096"/>
      <w:r>
        <w:t xml:space="preserve">J. Panksepp, </w:t>
      </w:r>
      <w:r>
        <w:rPr>
          <w:i/>
          <w:iCs/>
        </w:rPr>
        <w:t xml:space="preserve">Affective Neuroscience: The Foundations of Human and Animal Emotions</w:t>
      </w:r>
      <w:r>
        <w:t xml:space="preserve">. Oxford, U.K.: Oxford Univ. Press, 1998.</w:t>
      </w:r>
    </w:p>
    <w:p>
      <w:pPr>
        <w:spacing w:after="80" w:line="264"/>
        <w:ind w:left="620" w:hanging="420"/>
      </w:pPr>
      <w:bookmarkStart w:name="ref_tulving" w:id="1098"/>
      <w:r>
        <w:t xml:space="preserve">[50] </w:t>
      </w:r>
      <w:bookmarkEnd w:id="1098"/>
      <w:r>
        <w:t xml:space="preserve">E. Tulving, </w:t>
      </w:r>
      <w:r>
        <w:rPr>
          <w:i/>
          <w:iCs/>
        </w:rPr>
        <w:t xml:space="preserve">Elements of Episodic Memory</w:t>
      </w:r>
      <w:r>
        <w:t xml:space="preserve">. Oxford, U.K.: Oxford Univ. Press, 1983.</w:t>
      </w:r>
    </w:p>
    <w:p>
      <w:pPr>
        <w:spacing w:after="80" w:line="264"/>
        <w:ind w:left="620" w:hanging="420"/>
      </w:pPr>
      <w:bookmarkStart w:name="ref_loftus" w:id="1100"/>
      <w:r>
        <w:t xml:space="preserve">[51] </w:t>
      </w:r>
      <w:bookmarkEnd w:id="1100"/>
      <w:r>
        <w:t xml:space="preserve">E. F. Loftus, "Planting misinformation in the human mind: a 30-year investigation of the malleability of memory," </w:t>
      </w:r>
      <w:r>
        <w:rPr>
          <w:i/>
          <w:iCs/>
        </w:rPr>
        <w:t xml:space="preserve">Learning &amp; Memory</w:t>
      </w:r>
      <w:r>
        <w:t xml:space="preserve">, vol. 12, no. 4, pp. 361–366, 2005.</w:t>
      </w:r>
    </w:p>
    <w:p>
      <w:pPr>
        <w:spacing w:after="80" w:line="264"/>
        <w:ind w:left="620" w:hanging="420"/>
      </w:pPr>
      <w:bookmarkStart w:name="ref_nader" w:id="1102"/>
      <w:r>
        <w:t xml:space="preserve">[52] </w:t>
      </w:r>
      <w:bookmarkEnd w:id="1102"/>
      <w:r>
        <w:t xml:space="preserve">K. Nader, G. E. Schafe, and J. E. LeDoux, "Fear memories require protein synthesis in the amygdala for reconsolidation after retrieval," </w:t>
      </w:r>
      <w:r>
        <w:rPr>
          <w:i/>
          <w:iCs/>
        </w:rPr>
        <w:t xml:space="preserve">Nature</w:t>
      </w:r>
      <w:r>
        <w:t xml:space="preserve">, vol. 406, pp. 722–726, 2000.</w:t>
      </w:r>
    </w:p>
    <w:p>
      <w:pPr>
        <w:spacing w:after="80" w:line="264"/>
        <w:ind w:left="620" w:hanging="420"/>
      </w:pPr>
      <w:bookmarkStart w:name="ref_graybiel" w:id="1104"/>
      <w:r>
        <w:t xml:space="preserve">[53] </w:t>
      </w:r>
      <w:bookmarkEnd w:id="1104"/>
      <w:r>
        <w:t xml:space="preserve">A. M. Graybiel, "Habits, rituals, and the evaluative brain," </w:t>
      </w:r>
      <w:r>
        <w:rPr>
          <w:i/>
          <w:iCs/>
        </w:rPr>
        <w:t xml:space="preserve">Annual Review of Neuroscience</w:t>
      </w:r>
      <w:r>
        <w:t xml:space="preserve">, vol. 31, pp. 359–387, 2008.</w:t>
      </w:r>
    </w:p>
    <w:p>
      <w:pPr>
        <w:spacing w:after="80" w:line="264"/>
        <w:ind w:left="620" w:hanging="420"/>
      </w:pPr>
      <w:bookmarkStart w:name="ref_gazzaniga" w:id="1106"/>
      <w:r>
        <w:t xml:space="preserve">[54] </w:t>
      </w:r>
      <w:bookmarkEnd w:id="1106"/>
      <w:r>
        <w:t xml:space="preserve">M. S. Gazzaniga, "The interpreter within: the glue of conscious experience," </w:t>
      </w:r>
      <w:r>
        <w:rPr>
          <w:i/>
          <w:iCs/>
        </w:rPr>
        <w:t xml:space="preserve">Cerebrum</w:t>
      </w:r>
      <w:r>
        <w:t xml:space="preserve">, 2018.</w:t>
      </w:r>
    </w:p>
    <w:p>
      <w:pPr>
        <w:spacing w:after="80" w:line="264"/>
        <w:ind w:left="620" w:hanging="420"/>
      </w:pPr>
      <w:bookmarkStart w:name="ref_greene" w:id="1108"/>
      <w:r>
        <w:t xml:space="preserve">[55] </w:t>
      </w:r>
      <w:bookmarkEnd w:id="1108"/>
      <w:r>
        <w:t xml:space="preserve">J. D. Greene, </w:t>
      </w:r>
      <w:r>
        <w:rPr>
          <w:i/>
          <w:iCs/>
        </w:rPr>
        <w:t xml:space="preserve">Moral Tribes: Emotion, Reason, and the Gap Between Us and Them</w:t>
      </w:r>
      <w:r>
        <w:t xml:space="preserve">. New York, NY, USA: Penguin, 2013.</w:t>
      </w:r>
    </w:p>
    <w:p>
      <w:pPr>
        <w:spacing w:after="80" w:line="264"/>
        <w:ind w:left="620" w:hanging="420"/>
      </w:pPr>
      <w:bookmarkStart w:name="ref_festinger" w:id="1110"/>
      <w:r>
        <w:t xml:space="preserve">[56] </w:t>
      </w:r>
      <w:bookmarkEnd w:id="1110"/>
      <w:r>
        <w:t xml:space="preserve">L. Festinger, </w:t>
      </w:r>
      <w:r>
        <w:rPr>
          <w:i/>
          <w:iCs/>
        </w:rPr>
        <w:t xml:space="preserve">A Theory of Cognitive Dissonance</w:t>
      </w:r>
      <w:r>
        <w:t xml:space="preserve">. Stanford, CA, USA: Stanford Univ. Press, 1957.</w:t>
      </w:r>
    </w:p>
    <w:p>
      <w:pPr>
        <w:spacing w:after="80" w:line="264"/>
        <w:ind w:left="620" w:hanging="420"/>
      </w:pPr>
      <w:bookmarkStart w:name="ref_cialdini" w:id="1112"/>
      <w:r>
        <w:t xml:space="preserve">[57] </w:t>
      </w:r>
      <w:bookmarkEnd w:id="1112"/>
      <w:r>
        <w:t xml:space="preserve">R. B. Cialdini, </w:t>
      </w:r>
      <w:r>
        <w:rPr>
          <w:i/>
          <w:iCs/>
        </w:rPr>
        <w:t xml:space="preserve">Influence: The Psychology of Persuasion</w:t>
      </w:r>
      <w:r>
        <w:t xml:space="preserve">. New York, NY, USA: Harper, 1984.</w:t>
      </w:r>
    </w:p>
    <w:p>
      <w:pPr>
        <w:spacing w:after="80" w:line="264"/>
        <w:ind w:left="620" w:hanging="420"/>
      </w:pPr>
      <w:bookmarkStart w:name="ref_asch" w:id="1114"/>
      <w:r>
        <w:t xml:space="preserve">[58] </w:t>
      </w:r>
      <w:bookmarkEnd w:id="1114"/>
      <w:r>
        <w:t xml:space="preserve">S. E. Asch, "Opinions and social pressure," </w:t>
      </w:r>
      <w:r>
        <w:rPr>
          <w:i/>
          <w:iCs/>
        </w:rPr>
        <w:t xml:space="preserve">Scientific American</w:t>
      </w:r>
      <w:r>
        <w:t xml:space="preserve">, vol. 193, no. 5, pp. 31–35, 1955.</w:t>
      </w:r>
    </w:p>
    <w:p>
      <w:pPr>
        <w:spacing w:after="80" w:line="264"/>
        <w:ind w:left="620" w:hanging="420"/>
      </w:pPr>
      <w:bookmarkStart w:name="ref_tomasello" w:id="1116"/>
      <w:r>
        <w:t xml:space="preserve">[59] </w:t>
      </w:r>
      <w:bookmarkEnd w:id="1116"/>
      <w:r>
        <w:t xml:space="preserve">M. Tomasello, </w:t>
      </w:r>
      <w:r>
        <w:rPr>
          <w:i/>
          <w:iCs/>
        </w:rPr>
        <w:t xml:space="preserve">A Natural History of Human Morality</w:t>
      </w:r>
      <w:r>
        <w:t xml:space="preserve">. Cambridge, MA, USA: Harvard Univ. Press, 2016.</w:t>
      </w:r>
    </w:p>
    <w:p>
      <w:pPr>
        <w:spacing w:after="80" w:line="264"/>
        <w:ind w:left="620" w:hanging="420"/>
      </w:pPr>
      <w:bookmarkStart w:name="ref_laibson" w:id="1118"/>
      <w:r>
        <w:t xml:space="preserve">[60] </w:t>
      </w:r>
      <w:bookmarkEnd w:id="1118"/>
      <w:r>
        <w:t xml:space="preserve">D. Laibson, "Golden eggs and hyperbolic discounting," </w:t>
      </w:r>
      <w:r>
        <w:rPr>
          <w:i/>
          <w:iCs/>
        </w:rPr>
        <w:t xml:space="preserve">Quarterly Journal of Economics</w:t>
      </w:r>
      <w:r>
        <w:t xml:space="preserve">, vol. 112, no. 2, pp. 443–477, 1997.</w:t>
      </w:r>
    </w:p>
    <w:p>
      <w:pPr>
        <w:spacing w:after="80" w:line="264"/>
        <w:ind w:left="620" w:hanging="420"/>
      </w:pPr>
      <w:bookmarkStart w:name="ref_thaler" w:id="1120"/>
      <w:r>
        <w:t xml:space="preserve">[61] </w:t>
      </w:r>
      <w:bookmarkEnd w:id="1120"/>
      <w:r>
        <w:t xml:space="preserve">R. H. Thaler, "Mental accounting matters," </w:t>
      </w:r>
      <w:r>
        <w:rPr>
          <w:i/>
          <w:iCs/>
        </w:rPr>
        <w:t xml:space="preserve">Journal of Behavioral Decision Making</w:t>
      </w:r>
      <w:r>
        <w:t xml:space="preserve">, vol. 12, no. 3, pp. 183–206, 1999.</w:t>
      </w:r>
    </w:p>
    <w:p>
      <w:pPr>
        <w:spacing w:after="80" w:line="264"/>
        <w:ind w:left="620" w:hanging="420"/>
      </w:pPr>
      <w:bookmarkStart w:name="ref_loewenstein" w:id="1122"/>
      <w:r>
        <w:t xml:space="preserve">[62] </w:t>
      </w:r>
      <w:bookmarkEnd w:id="1122"/>
      <w:r>
        <w:t xml:space="preserve">G. Loewenstein, "Out of control: visceral influences on behavior," </w:t>
      </w:r>
      <w:r>
        <w:rPr>
          <w:i/>
          <w:iCs/>
        </w:rPr>
        <w:t xml:space="preserve">Organizational Behavior and Human Decision Processes</w:t>
      </w:r>
      <w:r>
        <w:t xml:space="preserve">, vol. 65, no. 3, pp. 272–292, 1996.</w:t>
      </w:r>
    </w:p>
    <w:p>
      <w:pPr>
        <w:spacing w:after="80" w:line="264"/>
        <w:ind w:left="620" w:hanging="420"/>
      </w:pPr>
      <w:bookmarkStart w:name="ref_ariely" w:id="1124"/>
      <w:r>
        <w:t xml:space="preserve">[63] </w:t>
      </w:r>
      <w:bookmarkEnd w:id="1124"/>
      <w:r>
        <w:t xml:space="preserve">D. Ariely, </w:t>
      </w:r>
      <w:r>
        <w:rPr>
          <w:i/>
          <w:iCs/>
        </w:rPr>
        <w:t xml:space="preserve">Predictably Irrational: The Hidden Forces That Shape Our Decisions</w:t>
      </w:r>
      <w:r>
        <w:t xml:space="preserve">. New York, NY, USA: HarperCollins, 2008.</w:t>
      </w:r>
    </w:p>
    <w:p>
      <w:pPr>
        <w:spacing w:after="80" w:line="264"/>
        <w:ind w:left="620" w:hanging="420"/>
      </w:pPr>
      <w:bookmarkStart w:name="ref_nisbett" w:id="1126"/>
      <w:r>
        <w:t xml:space="preserve">[64] </w:t>
      </w:r>
      <w:bookmarkEnd w:id="1126"/>
      <w:r>
        <w:t xml:space="preserve">R. E. Nisbett, </w:t>
      </w:r>
      <w:r>
        <w:rPr>
          <w:i/>
          <w:iCs/>
        </w:rPr>
        <w:t xml:space="preserve">The Geography of Thought: How Asians and Westerners Think Differently—and Why</w:t>
      </w:r>
      <w:r>
        <w:t xml:space="preserve">. New York, NY, USA: Free Press, 2003.</w:t>
      </w:r>
    </w:p>
    <w:p>
      <w:pPr>
        <w:spacing w:after="80" w:line="264"/>
        <w:ind w:left="620" w:hanging="420"/>
      </w:pPr>
      <w:bookmarkStart w:name="ref_henrich" w:id="1128"/>
      <w:r>
        <w:t xml:space="preserve">[65] </w:t>
      </w:r>
      <w:bookmarkEnd w:id="1128"/>
      <w:r>
        <w:t xml:space="preserve">J. Henrich, S. J. Heine, and A. Norenzayan, "The weirdest people in the world?," </w:t>
      </w:r>
      <w:r>
        <w:rPr>
          <w:i/>
          <w:iCs/>
        </w:rPr>
        <w:t xml:space="preserve">Behavioral and Brain Sciences</w:t>
      </w:r>
      <w:r>
        <w:t xml:space="preserve">, vol. 33, no. 2–3, pp. 61–83, 2010.</w:t>
      </w:r>
    </w:p>
    <w:p>
      <w:pPr>
        <w:spacing w:after="80" w:line="264"/>
        <w:ind w:left="620" w:hanging="420"/>
      </w:pPr>
      <w:bookmarkStart w:name="ref_markus" w:id="1130"/>
      <w:r>
        <w:t xml:space="preserve">[66] </w:t>
      </w:r>
      <w:bookmarkEnd w:id="1130"/>
      <w:r>
        <w:t xml:space="preserve">H. R. Markus and S. Kitayama, "Culture and the self: implications for cognition, emotion, and motivation," </w:t>
      </w:r>
      <w:r>
        <w:rPr>
          <w:i/>
          <w:iCs/>
        </w:rPr>
        <w:t xml:space="preserve">Psychological Review</w:t>
      </w:r>
      <w:r>
        <w:t xml:space="preserve">, vol. 98, no. 2, pp. 224–253, 1991.</w:t>
      </w:r>
    </w:p>
    <w:p>
      <w:pPr>
        <w:spacing w:after="80" w:line="264"/>
        <w:ind w:left="620" w:hanging="420"/>
      </w:pPr>
      <w:bookmarkStart w:name="ref_shweder" w:id="1132"/>
      <w:r>
        <w:t xml:space="preserve">[67] </w:t>
      </w:r>
      <w:bookmarkEnd w:id="1132"/>
      <w:r>
        <w:t xml:space="preserve">R. A. Shweder, N. C. Much, M. Mahapatra, and L. Park, "The 'big three' of morality (autonomy, community, divinity) and the 'big three' explanations of suffering," in Morality and Health, 1997.</w:t>
      </w:r>
    </w:p>
    <w:p>
      <w:pPr>
        <w:spacing w:after="80" w:line="264"/>
        <w:ind w:left="620" w:hanging="420"/>
      </w:pPr>
      <w:bookmarkStart w:name="ref_miller" w:id="1134"/>
      <w:r>
        <w:t xml:space="preserve">[68] </w:t>
      </w:r>
      <w:bookmarkEnd w:id="1134"/>
      <w:r>
        <w:t xml:space="preserve">J. G. Miller, "Culture and the development of everyday social explanation," </w:t>
      </w:r>
      <w:r>
        <w:rPr>
          <w:i/>
          <w:iCs/>
        </w:rPr>
        <w:t xml:space="preserve">Journal of Personality and Social Psychology</w:t>
      </w:r>
      <w:r>
        <w:t xml:space="preserve">, vol. 46, no. 5, pp. 961–978, 1984.</w:t>
      </w:r>
    </w:p>
    <w:p>
      <w:pPr>
        <w:spacing w:after="80" w:line="264"/>
        <w:ind w:left="620" w:hanging="420"/>
      </w:pPr>
      <w:bookmarkStart w:name="ref_sinha" w:id="1136"/>
      <w:r>
        <w:t xml:space="preserve">[69] </w:t>
      </w:r>
      <w:bookmarkEnd w:id="1136"/>
      <w:r>
        <w:t xml:space="preserve">D. Sinha, "Indigenizing psychology," in Handbook of Cross-Cultural Psychology, vol. 1, 1997, pp. 129–169.</w:t>
      </w:r>
    </w:p>
    <w:p>
      <w:pPr>
        <w:spacing w:after="80" w:line="264"/>
        <w:ind w:left="620" w:hanging="420"/>
      </w:pPr>
      <w:bookmarkStart w:name="ref_galrucker" w:id="1138"/>
      <w:r>
        <w:t xml:space="preserve">[70] </w:t>
      </w:r>
      <w:bookmarkEnd w:id="1138"/>
      <w:r>
        <w:t xml:space="preserve">D. Gal and D. D. Rucker, "The loss of loss aversion: will it loom larger than its gain?," </w:t>
      </w:r>
      <w:r>
        <w:rPr>
          <w:i/>
          <w:iCs/>
        </w:rPr>
        <w:t xml:space="preserve">Journal of Consumer Psychology</w:t>
      </w:r>
      <w:r>
        <w:t xml:space="preserve">, vol. 28, no. 3, pp. 497–516, 2018.</w:t>
      </w:r>
    </w:p>
    <w:p>
      <w:pPr>
        <w:spacing w:after="80" w:line="264"/>
        <w:ind w:left="620" w:hanging="420"/>
      </w:pPr>
      <w:bookmarkStart w:name="ref_ihds" w:id="1140"/>
      <w:r>
        <w:t xml:space="preserve">[71] </w:t>
      </w:r>
      <w:bookmarkEnd w:id="1140"/>
      <w:r>
        <w:t xml:space="preserve">S. Desai and R. Vanneman, "India Human Development Survey-II (IHDS-II), 2011–12," ICPSR 36151, 2015.</w:t>
      </w:r>
    </w:p>
    <w:p>
      <w:pPr>
        <w:spacing w:after="80" w:line="264"/>
        <w:ind w:left="620" w:hanging="420"/>
      </w:pPr>
      <w:bookmarkStart w:name="ref_nfhs" w:id="1142"/>
      <w:r>
        <w:t xml:space="preserve">[72] </w:t>
      </w:r>
      <w:bookmarkEnd w:id="1142"/>
      <w:r>
        <w:t xml:space="preserve">International Institute for Population Sciences, "National Family Health Survey (NFHS-5), 2019–21," Mumbai, India, 2021.</w:t>
      </w:r>
    </w:p>
    <w:p>
      <w:pPr>
        <w:spacing w:after="80" w:line="264"/>
        <w:ind w:left="620" w:hanging="420"/>
      </w:pPr>
      <w:bookmarkStart w:name="ref_cmie" w:id="1144"/>
      <w:r>
        <w:t xml:space="preserve">[73] </w:t>
      </w:r>
      <w:bookmarkEnd w:id="1144"/>
      <w:r>
        <w:t xml:space="preserve">Centre for Monitoring Indian Economy, "Consumer Pyramids Household Survey (CPHS)," CMIE, 2024.</w:t>
      </w:r>
    </w:p>
    <w:p>
      <w:pPr>
        <w:spacing w:after="80" w:line="264"/>
        <w:ind w:left="620" w:hanging="420"/>
      </w:pPr>
      <w:bookmarkStart w:name="ref_plfs" w:id="1146"/>
      <w:r>
        <w:t xml:space="preserve">[74] </w:t>
      </w:r>
      <w:bookmarkEnd w:id="1146"/>
      <w:r>
        <w:t xml:space="preserve">Ministry of Statistics and Programme Implementation, "Periodic Labour Force Survey (PLFS)," Government of India, 2024.</w:t>
      </w:r>
    </w:p>
    <w:p>
      <w:pPr>
        <w:spacing w:after="80" w:line="264"/>
        <w:ind w:left="620" w:hanging="420"/>
      </w:pPr>
      <w:bookmarkStart w:name="ref_hces" w:id="1148"/>
      <w:r>
        <w:t xml:space="preserve">[75] </w:t>
      </w:r>
      <w:bookmarkEnd w:id="1148"/>
      <w:r>
        <w:t xml:space="preserve">Ministry of Statistics and Programme Implementation, "Household Consumption Expenditure Survey 2023–24," Government of India, 2024.</w:t>
      </w:r>
    </w:p>
    <w:p>
      <w:pPr>
        <w:spacing w:after="80" w:line="264"/>
        <w:ind w:left="620" w:hanging="420"/>
      </w:pPr>
      <w:bookmarkStart w:name="ref_iamai" w:id="1150"/>
      <w:r>
        <w:t xml:space="preserve">[76] </w:t>
      </w:r>
      <w:bookmarkEnd w:id="1150"/>
      <w:r>
        <w:t xml:space="preserve">Internet and Mobile Association of India and Kantar, "Internet in India 2024," IAMAI, 2025.</w:t>
      </w:r>
    </w:p>
    <w:p>
      <w:pPr>
        <w:spacing w:after="80" w:line="264"/>
        <w:ind w:left="620" w:hanging="420"/>
      </w:pPr>
      <w:bookmarkStart w:name="ref_npci" w:id="1152"/>
      <w:r>
        <w:t xml:space="preserve">[77] </w:t>
      </w:r>
      <w:bookmarkEnd w:id="1152"/>
      <w:r>
        <w:t xml:space="preserve">National Payments Corporation of India, "UPI product statistics," NPCI, 2025.</w:t>
      </w:r>
    </w:p>
    <w:p>
      <w:r>
        <w:br w:type="page"/>
      </w:r>
    </w:p>
    <w:p>
      <w:pPr>
        <w:pStyle w:val="Heading1"/>
      </w:pPr>
      <w:r>
        <w:t xml:space="preserve">Appendix A. New-Session Kickoff Prompt</w:t>
      </w:r>
    </w:p>
    <w:p>
      <w:pPr>
        <w:spacing w:after="140" w:line="288"/>
        <w:jc w:val="both"/>
      </w:pPr>
      <w:r>
        <w:t xml:space="preserve">Paste the following prompt verbatim to begin implementation in a fresh working session. It is self-contained.</w:t>
      </w:r>
    </w:p>
    <w:p>
      <w:pPr>
        <w:shd w:fill="F2F2F2" w:val="clear"/>
        <w:spacing w:after="0" w:line="260"/>
      </w:pPr>
      <w:r>
        <w:rPr>
          <w:rFonts w:ascii="Courier New" w:cs="Courier New" w:eastAsia="Courier New" w:hAnsi="Courier New"/>
          <w:sz w:val="18"/>
          <w:szCs w:val="18"/>
        </w:rPr>
        <w:t xml:space="preserve">You are joining a project to build a population-scale system of synthetic personas</w:t>
      </w:r>
    </w:p>
    <w:p>
      <w:pPr>
        <w:shd w:fill="F2F2F2" w:val="clear"/>
        <w:spacing w:after="0" w:line="260"/>
      </w:pPr>
      <w:r>
        <w:rPr>
          <w:rFonts w:ascii="Courier New" w:cs="Courier New" w:eastAsia="Courier New" w:hAnsi="Courier New"/>
          <w:sz w:val="18"/>
          <w:szCs w:val="18"/>
        </w:rPr>
        <w:t xml:space="preserve">representing the people of India, used to predict attitudes and behaviour and to</w:t>
      </w:r>
    </w:p>
    <w:p>
      <w:pPr>
        <w:shd w:fill="F2F2F2" w:val="clear"/>
        <w:spacing w:after="0" w:line="260"/>
      </w:pPr>
      <w:r>
        <w:rPr>
          <w:rFonts w:ascii="Courier New" w:cs="Courier New" w:eastAsia="Courier New" w:hAnsi="Courier New"/>
          <w:sz w:val="18"/>
          <w:szCs w:val="18"/>
        </w:rPr>
        <w:t xml:space="preserve">augment market, social, and political research. Read this brief fully before acting.</w:t>
      </w:r>
    </w:p>
    <w:p>
      <w:pPr>
        <w:shd w:fill="F2F2F2" w:val="clear"/>
        <w:spacing w:after="0" w:line="260"/>
      </w:pPr>
      <w:r>
        <w:rPr>
          <w:rFonts w:ascii="Courier New" w:cs="Courier New" w:eastAsia="Courier New" w:hAnsi="Courier New"/>
          <w:sz w:val="18"/>
          <w:szCs w:val="18"/>
        </w:rPr>
        <w:t xml:space="preserve"> </w:t>
      </w:r>
    </w:p>
    <w:p>
      <w:pPr>
        <w:shd w:fill="F2F2F2" w:val="clear"/>
        <w:spacing w:after="0" w:line="260"/>
      </w:pPr>
      <w:r>
        <w:rPr>
          <w:rFonts w:ascii="Courier New" w:cs="Courier New" w:eastAsia="Courier New" w:hAnsi="Courier New"/>
          <w:sz w:val="18"/>
          <w:szCs w:val="18"/>
        </w:rPr>
        <w:t xml:space="preserve">MISSION</w:t>
      </w:r>
    </w:p>
    <w:p>
      <w:pPr>
        <w:shd w:fill="F2F2F2" w:val="clear"/>
        <w:spacing w:after="0" w:line="260"/>
      </w:pPr>
      <w:r>
        <w:rPr>
          <w:rFonts w:ascii="Courier New" w:cs="Courier New" w:eastAsia="Courier New" w:hAnsi="Courier New"/>
          <w:sz w:val="18"/>
          <w:szCs w:val="18"/>
        </w:rPr>
        <w:t xml:space="preserve">Generate and operate a representative population of cognitively-grounded synthetic</w:t>
      </w:r>
    </w:p>
    <w:p>
      <w:pPr>
        <w:shd w:fill="F2F2F2" w:val="clear"/>
        <w:spacing w:after="0" w:line="260"/>
      </w:pPr>
      <w:r>
        <w:rPr>
          <w:rFonts w:ascii="Courier New" w:cs="Courier New" w:eastAsia="Courier New" w:hAnsi="Courier New"/>
          <w:sz w:val="18"/>
          <w:szCs w:val="18"/>
        </w:rPr>
        <w:t xml:space="preserve">Indian personas (target: low single-digit millions of distinct, real cells - NOT a</w:t>
      </w:r>
    </w:p>
    <w:p>
      <w:pPr>
        <w:shd w:fill="F2F2F2" w:val="clear"/>
        <w:spacing w:after="0" w:line="260"/>
      </w:pPr>
      <w:r>
        <w:rPr>
          <w:rFonts w:ascii="Courier New" w:cs="Courier New" w:eastAsia="Courier New" w:hAnsi="Courier New"/>
          <w:sz w:val="18"/>
          <w:szCs w:val="18"/>
        </w:rPr>
        <w:t xml:space="preserve">Cartesian product). Each persona must think, decide, and behave like a real human.</w:t>
      </w:r>
    </w:p>
    <w:p>
      <w:pPr>
        <w:shd w:fill="F2F2F2" w:val="clear"/>
        <w:spacing w:after="0" w:line="260"/>
      </w:pPr>
      <w:r>
        <w:rPr>
          <w:rFonts w:ascii="Courier New" w:cs="Courier New" w:eastAsia="Courier New" w:hAnsi="Courier New"/>
          <w:sz w:val="18"/>
          <w:szCs w:val="18"/>
        </w:rPr>
        <w:t xml:space="preserve">Sell calibrated prediction (tighter confidence per unit of fieldwork), not personas.</w:t>
      </w:r>
    </w:p>
    <w:p>
      <w:pPr>
        <w:shd w:fill="F2F2F2" w:val="clear"/>
        <w:spacing w:after="0" w:line="260"/>
      </w:pPr>
      <w:r>
        <w:rPr>
          <w:rFonts w:ascii="Courier New" w:cs="Courier New" w:eastAsia="Courier New" w:hAnsi="Courier New"/>
          <w:sz w:val="18"/>
          <w:szCs w:val="18"/>
        </w:rPr>
        <w:t xml:space="preserve"> </w:t>
      </w:r>
    </w:p>
    <w:p>
      <w:pPr>
        <w:shd w:fill="F2F2F2" w:val="clear"/>
        <w:spacing w:after="0" w:line="260"/>
      </w:pPr>
      <w:r>
        <w:rPr>
          <w:rFonts w:ascii="Courier New" w:cs="Courier New" w:eastAsia="Courier New" w:hAnsi="Courier New"/>
          <w:sz w:val="18"/>
          <w:szCs w:val="18"/>
        </w:rPr>
        <w:t xml:space="preserve">NON-NEGOTIABLE PRINCIPLES</w:t>
      </w:r>
    </w:p>
    <w:p>
      <w:pPr>
        <w:shd w:fill="F2F2F2" w:val="clear"/>
        <w:spacing w:after="0" w:line="260"/>
      </w:pPr>
      <w:r>
        <w:rPr>
          <w:rFonts w:ascii="Courier New" w:cs="Courier New" w:eastAsia="Courier New" w:hAnsi="Courier New"/>
          <w:sz w:val="18"/>
          <w:szCs w:val="18"/>
        </w:rPr>
        <w:t xml:space="preserve">1. A persona is a falsifiable hypothesis with a confidence interval, graded against</w:t>
      </w:r>
    </w:p>
    <w:p>
      <w:pPr>
        <w:shd w:fill="F2F2F2" w:val="clear"/>
        <w:spacing w:after="0" w:line="260"/>
      </w:pPr>
      <w:r>
        <w:rPr>
          <w:rFonts w:ascii="Courier New" w:cs="Courier New" w:eastAsia="Courier New" w:hAnsi="Courier New"/>
          <w:sz w:val="18"/>
          <w:szCs w:val="18"/>
        </w:rPr>
        <w:t xml:space="preserve">   reality - never a demographic label.</w:t>
      </w:r>
    </w:p>
    <w:p>
      <w:pPr>
        <w:shd w:fill="F2F2F2" w:val="clear"/>
        <w:spacing w:after="0" w:line="260"/>
      </w:pPr>
      <w:r>
        <w:rPr>
          <w:rFonts w:ascii="Courier New" w:cs="Courier New" w:eastAsia="Courier New" w:hAnsi="Courier New"/>
          <w:sz w:val="18"/>
          <w:szCs w:val="18"/>
        </w:rPr>
        <w:t xml:space="preserve">2. India is a JOINT distribution. Sample only populated cells, at real frequency.</w:t>
      </w:r>
    </w:p>
    <w:p>
      <w:pPr>
        <w:shd w:fill="F2F2F2" w:val="clear"/>
        <w:spacing w:after="0" w:line="260"/>
      </w:pPr>
      <w:r>
        <w:rPr>
          <w:rFonts w:ascii="Courier New" w:cs="Courier New" w:eastAsia="Courier New" w:hAnsi="Courier New"/>
          <w:sz w:val="18"/>
          <w:szCs w:val="18"/>
        </w:rPr>
        <w:t xml:space="preserve">3. Validate behaviourally and out-of-distribution. Matching a published survey is</w:t>
      </w:r>
    </w:p>
    <w:p>
      <w:pPr>
        <w:shd w:fill="F2F2F2" w:val="clear"/>
        <w:spacing w:after="0" w:line="260"/>
      </w:pPr>
      <w:r>
        <w:rPr>
          <w:rFonts w:ascii="Courier New" w:cs="Courier New" w:eastAsia="Courier New" w:hAnsi="Courier New"/>
          <w:sz w:val="18"/>
          <w:szCs w:val="18"/>
        </w:rPr>
        <w:t xml:space="preserve">   recall, not prediction. Use prediction-powered inference with a thin real sample.</w:t>
      </w:r>
    </w:p>
    <w:p>
      <w:pPr>
        <w:shd w:fill="F2F2F2" w:val="clear"/>
        <w:spacing w:after="0" w:line="260"/>
      </w:pPr>
      <w:r>
        <w:rPr>
          <w:rFonts w:ascii="Courier New" w:cs="Courier New" w:eastAsia="Courier New" w:hAnsi="Courier New"/>
          <w:sz w:val="18"/>
          <w:szCs w:val="18"/>
        </w:rPr>
        <w:t xml:space="preserve">4. The base LLM is hyper-WEIRD. Apply a standing 'culture pack' (situational</w:t>
      </w:r>
    </w:p>
    <w:p>
      <w:pPr>
        <w:shd w:fill="F2F2F2" w:val="clear"/>
        <w:spacing w:after="0" w:line="260"/>
      </w:pPr>
      <w:r>
        <w:rPr>
          <w:rFonts w:ascii="Courier New" w:cs="Courier New" w:eastAsia="Courier New" w:hAnsi="Courier New"/>
          <w:sz w:val="18"/>
          <w:szCs w:val="18"/>
        </w:rPr>
        <w:t xml:space="preserve">   attribution, interdependent self, holistic reasoning, Big-Three morality, karmic</w:t>
      </w:r>
    </w:p>
    <w:p>
      <w:pPr>
        <w:shd w:fill="F2F2F2" w:val="clear"/>
        <w:spacing w:after="0" w:line="260"/>
      </w:pPr>
      <w:r>
        <w:rPr>
          <w:rFonts w:ascii="Courier New" w:cs="Courier New" w:eastAsia="Courier New" w:hAnsi="Courier New"/>
          <w:sz w:val="18"/>
          <w:szCs w:val="18"/>
        </w:rPr>
        <w:t xml:space="preserve">   locus) while preserving internal variance. Never flatten India to one culture.</w:t>
      </w:r>
    </w:p>
    <w:p>
      <w:pPr>
        <w:shd w:fill="F2F2F2" w:val="clear"/>
        <w:spacing w:after="0" w:line="260"/>
      </w:pPr>
      <w:r>
        <w:rPr>
          <w:rFonts w:ascii="Courier New" w:cs="Courier New" w:eastAsia="Courier New" w:hAnsi="Courier New"/>
          <w:sz w:val="18"/>
          <w:szCs w:val="18"/>
        </w:rPr>
        <w:t xml:space="preserve">5. Keep sensitive caste/religion/communal attitudes OUTSIDE the validity envelope</w:t>
      </w:r>
    </w:p>
    <w:p>
      <w:pPr>
        <w:shd w:fill="F2F2F2" w:val="clear"/>
        <w:spacing w:after="0" w:line="260"/>
      </w:pPr>
      <w:r>
        <w:rPr>
          <w:rFonts w:ascii="Courier New" w:cs="Courier New" w:eastAsia="Courier New" w:hAnsi="Courier New"/>
          <w:sz w:val="18"/>
          <w:szCs w:val="18"/>
        </w:rPr>
        <w:t xml:space="preserve">   until specifically validated. Comply with the DPDP Act 2023.</w:t>
      </w:r>
    </w:p>
    <w:p>
      <w:pPr>
        <w:shd w:fill="F2F2F2" w:val="clear"/>
        <w:spacing w:after="0" w:line="260"/>
      </w:pPr>
      <w:r>
        <w:rPr>
          <w:rFonts w:ascii="Courier New" w:cs="Courier New" w:eastAsia="Courier New" w:hAnsi="Courier New"/>
          <w:sz w:val="18"/>
          <w:szCs w:val="18"/>
        </w:rPr>
        <w:t xml:space="preserve">6. Fight mode collapse - preserve the tails. Find references; no fabricated claims.</w:t>
      </w:r>
    </w:p>
    <w:p>
      <w:pPr>
        <w:shd w:fill="F2F2F2" w:val="clear"/>
        <w:spacing w:after="0" w:line="260"/>
      </w:pPr>
      <w:r>
        <w:rPr>
          <w:rFonts w:ascii="Courier New" w:cs="Courier New" w:eastAsia="Courier New" w:hAnsi="Courier New"/>
          <w:sz w:val="18"/>
          <w:szCs w:val="18"/>
        </w:rPr>
        <w:t xml:space="preserve"> </w:t>
      </w:r>
    </w:p>
    <w:p>
      <w:pPr>
        <w:shd w:fill="F2F2F2" w:val="clear"/>
        <w:spacing w:after="0" w:line="260"/>
      </w:pPr>
      <w:r>
        <w:rPr>
          <w:rFonts w:ascii="Courier New" w:cs="Courier New" w:eastAsia="Courier New" w:hAnsi="Courier New"/>
          <w:sz w:val="18"/>
          <w:szCs w:val="18"/>
        </w:rPr>
        <w:t xml:space="preserve">ARCHITECTURE (build order; vertical slice on ONE persona first)</w:t>
      </w:r>
    </w:p>
    <w:p>
      <w:pPr>
        <w:shd w:fill="F2F2F2" w:val="clear"/>
        <w:spacing w:after="0" w:line="260"/>
      </w:pPr>
      <w:r>
        <w:rPr>
          <w:rFonts w:ascii="Courier New" w:cs="Courier New" w:eastAsia="Courier New" w:hAnsi="Courier New"/>
          <w:sz w:val="18"/>
          <w:szCs w:val="18"/>
        </w:rPr>
        <w:t xml:space="preserve">Skeleton (Census/NFHS/PLFS) -&gt; Psyche vector (HEXACO + Schwartz + Moral Foundations</w:t>
      </w:r>
    </w:p>
    <w:p>
      <w:pPr>
        <w:shd w:fill="F2F2F2" w:val="clear"/>
        <w:spacing w:after="0" w:line="260"/>
      </w:pPr>
      <w:r>
        <w:rPr>
          <w:rFonts w:ascii="Courier New" w:cs="Courier New" w:eastAsia="Courier New" w:hAnsi="Courier New"/>
          <w:sz w:val="18"/>
          <w:szCs w:val="18"/>
        </w:rPr>
        <w:t xml:space="preserve">+ locus/religiosity + tuned biases; traits as mean+variance; sampled sub-nationally</w:t>
      </w:r>
    </w:p>
    <w:p>
      <w:pPr>
        <w:shd w:fill="F2F2F2" w:val="clear"/>
        <w:spacing w:after="0" w:line="260"/>
      </w:pPr>
      <w:r>
        <w:rPr>
          <w:rFonts w:ascii="Courier New" w:cs="Courier New" w:eastAsia="Courier New" w:hAnsi="Courier New"/>
          <w:sz w:val="18"/>
          <w:szCs w:val="18"/>
        </w:rPr>
        <w:t xml:space="preserve">from WVS-India/Lokniti/Pew) -&gt; Mind (memory stream with recency/importance/relevance</w:t>
      </w:r>
    </w:p>
    <w:p>
      <w:pPr>
        <w:shd w:fill="F2F2F2" w:val="clear"/>
        <w:spacing w:after="0" w:line="260"/>
      </w:pPr>
      <w:r>
        <w:rPr>
          <w:rFonts w:ascii="Courier New" w:cs="Courier New" w:eastAsia="Courier New" w:hAnsi="Courier New"/>
          <w:sz w:val="18"/>
          <w:szCs w:val="18"/>
        </w:rPr>
        <w:t xml:space="preserve">retrieval, reflection, episodic/semantic/procedural typing, evolving memory, BDI</w:t>
      </w:r>
    </w:p>
    <w:p>
      <w:pPr>
        <w:shd w:fill="F2F2F2" w:val="clear"/>
        <w:spacing w:after="0" w:line="260"/>
      </w:pPr>
      <w:r>
        <w:rPr>
          <w:rFonts w:ascii="Courier New" w:cs="Courier New" w:eastAsia="Courier New" w:hAnsi="Courier New"/>
          <w:sz w:val="18"/>
          <w:szCs w:val="18"/>
        </w:rPr>
        <w:t xml:space="preserve">goals, emotion, explicit theory-of-mind) -&gt; Self-story (McAdams scenes) -&gt; Idiolect</w:t>
      </w:r>
    </w:p>
    <w:p>
      <w:pPr>
        <w:shd w:fill="F2F2F2" w:val="clear"/>
        <w:spacing w:after="0" w:line="260"/>
      </w:pPr>
      <w:r>
        <w:rPr>
          <w:rFonts w:ascii="Courier New" w:cs="Courier New" w:eastAsia="Courier New" w:hAnsi="Courier New"/>
          <w:sz w:val="18"/>
          <w:szCs w:val="18"/>
        </w:rPr>
        <w:t xml:space="preserve">-&gt; Behavioural engine (Time Use Survey 2024 schedule; habit loops gated by COM-B/</w:t>
      </w:r>
    </w:p>
    <w:p>
      <w:pPr>
        <w:shd w:fill="F2F2F2" w:val="clear"/>
        <w:spacing w:after="0" w:line="260"/>
      </w:pPr>
      <w:r>
        <w:rPr>
          <w:rFonts w:ascii="Courier New" w:cs="Courier New" w:eastAsia="Courier New" w:hAnsi="Courier New"/>
          <w:sz w:val="18"/>
          <w:szCs w:val="18"/>
        </w:rPr>
        <w:t xml:space="preserve">EAST; HCES/UPI/Findex base rates; calendar) -&gt; Decision loop -&gt; Realism layer</w:t>
      </w:r>
    </w:p>
    <w:p>
      <w:pPr>
        <w:shd w:fill="F2F2F2" w:val="clear"/>
        <w:spacing w:after="0" w:line="260"/>
      </w:pPr>
      <w:r>
        <w:rPr>
          <w:rFonts w:ascii="Courier New" w:cs="Courier New" w:eastAsia="Courier New" w:hAnsi="Courier New"/>
          <w:sz w:val="18"/>
          <w:szCs w:val="18"/>
        </w:rPr>
        <w:t xml:space="preserve">(dual-process gate, controlled inconsistency + rationalisation, reconstructive</w:t>
      </w:r>
    </w:p>
    <w:p>
      <w:pPr>
        <w:shd w:fill="F2F2F2" w:val="clear"/>
        <w:spacing w:after="0" w:line="260"/>
      </w:pPr>
      <w:r>
        <w:rPr>
          <w:rFonts w:ascii="Courier New" w:cs="Courier New" w:eastAsia="Courier New" w:hAnsi="Courier New"/>
          <w:sz w:val="18"/>
          <w:szCs w:val="18"/>
        </w:rPr>
        <w:t xml:space="preserve">memory, physiology/affect state, social contagion + WhatsApp media diet).</w:t>
      </w:r>
    </w:p>
    <w:p>
      <w:pPr>
        <w:shd w:fill="F2F2F2" w:val="clear"/>
        <w:spacing w:after="0" w:line="260"/>
      </w:pPr>
      <w:r>
        <w:rPr>
          <w:rFonts w:ascii="Courier New" w:cs="Courier New" w:eastAsia="Courier New" w:hAnsi="Courier New"/>
          <w:sz w:val="18"/>
          <w:szCs w:val="18"/>
        </w:rPr>
        <w:t xml:space="preserve"> </w:t>
      </w:r>
    </w:p>
    <w:p>
      <w:pPr>
        <w:shd w:fill="F2F2F2" w:val="clear"/>
        <w:spacing w:after="0" w:line="260"/>
      </w:pPr>
      <w:r>
        <w:rPr>
          <w:rFonts w:ascii="Courier New" w:cs="Courier New" w:eastAsia="Courier New" w:hAnsi="Courier New"/>
          <w:sz w:val="18"/>
          <w:szCs w:val="18"/>
        </w:rPr>
        <w:t xml:space="preserve">DECISION ENGINE (the science layer)</w:t>
      </w:r>
    </w:p>
    <w:p>
      <w:pPr>
        <w:shd w:fill="F2F2F2" w:val="clear"/>
        <w:spacing w:after="0" w:line="260"/>
      </w:pPr>
      <w:r>
        <w:rPr>
          <w:rFonts w:ascii="Courier New" w:cs="Courier New" w:eastAsia="Courier New" w:hAnsi="Courier New"/>
          <w:sz w:val="18"/>
          <w:szCs w:val="18"/>
        </w:rPr>
        <w:t xml:space="preserve">Predictive-processing backbone (belief = prior x precision; action = self-evidencing)</w:t>
      </w:r>
    </w:p>
    <w:p>
      <w:pPr>
        <w:shd w:fill="F2F2F2" w:val="clear"/>
        <w:spacing w:after="0" w:line="260"/>
      </w:pPr>
      <w:r>
        <w:rPr>
          <w:rFonts w:ascii="Courier New" w:cs="Courier New" w:eastAsia="Courier New" w:hAnsi="Courier New"/>
          <w:sz w:val="18"/>
          <w:szCs w:val="18"/>
        </w:rPr>
        <w:t xml:space="preserve">carrying: a valuation engine (utility latent, reward-prediction-error learning,</w:t>
      </w:r>
    </w:p>
    <w:p>
      <w:pPr>
        <w:shd w:fill="F2F2F2" w:val="clear"/>
        <w:spacing w:after="0" w:line="260"/>
      </w:pPr>
      <w:r>
        <w:rPr>
          <w:rFonts w:ascii="Courier New" w:cs="Courier New" w:eastAsia="Courier New" w:hAnsi="Courier New"/>
          <w:sz w:val="18"/>
          <w:szCs w:val="18"/>
        </w:rPr>
        <w:t xml:space="preserve">wanting != liking, drift-diffusion choice, somatic pre-filter); a dual-process</w:t>
      </w:r>
    </w:p>
    <w:p>
      <w:pPr>
        <w:shd w:fill="F2F2F2" w:val="clear"/>
        <w:spacing w:after="0" w:line="260"/>
      </w:pPr>
      <w:r>
        <w:rPr>
          <w:rFonts w:ascii="Courier New" w:cs="Courier New" w:eastAsia="Courier New" w:hAnsi="Courier New"/>
          <w:sz w:val="18"/>
          <w:szCs w:val="18"/>
        </w:rPr>
        <w:t xml:space="preserve">controller (fast default, model-free habit under stress); a hybrid emotion engine</w:t>
      </w:r>
    </w:p>
    <w:p>
      <w:pPr>
        <w:shd w:fill="F2F2F2" w:val="clear"/>
        <w:spacing w:after="0" w:line="260"/>
      </w:pPr>
      <w:r>
        <w:rPr>
          <w:rFonts w:ascii="Courier New" w:cs="Courier New" w:eastAsia="Courier New" w:hAnsi="Courier New"/>
          <w:sz w:val="18"/>
          <w:szCs w:val="18"/>
        </w:rPr>
        <w:t xml:space="preserve">(core affect x Panksepp drives x appraisal x cultural concepts, e.g. lajja); a</w:t>
      </w:r>
    </w:p>
    <w:p>
      <w:pPr>
        <w:shd w:fill="F2F2F2" w:val="clear"/>
        <w:spacing w:after="0" w:line="260"/>
      </w:pPr>
      <w:r>
        <w:rPr>
          <w:rFonts w:ascii="Courier New" w:cs="Courier New" w:eastAsia="Courier New" w:hAnsi="Courier New"/>
          <w:sz w:val="18"/>
          <w:szCs w:val="18"/>
        </w:rPr>
        <w:t xml:space="preserve">reconstructive memory with a confabulating interpreter; an intuition-first moral/</w:t>
      </w:r>
    </w:p>
    <w:p>
      <w:pPr>
        <w:shd w:fill="F2F2F2" w:val="clear"/>
        <w:spacing w:after="0" w:line="260"/>
      </w:pPr>
      <w:r>
        <w:rPr>
          <w:rFonts w:ascii="Courier New" w:cs="Courier New" w:eastAsia="Courier New" w:hAnsi="Courier New"/>
          <w:sz w:val="18"/>
          <w:szCs w:val="18"/>
        </w:rPr>
        <w:t xml:space="preserve">social layer; an economic layer where present-bias and bandwidth are functions of a</w:t>
      </w:r>
    </w:p>
    <w:p>
      <w:pPr>
        <w:shd w:fill="F2F2F2" w:val="clear"/>
        <w:spacing w:after="0" w:line="260"/>
      </w:pPr>
      <w:r>
        <w:rPr>
          <w:rFonts w:ascii="Courier New" w:cs="Courier New" w:eastAsia="Courier New" w:hAnsi="Courier New"/>
          <w:sz w:val="18"/>
          <w:szCs w:val="18"/>
        </w:rPr>
        <w:t xml:space="preserve">scarcity-state variable. Carry the caveats: loss aversion isn't constant; 'two</w:t>
      </w:r>
    </w:p>
    <w:p>
      <w:pPr>
        <w:shd w:fill="F2F2F2" w:val="clear"/>
        <w:spacing w:after="0" w:line="260"/>
      </w:pPr>
      <w:r>
        <w:rPr>
          <w:rFonts w:ascii="Courier New" w:cs="Courier New" w:eastAsia="Courier New" w:hAnsi="Courier New"/>
          <w:sz w:val="18"/>
          <w:szCs w:val="18"/>
        </w:rPr>
        <w:t xml:space="preserve">systems' is an abstraction; the free-energy principle is a scaffold to calibrate.</w:t>
      </w:r>
    </w:p>
    <w:p>
      <w:pPr>
        <w:shd w:fill="F2F2F2" w:val="clear"/>
        <w:spacing w:after="0" w:line="260"/>
      </w:pPr>
      <w:r>
        <w:rPr>
          <w:rFonts w:ascii="Courier New" w:cs="Courier New" w:eastAsia="Courier New" w:hAnsi="Courier New"/>
          <w:sz w:val="18"/>
          <w:szCs w:val="18"/>
        </w:rPr>
        <w:t xml:space="preserve"> </w:t>
      </w:r>
    </w:p>
    <w:p>
      <w:pPr>
        <w:shd w:fill="F2F2F2" w:val="clear"/>
        <w:spacing w:after="0" w:line="260"/>
      </w:pPr>
      <w:r>
        <w:rPr>
          <w:rFonts w:ascii="Courier New" w:cs="Courier New" w:eastAsia="Courier New" w:hAnsi="Courier New"/>
          <w:sz w:val="18"/>
          <w:szCs w:val="18"/>
        </w:rPr>
        <w:t xml:space="preserve">FIRST TASK</w:t>
      </w:r>
    </w:p>
    <w:p>
      <w:pPr>
        <w:shd w:fill="F2F2F2" w:val="clear"/>
        <w:spacing w:after="0" w:line="260"/>
      </w:pPr>
      <w:r>
        <w:rPr>
          <w:rFonts w:ascii="Courier New" w:cs="Courier New" w:eastAsia="Courier New" w:hAnsi="Courier New"/>
          <w:sz w:val="18"/>
          <w:szCs w:val="18"/>
        </w:rPr>
        <w:t xml:space="preserve">Stand up the validation harness (three fidelity targets + OOD hold-out + PPI), then</w:t>
      </w:r>
    </w:p>
    <w:p>
      <w:pPr>
        <w:shd w:fill="F2F2F2" w:val="clear"/>
        <w:spacing w:after="0" w:line="260"/>
      </w:pPr>
      <w:r>
        <w:rPr>
          <w:rFonts w:ascii="Courier New" w:cs="Courier New" w:eastAsia="Courier New" w:hAnsi="Courier New"/>
          <w:sz w:val="18"/>
          <w:szCs w:val="18"/>
        </w:rPr>
        <w:t xml:space="preserve">implement ONE persona ('Sunita Devi') end to end as a runnable decision loop: memory</w:t>
      </w:r>
    </w:p>
    <w:p>
      <w:pPr>
        <w:shd w:fill="F2F2F2" w:val="clear"/>
        <w:spacing w:after="0" w:line="260"/>
      </w:pPr>
      <w:r>
        <w:rPr>
          <w:rFonts w:ascii="Courier New" w:cs="Courier New" w:eastAsia="Courier New" w:hAnsi="Courier New"/>
          <w:sz w:val="18"/>
          <w:szCs w:val="18"/>
        </w:rPr>
        <w:t xml:space="preserve">store + retrieval scoring + psyche-vector prompt assembly + idiolect + one</w:t>
      </w:r>
    </w:p>
    <w:p>
      <w:pPr>
        <w:shd w:fill="F2F2F2" w:val="clear"/>
        <w:spacing w:after="0" w:line="260"/>
      </w:pPr>
      <w:r>
        <w:rPr>
          <w:rFonts w:ascii="Courier New" w:cs="Courier New" w:eastAsia="Courier New" w:hAnsi="Courier New"/>
          <w:sz w:val="18"/>
          <w:szCs w:val="18"/>
        </w:rPr>
        <w:t xml:space="preserve">physiological state variable + one scenario. Show the decision trace. Apply the</w:t>
      </w:r>
    </w:p>
    <w:p>
      <w:pPr>
        <w:shd w:fill="F2F2F2" w:val="clear"/>
        <w:spacing w:after="0" w:line="260"/>
      </w:pPr>
      <w:r>
        <w:rPr>
          <w:rFonts w:ascii="Courier New" w:cs="Courier New" w:eastAsia="Courier New" w:hAnsi="Courier New"/>
          <w:sz w:val="18"/>
          <w:szCs w:val="18"/>
        </w:rPr>
        <w:t xml:space="preserve">Phase-0 kill criteria before scaling. Reference the full design specification.</w:t>
      </w:r>
    </w:p>
    <w:p>
      <w:r>
        <w:br w:type="page"/>
      </w:r>
    </w:p>
    <w:p>
      <w:pPr>
        <w:pStyle w:val="Heading1"/>
      </w:pPr>
      <w:r>
        <w:t xml:space="preserve">Appendix B. Per-Persona Parameter Schema</w:t>
      </w:r>
    </w:p>
    <w:p>
      <w:pPr>
        <w:spacing w:after="140" w:line="288"/>
        <w:jc w:val="both"/>
      </w:pPr>
      <w:r>
        <w:t xml:space="preserve">Each persona is the demographic skeleton plus the following parameter set. State-dependent parameters change with time, season, or scarcity.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Group</w:t>
            </w:r>
          </w:p>
        </w:tc>
        <w:tc>
          <w:tcPr>
            <w:tcW w:type="dxa" w:w="7160"/>
            <w:tcBorders>
              <w:top w:val="single" w:color="BBBBBB" w:sz="1"/>
              <w:left w:val="single" w:color="BBBBBB" w:sz="1"/>
              <w:bottom w:val="single" w:color="BBBBBB" w:sz="1"/>
              <w:right w:val="single" w:color="BBBBBB" w:sz="1"/>
            </w:tcBorders>
            <w:shd w:fill="DCE6F1" w:val="clear"/>
            <w:tcMar>
              <w:top w:type="dxa" w:w="70"/>
              <w:left w:type="dxa" w:w="110"/>
              <w:bottom w:type="dxa" w:w="70"/>
              <w:right w:type="dxa" w:w="110"/>
            </w:tcMar>
          </w:tcPr>
          <w:p>
            <w:pPr>
              <w:spacing w:after="0" w:line="264"/>
            </w:pPr>
            <w:r>
              <w:rPr>
                <w:b/>
                <w:bCs/>
              </w:rPr>
              <w:t xml:space="preserve">Parameters</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Identity (skeleton)</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languages, script, state/district, tier, jati, varna category, religion, NCCS grade, occupation sector, role/tenure, household type/size, age, gender, generation, digital access, migration status.</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Psyche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HEXACO (6, mean + variance), Schwartz value ranks (10), Moral-Foundations weights (6), locus of control, religiosity, cognitive-bias intensities.</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Cognitive knobs</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prior precision (per belief), reflective disposition, utility curvature, loss-aversion, probability-weighting, present-bias, long-run discount.</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Drives &amp; reward</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primary-drive baselines; decoupled wanting and liking per relevant reward; learned somatic-marker associations.</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Culture pack</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power distance, self-construal, attribution style, cognition style, locus, emotion-concept vocabulary (e.g., lajja).</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Mind &amp; self</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memory stream; episodic/semantic/procedural stores; reflections; goal stack; theory-of-mind tables; self-story scenes; hypocrisy profile.</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Voice &amp; social</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idiolect profile (lexicon, proverbs, honorifics, code-switch ratios); audience registry; relationship graph with tie weights; media diet with source-trust weights.</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State-dependent</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core affect (valence, arousal); physiological state (circadian, hunger, fatigue, fasting, illness); scarcity state (days-to-payday, cash vs subsistence, harvest phase).</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Provenance</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grounding sources; anchor-interview links; representativeness weight; per-attribute confidence.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2"/>
      </w:pBdr>
      <w:jc w:val="right"/>
    </w:pPr>
    <w:r>
      <w:rPr>
        <w:i/>
        <w:iCs/>
        <w:color w:val="666666"/>
        <w:sz w:val="16"/>
        <w:szCs w:val="16"/>
      </w:rPr>
      <w:t xml:space="preserve">Synthetic Indian Personas —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e-_cixcn8lrv3w7edwsw" Type="http://schemas.openxmlformats.org/officeDocument/2006/relationships/hyperlink" Target="https://huggingface.co/datasets/nvidia/Nemotron-Personas-India" TargetMode="External"/><Relationship Id="rIdkgdhkcqpeqp8zz7_w2f1f" Type="http://schemas.openxmlformats.org/officeDocument/2006/relationships/hyperlink" Target="https://github.com/tencent-ailab/persona-hub" TargetMode="External"/><Relationship Id="rIdtugoyk6m0jupoc4eptzqw" Type="http://schemas.openxmlformats.org/officeDocument/2006/relationships/hyperlink" Target="https://github.com/Dirguis/ipfn" TargetMode="External"/><Relationship Id="rId5w-xnadr4ld63gleygesv" Type="http://schemas.openxmlformats.org/officeDocument/2006/relationships/hyperlink" Target="https://github.com/AI4Bharat/IndicTrans2" TargetMode="External"/><Relationship Id="rId2xycb7fs-ng6qleg4xy5i" Type="http://schemas.openxmlformats.org/officeDocument/2006/relationships/hyperlink" Target="https://github.com/AI4Bharat/IndicLLMSuite" TargetMode="External"/><Relationship Id="rId6cwd7vkzhh-kydos2oemf" Type="http://schemas.openxmlformats.org/officeDocument/2006/relationships/hyperlink" Target="https://github.com/ekzhu/datasketch" TargetMode="External"/><Relationship Id="rIdkxdbf7h3zjhs-3yg_zzvr" Type="http://schemas.openxmlformats.org/officeDocument/2006/relationships/hyperlink" Target="https://github.com/UKPLab/sentence-transformers" TargetMode="External"/><Relationship Id="rIdfn7yvlme7bo0pok7itzto" Type="http://schemas.openxmlformats.org/officeDocument/2006/relationships/hyperlink" Target="https://github.com/joonspk-research/generative_agents" TargetMode="External"/><Relationship Id="rId-ymkl62nxq-rrytajgmx8" Type="http://schemas.openxmlformats.org/officeDocument/2006/relationships/hyperlink" Target="https://github.com/google-deepmind/concordia" TargetMode="External"/><Relationship Id="rIdtiz3o03ftwm46gaton0ph" Type="http://schemas.openxmlformats.org/officeDocument/2006/relationships/hyperlink" Target="https://github.com/letta-ai/letta" TargetMode="External"/><Relationship Id="rIdg9ujrygi2v86r0bp1pnfg" Type="http://schemas.openxmlformats.org/officeDocument/2006/relationships/hyperlink" Target="https://github.com/agiresearch/A-mem" TargetMode="External"/><Relationship Id="rId9cdqwxbsral0iz7digdqn" Type="http://schemas.openxmlformats.org/officeDocument/2006/relationships/hyperlink" Target="https://github.com/camel-ai/oasis" TargetMode="External"/><Relationship Id="rId0jqhe36dst1ndf07nuvu5" Type="http://schemas.openxmlformats.org/officeDocument/2006/relationships/hyperlink" Target="https://github.com/tsinghua-fib-lab/AgentSociety" TargetMode="External"/><Relationship Id="rIdwka5yvrcezrrfdez6l6gq" Type="http://schemas.openxmlformats.org/officeDocument/2006/relationships/hyperlink" Target="https://github.com/ActivitySim/activitysim" TargetMode="External"/><Relationship Id="rIdib74g27sqvdlmnyod1cka" Type="http://schemas.openxmlformats.org/officeDocument/2006/relationships/hyperlink" Target="https://github.com/aangelopoulos/ppi_py" TargetMode="External"/><Relationship Id="rId8hfe36xrvn6xeie-qqoh0" Type="http://schemas.openxmlformats.org/officeDocument/2006/relationships/hyperlink" Target="https://github.com/joke2k/faker"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2026-06-07T07:48:35.870Z</dcterms:created>
  <dcterms:modified xsi:type="dcterms:W3CDTF">2026-06-07T07:48:35.870Z</dcterms:modified>
</cp:coreProperties>
</file>

<file path=docProps/custom.xml><?xml version="1.0" encoding="utf-8"?>
<Properties xmlns="http://schemas.openxmlformats.org/officeDocument/2006/custom-properties" xmlns:vt="http://schemas.openxmlformats.org/officeDocument/2006/docPropsVTypes"/>
</file>