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00000"/>
          <w:sz w:val="22"/>
        </w:rPr>
        <w:t>KARARY UNIVERSITY — COLLEGE OF ELECTRICAL ENGINEERING</w:t>
        <w:br/>
        <w:t>DEPARTMENT OF CONTROL &amp; COMPUTER ENGINEERING</w:t>
      </w:r>
    </w:p>
    <w:p>
      <w:pPr>
        <w:spacing w:before="80" w:after="400"/>
        <w:jc w:val="center"/>
      </w:pPr>
      <w:r>
        <w:rPr>
          <w:rFonts w:ascii="Times New Roman" w:hAnsi="Times New Roman"/>
          <w:b/>
          <w:color w:val="000000"/>
          <w:sz w:val="24"/>
        </w:rPr>
        <w:t>GRADUATION PROJECT THESIS (B.Sc. HONOURS) | ACADEMIC YEAR 2025–2026</w:t>
        <w:br/>
        <w:t>AUTONOMOUS TRAJECTORY PREDICTION AND STATE ESTIMATION SYSTEM FOR GPS-DENIED QUADROTOR NAVIGATION</w:t>
      </w:r>
    </w:p>
    <w:p>
      <w:pPr>
        <w:spacing w:before="200" w:after="80"/>
        <w:jc w:val="center"/>
      </w:pPr>
      <w:r>
        <w:rPr>
          <w:rFonts w:ascii="Times New Roman" w:hAnsi="Times New Roman"/>
          <w:b/>
          <w:color w:val="000000"/>
          <w:sz w:val="36"/>
        </w:rPr>
        <w:t>CHAPTER 3</w:t>
      </w:r>
    </w:p>
    <w:p>
      <w:pPr>
        <w:spacing w:before="80" w:after="480"/>
        <w:jc w:val="center"/>
      </w:pPr>
      <w:r>
        <w:rPr>
          <w:rFonts w:ascii="Times New Roman" w:hAnsi="Times New Roman"/>
          <w:b/>
          <w:color w:val="000000"/>
          <w:sz w:val="36"/>
        </w:rPr>
        <w:t>METHODOLOGY AND SYSTEM ARCHITECTURE</w:t>
      </w:r>
    </w:p>
    <w:p>
      <w:pPr>
        <w:keepNext/>
        <w:spacing w:line="360" w:lineRule="auto" w:before="360" w:after="120"/>
        <w:jc w:val="left"/>
      </w:pPr>
      <w:r>
        <w:rPr>
          <w:rFonts w:ascii="Times New Roman" w:hAnsi="Times New Roman"/>
          <w:b/>
          <w:color w:val="000000"/>
          <w:sz w:val="28"/>
          <w:u w:val="single"/>
        </w:rPr>
        <w:t>3.1 Introduction</w:t>
      </w:r>
    </w:p>
    <w:p>
      <w:pPr>
        <w:spacing w:line="360" w:lineRule="auto" w:before="0" w:after="160"/>
        <w:ind w:firstLine="567"/>
        <w:jc w:val="both"/>
      </w:pPr>
      <w:r>
        <w:rPr>
          <w:rFonts w:ascii="Times New Roman" w:hAnsi="Times New Roman"/>
          <w:color w:val="000000"/>
          <w:sz w:val="24"/>
        </w:rPr>
        <w:t>Autonomous navigation of Unmanned Aerial Vehicles (UAVs) in urban environments without continuous Global Navigation Satellite System (GNSS) aiding represents one of the most critical frontiers in modern robotics, estimation theory, and intelligent flight control. In metropolitan environments, direct satellite signals are frequently degraded, severely attenuated, or entirely eliminated by tall architectural structures—a phenomenon universally known as the 'urban canyon' effect. Furthermore, tactical and operational scenarios increasingly require UAVs to execute low-altitude missions beneath bridges, within industrial warehouses, through indoor-outdoor transition corridors, and under adverse meteorological disturbances (such as heavy precipitation, wind gusts, and thermal turbulence), where GNSS positioning is either physically unavailable or vulnerable to electromagnetic jamming and spoofing.</w:t>
      </w:r>
    </w:p>
    <w:p>
      <w:pPr>
        <w:spacing w:line="360" w:lineRule="auto" w:before="0" w:after="160"/>
        <w:ind w:firstLine="567"/>
        <w:jc w:val="both"/>
      </w:pPr>
      <w:r>
        <w:rPr>
          <w:rFonts w:ascii="Times New Roman" w:hAnsi="Times New Roman"/>
          <w:color w:val="000000"/>
          <w:sz w:val="24"/>
        </w:rPr>
        <w:t>Under unassisted inertial navigation, a quadrotor relies exclusively on onboard strapdown Inertial Measurement Units (IMUs) comprising tri-axial gyroscopes and tri-axial accelerometers. When integrated over time, sensor noise, stochastic thermal drift, and unmodeled bias instabilities cause the estimated kinematic state to diverge quadratically with time in position and linearly in velocity. Classical Error-State Extended Kalman Filters (ESKF) running in prediction-only mode can propagate uncertainty covariances rigorously, but they fundamentally cannot eliminate unobserved bias or arrest dead-reckoning drift without external aiding measurements.</w:t>
      </w:r>
    </w:p>
    <w:p>
      <w:pPr>
        <w:spacing w:line="360" w:lineRule="auto" w:before="0" w:after="160"/>
        <w:ind w:firstLine="567"/>
        <w:jc w:val="both"/>
      </w:pPr>
      <w:r>
        <w:rPr>
          <w:rFonts w:ascii="Times New Roman" w:hAnsi="Times New Roman"/>
          <w:color w:val="000000"/>
          <w:sz w:val="24"/>
        </w:rPr>
        <w:t>To surmount this fundamental limitation, this graduation project investigates an innovative hybrid methodology: harnessing deep recurrent neural networks (specifically Gated Recurrent Units, GRU) to learn nonlinear motion-drift corrections directly from temporal kinematic patterns, sensor uncertainty, and attitude representations. When treated as an artificial velocity pseudo-measurement and strictly regulated by rigorous statistical safety gates, this learned correction can recursively arrest inertial drift in real time. This chapter presents an exhaustive, technically rigorous account of the end-to-end methodology: the curated 1.422-million-sample multi-source real-flight corpus, the 15-state ESKF kinematic formulation, the GRU v3 temporal architecture, the on-policy training regime, the multi-tiered safety gating policy, the integration into a real-time Three.js 3D urban simulation, and empirical trajectory evaluations conducted across multiple flight geometries and weather conditions.</w:t>
      </w:r>
    </w:p>
    <w:p>
      <w:pPr>
        <w:keepNext/>
        <w:spacing w:line="360" w:lineRule="auto" w:before="360" w:after="120"/>
        <w:jc w:val="left"/>
      </w:pPr>
      <w:r>
        <w:rPr>
          <w:rFonts w:ascii="Times New Roman" w:hAnsi="Times New Roman"/>
          <w:b/>
          <w:color w:val="000000"/>
          <w:sz w:val="28"/>
          <w:u w:val="single"/>
        </w:rPr>
        <w:t>3.2 Overall System Architecture</w:t>
      </w:r>
    </w:p>
    <w:p>
      <w:pPr>
        <w:spacing w:line="360" w:lineRule="auto" w:before="0" w:after="160"/>
        <w:ind w:firstLine="567"/>
        <w:jc w:val="both"/>
      </w:pPr>
      <w:r>
        <w:rPr>
          <w:rFonts w:ascii="Times New Roman" w:hAnsi="Times New Roman"/>
          <w:color w:val="000000"/>
          <w:sz w:val="24"/>
        </w:rPr>
        <w:t>The proposed system is structured around an asynchronous, multi-rate, decoupled client-server architecture designed to resolve the computational tension between real-time 60–100 Hz physical simulation and computationally intensive deep learning inference. In monolithic simulation frameworks, executing deep neural networks directly inside the physics or rendering loop triggers thread blocking, dropped frames, and unstable numerical integration of quadrotor dynamics. Our architecture enforces strict modular separation across three distinct computational tiers interconnected via high-speed local TCP/IP networking, as illustrated in Figure 3.1.</w:t>
      </w:r>
    </w:p>
    <w:p>
      <w:pPr>
        <w:spacing w:before="200" w:after="80"/>
        <w:jc w:val="center"/>
      </w:pPr>
      <w:r>
        <w:drawing>
          <wp:inline xmlns:a="http://schemas.openxmlformats.org/drawingml/2006/main" xmlns:pic="http://schemas.openxmlformats.org/drawingml/2006/picture">
            <wp:extent cx="5303520" cy="2753751"/>
            <wp:docPr id="1" name="Picture 1"/>
            <wp:cNvGraphicFramePr>
              <a:graphicFrameLocks noChangeAspect="1"/>
            </wp:cNvGraphicFramePr>
            <a:graphic>
              <a:graphicData uri="http://schemas.openxmlformats.org/drawingml/2006/picture">
                <pic:pic>
                  <pic:nvPicPr>
                    <pic:cNvPr id="0" name="fig_system_architecture.png"/>
                    <pic:cNvPicPr/>
                  </pic:nvPicPr>
                  <pic:blipFill>
                    <a:blip r:embed="rId10"/>
                    <a:stretch>
                      <a:fillRect/>
                    </a:stretch>
                  </pic:blipFill>
                  <pic:spPr>
                    <a:xfrm>
                      <a:off x="0" y="0"/>
                      <a:ext cx="5303520" cy="2753751"/>
                    </a:xfrm>
                    <a:prstGeom prst="rect"/>
                  </pic:spPr>
                </pic:pic>
              </a:graphicData>
            </a:graphic>
          </wp:inline>
        </w:drawing>
      </w:r>
    </w:p>
    <w:p>
      <w:pPr>
        <w:spacing w:before="40" w:after="240" w:line="360" w:lineRule="auto"/>
        <w:jc w:val="center"/>
      </w:pPr>
      <w:r>
        <w:rPr>
          <w:rFonts w:ascii="Times New Roman" w:hAnsi="Times New Roman"/>
          <w:b/>
          <w:color w:val="000000"/>
          <w:sz w:val="21"/>
        </w:rPr>
        <w:t>Figure 3.1: Complete Multi-Tier System Architecture and Inter-Service Communication Dataflow</w:t>
      </w:r>
    </w:p>
    <w:p>
      <w:pPr>
        <w:spacing w:line="360" w:lineRule="auto" w:before="0" w:after="160"/>
        <w:ind w:firstLine="567"/>
        <w:jc w:val="both"/>
      </w:pPr>
      <w:r>
        <w:rPr>
          <w:rFonts w:ascii="Times New Roman" w:hAnsi="Times New Roman"/>
          <w:color w:val="000000"/>
          <w:sz w:val="24"/>
        </w:rPr>
        <w:t>The complete system comprises three tightly synchronized subsystems operating across dedicated ports:</w:t>
      </w:r>
    </w:p>
    <w:p>
      <w:pPr>
        <w:spacing w:line="360" w:lineRule="auto" w:before="0" w:after="120"/>
        <w:ind w:left="680" w:hanging="340"/>
        <w:jc w:val="both"/>
      </w:pPr>
      <w:r>
        <w:rPr>
          <w:rFonts w:ascii="Times New Roman" w:hAnsi="Times New Roman"/>
          <w:b/>
          <w:color w:val="000000"/>
          <w:sz w:val="24"/>
        </w:rPr>
        <w:t xml:space="preserve">• </w:t>
      </w:r>
      <w:r>
        <w:rPr>
          <w:rFonts w:ascii="Times New Roman" w:hAnsi="Times New Roman"/>
          <w:b/>
          <w:color w:val="000000"/>
          <w:sz w:val="24"/>
        </w:rPr>
        <w:t xml:space="preserve">Tier 1 — High-Fidelity WebGL Simulation Client (Port 3000): </w:t>
      </w:r>
      <w:r>
        <w:rPr>
          <w:rFonts w:ascii="Times New Roman" w:hAnsi="Times New Roman"/>
          <w:color w:val="000000"/>
          <w:sz w:val="24"/>
        </w:rPr>
        <w:t>Built using Three.js and bundled with Vite. This client executes the 6-DoF quadrotor rigid-body equations of motion at a fixed 100 Hz simulation timestep, generates procedural 3D urban environments with Physically Based Rendering (PBR) materials, simulates synthetic sensor noise (IMU, barometer, magnetometer), and hosts the user-interactive route-drawing interface.</w:t>
      </w:r>
    </w:p>
    <w:p>
      <w:pPr>
        <w:spacing w:line="360" w:lineRule="auto" w:before="0" w:after="120"/>
        <w:ind w:left="680" w:hanging="340"/>
        <w:jc w:val="both"/>
      </w:pPr>
      <w:r>
        <w:rPr>
          <w:rFonts w:ascii="Times New Roman" w:hAnsi="Times New Roman"/>
          <w:b/>
          <w:color w:val="000000"/>
          <w:sz w:val="24"/>
        </w:rPr>
        <w:t xml:space="preserve">• </w:t>
      </w:r>
      <w:r>
        <w:rPr>
          <w:rFonts w:ascii="Times New Roman" w:hAnsi="Times New Roman"/>
          <w:b/>
          <w:color w:val="000000"/>
          <w:sz w:val="24"/>
        </w:rPr>
        <w:t xml:space="preserve">Tier 2 — Python FastAPI GRU V3 Inference Bridge (Port 8765): </w:t>
      </w:r>
      <w:r>
        <w:rPr>
          <w:rFonts w:ascii="Times New Roman" w:hAnsi="Times New Roman"/>
          <w:color w:val="000000"/>
          <w:sz w:val="24"/>
        </w:rPr>
        <w:t>Hosts the frozen PyTorch GRU V3 deep neural network (`PROJECT_GHOST_GRU_V3_BEST_VALIDATION.pt`). It receives batches of 101x24 temporal feature tensors via HTTP POST requests, executes GPU/CPU forward inference, de-normalizes the predictions, and returns the physical 3D velocity residual vector delta_v in under 15 milliseconds.</w:t>
      </w:r>
    </w:p>
    <w:p>
      <w:pPr>
        <w:spacing w:line="360" w:lineRule="auto" w:before="0" w:after="120"/>
        <w:ind w:left="680" w:hanging="340"/>
        <w:jc w:val="both"/>
      </w:pPr>
      <w:r>
        <w:rPr>
          <w:rFonts w:ascii="Times New Roman" w:hAnsi="Times New Roman"/>
          <w:b/>
          <w:color w:val="000000"/>
          <w:sz w:val="24"/>
        </w:rPr>
        <w:t xml:space="preserve">• </w:t>
      </w:r>
      <w:r>
        <w:rPr>
          <w:rFonts w:ascii="Times New Roman" w:hAnsi="Times New Roman"/>
          <w:b/>
          <w:color w:val="000000"/>
          <w:sz w:val="24"/>
        </w:rPr>
        <w:t xml:space="preserve">Tier 3 — Python FastAPI PULP-DroNet Vision Avoidance Bridge (Port 8766): </w:t>
      </w:r>
      <w:r>
        <w:rPr>
          <w:rFonts w:ascii="Times New Roman" w:hAnsi="Times New Roman"/>
          <w:color w:val="000000"/>
          <w:sz w:val="24"/>
        </w:rPr>
        <w:t>Hosts the lightweight convolutional ResBlock-1.0 vision model. It processes 200x200 grayscale sensor frames rendered from the quadrotor's forward-facing virtual camera, predicting steering offset angles and collision probabilities to provide reactive obstacle avoidance overrides.</w:t>
      </w:r>
    </w:p>
    <w:p>
      <w:pPr>
        <w:spacing w:line="360" w:lineRule="auto" w:before="0" w:after="160"/>
        <w:ind w:firstLine="567"/>
        <w:jc w:val="both"/>
      </w:pPr>
      <w:r>
        <w:rPr>
          <w:rFonts w:ascii="Times New Roman" w:hAnsi="Times New Roman"/>
          <w:color w:val="000000"/>
          <w:sz w:val="24"/>
        </w:rPr>
        <w:t>A foundational architectural principle implemented in this project is the Dual-State ESKF Formulation (C0 Architecture). To avoid corrupting the neural network's input feature distribution through uncontrolled recursive feedback, two distinct estimator streams are maintained simultaneously: (1) The Feature ESKF, which runs in pure prediction-only mode using raw IMU integration, precisely preserving the nominal state distribution on which the neural network was trained; and (2) The Aided ESKF, which incorporates the statistically gated pseudo-velocity corrections to maintain the accurate state estimate utilized by the flight controller and HUD. Table 3.1 summarizes the operational specifications and communication contracts of each system module.</w:t>
      </w:r>
    </w:p>
    <w:p>
      <w:pPr>
        <w:spacing w:before="200" w:after="80" w:line="360" w:lineRule="auto"/>
        <w:jc w:val="center"/>
      </w:pPr>
      <w:r>
        <w:rPr>
          <w:rFonts w:ascii="Times New Roman" w:hAnsi="Times New Roman"/>
          <w:b/>
          <w:color w:val="000000"/>
          <w:sz w:val="21"/>
        </w:rPr>
        <w:t>Table 3.1: System Modules, Network Ports, Execution Rates, and Operational Contracts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000000"/>
          <w:insideV w:val="single" w:sz="4" w:space="0" w:color="000000"/>
          <w:left w:val="single" w:sz="6" w:space="0" w:color="000000"/>
          <w:right w:val="single" w:sz="6" w:space="0" w:color="000000"/>
        </w:tblBorders>
      </w:tblPr>
      <w:tblGrid>
        <w:gridCol w:w="1871"/>
        <w:gridCol w:w="1871"/>
        <w:gridCol w:w="1871"/>
        <w:gridCol w:w="1871"/>
        <w:gridCol w:w="1871"/>
      </w:tblGrid>
      <w:tr>
        <w:tc>
          <w:tcPr>
            <w:tcW w:type="dxa" w:w="1701"/>
            <w:vAlign w:val="center"/>
            <w:tcMar>
              <w:top w:w="80" w:type="dxa"/>
              <w:bottom w:w="80" w:type="dxa"/>
              <w:left w:w="110" w:type="dxa"/>
              <w:right w:w="110" w:type="dxa"/>
            </w:tcMar>
            <w:shd w:fill="E2E8F0" w:val="clear"/>
          </w:tcPr>
          <w:p>
            <w:pPr>
              <w:spacing w:line="360" w:lineRule="auto" w:before="40" w:after="40"/>
              <w:jc w:val="center"/>
            </w:pPr>
            <w:r>
              <w:rPr>
                <w:rFonts w:ascii="Times New Roman" w:hAnsi="Times New Roman"/>
                <w:b/>
                <w:color w:val="000000"/>
                <w:sz w:val="20"/>
              </w:rPr>
              <w:t>System Module</w:t>
            </w:r>
          </w:p>
        </w:tc>
        <w:tc>
          <w:tcPr>
            <w:tcW w:type="dxa" w:w="1814"/>
            <w:vAlign w:val="center"/>
            <w:tcMar>
              <w:top w:w="80" w:type="dxa"/>
              <w:bottom w:w="80" w:type="dxa"/>
              <w:left w:w="110" w:type="dxa"/>
              <w:right w:w="110" w:type="dxa"/>
            </w:tcMar>
            <w:shd w:fill="E2E8F0" w:val="clear"/>
          </w:tcPr>
          <w:p>
            <w:pPr>
              <w:spacing w:line="360" w:lineRule="auto" w:before="40" w:after="40"/>
              <w:jc w:val="center"/>
            </w:pPr>
            <w:r>
              <w:rPr>
                <w:rFonts w:ascii="Times New Roman" w:hAnsi="Times New Roman"/>
                <w:b/>
                <w:color w:val="000000"/>
                <w:sz w:val="20"/>
              </w:rPr>
              <w:t>Network Endpoint</w:t>
            </w:r>
          </w:p>
        </w:tc>
        <w:tc>
          <w:tcPr>
            <w:tcW w:type="dxa" w:w="1587"/>
            <w:vAlign w:val="center"/>
            <w:tcMar>
              <w:top w:w="80" w:type="dxa"/>
              <w:bottom w:w="80" w:type="dxa"/>
              <w:left w:w="110" w:type="dxa"/>
              <w:right w:w="110" w:type="dxa"/>
            </w:tcMar>
            <w:shd w:fill="E2E8F0" w:val="clear"/>
          </w:tcPr>
          <w:p>
            <w:pPr>
              <w:spacing w:line="360" w:lineRule="auto" w:before="40" w:after="40"/>
              <w:jc w:val="center"/>
            </w:pPr>
            <w:r>
              <w:rPr>
                <w:rFonts w:ascii="Times New Roman" w:hAnsi="Times New Roman"/>
                <w:b/>
                <w:color w:val="000000"/>
                <w:sz w:val="20"/>
              </w:rPr>
              <w:t>Execution Rate</w:t>
            </w:r>
          </w:p>
        </w:tc>
        <w:tc>
          <w:tcPr>
            <w:tcW w:type="dxa" w:w="2835"/>
            <w:vAlign w:val="center"/>
            <w:tcMar>
              <w:top w:w="80" w:type="dxa"/>
              <w:bottom w:w="80" w:type="dxa"/>
              <w:left w:w="110" w:type="dxa"/>
              <w:right w:w="110" w:type="dxa"/>
            </w:tcMar>
            <w:shd w:fill="E2E8F0" w:val="clear"/>
          </w:tcPr>
          <w:p>
            <w:pPr>
              <w:spacing w:line="360" w:lineRule="auto" w:before="40" w:after="40"/>
              <w:jc w:val="center"/>
            </w:pPr>
            <w:r>
              <w:rPr>
                <w:rFonts w:ascii="Times New Roman" w:hAnsi="Times New Roman"/>
                <w:b/>
                <w:color w:val="000000"/>
                <w:sz w:val="20"/>
              </w:rPr>
              <w:t>Data Payload / Tensor Contract</w:t>
            </w:r>
          </w:p>
        </w:tc>
        <w:tc>
          <w:tcPr>
            <w:tcW w:type="dxa" w:w="1134"/>
            <w:vAlign w:val="center"/>
            <w:tcMar>
              <w:top w:w="80" w:type="dxa"/>
              <w:bottom w:w="80" w:type="dxa"/>
              <w:left w:w="110" w:type="dxa"/>
              <w:right w:w="110" w:type="dxa"/>
            </w:tcMar>
            <w:shd w:fill="E2E8F0" w:val="clear"/>
          </w:tcPr>
          <w:p>
            <w:pPr>
              <w:spacing w:line="360" w:lineRule="auto" w:before="40" w:after="40"/>
              <w:jc w:val="center"/>
            </w:pPr>
            <w:r>
              <w:rPr>
                <w:rFonts w:ascii="Times New Roman" w:hAnsi="Times New Roman"/>
                <w:b/>
                <w:color w:val="000000"/>
                <w:sz w:val="20"/>
              </w:rPr>
              <w:t>Target Latency</w:t>
            </w:r>
          </w:p>
        </w:tc>
      </w:tr>
      <w:tr>
        <w:tc>
          <w:tcPr>
            <w:tcW w:type="dxa" w:w="1701"/>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Three.js Simulation</w:t>
            </w:r>
          </w:p>
        </w:tc>
        <w:tc>
          <w:tcPr>
            <w:tcW w:type="dxa" w:w="181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http://localhost:3000</w:t>
            </w:r>
          </w:p>
        </w:tc>
        <w:tc>
          <w:tcPr>
            <w:tcW w:type="dxa" w:w="1587"/>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100 Hz (Physics)</w:t>
              <w:br/>
              <w:t>60 FPS (Render)</w:t>
            </w:r>
          </w:p>
        </w:tc>
        <w:tc>
          <w:tcPr>
            <w:tcW w:type="dxa" w:w="2835"/>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6-DoF Rigid Body States, IMU Synthesizer, 3D Mesh</w:t>
            </w:r>
          </w:p>
        </w:tc>
        <w:tc>
          <w:tcPr>
            <w:tcW w:type="dxa" w:w="113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 16.6 ms</w:t>
            </w:r>
          </w:p>
        </w:tc>
      </w:tr>
      <w:tr>
        <w:tc>
          <w:tcPr>
            <w:tcW w:type="dxa" w:w="1701"/>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Inertial ESKF Engine</w:t>
            </w:r>
          </w:p>
        </w:tc>
        <w:tc>
          <w:tcPr>
            <w:tcW w:type="dxa" w:w="181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Internal Client Loop</w:t>
            </w:r>
          </w:p>
        </w:tc>
        <w:tc>
          <w:tcPr>
            <w:tcW w:type="dxa" w:w="1587"/>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100 Hz Fixed Step</w:t>
            </w:r>
          </w:p>
        </w:tc>
        <w:tc>
          <w:tcPr>
            <w:tcW w:type="dxa" w:w="2835"/>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15-State Error Vector, 15x15 Covariance Propagation</w:t>
            </w:r>
          </w:p>
        </w:tc>
        <w:tc>
          <w:tcPr>
            <w:tcW w:type="dxa" w:w="113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 1.2 ms</w:t>
            </w:r>
          </w:p>
        </w:tc>
      </w:tr>
      <w:tr>
        <w:tc>
          <w:tcPr>
            <w:tcW w:type="dxa" w:w="1701"/>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Feature Grid Resampler</w:t>
            </w:r>
          </w:p>
        </w:tc>
        <w:tc>
          <w:tcPr>
            <w:tcW w:type="dxa" w:w="181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Internal Buffer Loop</w:t>
            </w:r>
          </w:p>
        </w:tc>
        <w:tc>
          <w:tcPr>
            <w:tcW w:type="dxa" w:w="1587"/>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1.0 s Window / 3 s Cadence</w:t>
            </w:r>
          </w:p>
        </w:tc>
        <w:tc>
          <w:tcPr>
            <w:tcW w:type="dxa" w:w="2835"/>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Rolling Buffer → 101x24 Interpolated Float Tensor</w:t>
            </w:r>
          </w:p>
        </w:tc>
        <w:tc>
          <w:tcPr>
            <w:tcW w:type="dxa" w:w="113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 3.5 ms</w:t>
            </w:r>
          </w:p>
        </w:tc>
      </w:tr>
      <w:tr>
        <w:tc>
          <w:tcPr>
            <w:tcW w:type="dxa" w:w="1701"/>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GRU V3 Inference Server</w:t>
            </w:r>
          </w:p>
        </w:tc>
        <w:tc>
          <w:tcPr>
            <w:tcW w:type="dxa" w:w="181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http://127.0.0.1:8765/infer</w:t>
            </w:r>
          </w:p>
        </w:tc>
        <w:tc>
          <w:tcPr>
            <w:tcW w:type="dxa" w:w="1587"/>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On-Demand (0.33–2.0 Hz)</w:t>
            </w:r>
          </w:p>
        </w:tc>
        <w:tc>
          <w:tcPr>
            <w:tcW w:type="dxa" w:w="2835"/>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Input: [1, 101, 24] → Output: delta_v [3] (m/s)</w:t>
            </w:r>
          </w:p>
        </w:tc>
        <w:tc>
          <w:tcPr>
            <w:tcW w:type="dxa" w:w="113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 15.0 ms</w:t>
            </w:r>
          </w:p>
        </w:tc>
      </w:tr>
    </w:tbl>
    <w:p>
      <w:pPr>
        <w:keepNext/>
        <w:spacing w:line="360" w:lineRule="auto" w:before="360" w:after="120"/>
        <w:jc w:val="left"/>
      </w:pPr>
      <w:r>
        <w:rPr>
          <w:rFonts w:ascii="Times New Roman" w:hAnsi="Times New Roman"/>
          <w:b/>
          <w:color w:val="000000"/>
          <w:sz w:val="28"/>
          <w:u w:val="single"/>
        </w:rPr>
        <w:t>3.3 Development Environment and Tools</w:t>
      </w:r>
    </w:p>
    <w:p>
      <w:pPr>
        <w:spacing w:line="360" w:lineRule="auto" w:before="0" w:after="160"/>
        <w:ind w:firstLine="567"/>
        <w:jc w:val="both"/>
      </w:pPr>
      <w:r>
        <w:rPr>
          <w:rFonts w:ascii="Times New Roman" w:hAnsi="Times New Roman"/>
          <w:color w:val="000000"/>
          <w:sz w:val="24"/>
        </w:rPr>
        <w:t>To guarantee experimental reproducibility and rigorous engineering standards, all software frameworks, numerical packages, and runtime environments were cataloged and locked. Table 3.2 details the complete development environment utilized throughout the design, offline training, and real-time execution phases.</w:t>
      </w:r>
    </w:p>
    <w:p>
      <w:pPr>
        <w:spacing w:before="200" w:after="80" w:line="360" w:lineRule="auto"/>
        <w:jc w:val="center"/>
      </w:pPr>
      <w:r>
        <w:rPr>
          <w:rFonts w:ascii="Times New Roman" w:hAnsi="Times New Roman"/>
          <w:b/>
          <w:color w:val="000000"/>
          <w:sz w:val="21"/>
        </w:rPr>
        <w:t>Table 3.2: Software Tools, Runtime Environments, Framework Versions, and System Roles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000000"/>
          <w:insideV w:val="single" w:sz="4" w:space="0" w:color="000000"/>
          <w:left w:val="single" w:sz="6" w:space="0" w:color="000000"/>
          <w:right w:val="single" w:sz="6" w:space="0" w:color="000000"/>
        </w:tblBorders>
      </w:tblPr>
      <w:tblGrid>
        <w:gridCol w:w="2339"/>
        <w:gridCol w:w="2339"/>
        <w:gridCol w:w="2339"/>
        <w:gridCol w:w="2339"/>
      </w:tblGrid>
      <w:tr>
        <w:tc>
          <w:tcPr>
            <w:tcW w:type="dxa" w:w="1474"/>
            <w:vAlign w:val="center"/>
            <w:tcMar>
              <w:top w:w="80" w:type="dxa"/>
              <w:bottom w:w="80" w:type="dxa"/>
              <w:left w:w="110" w:type="dxa"/>
              <w:right w:w="110" w:type="dxa"/>
            </w:tcMar>
            <w:shd w:fill="E2E8F0" w:val="clear"/>
          </w:tcPr>
          <w:p>
            <w:pPr>
              <w:spacing w:line="360" w:lineRule="auto" w:before="40" w:after="40"/>
              <w:jc w:val="center"/>
            </w:pPr>
            <w:r>
              <w:rPr>
                <w:rFonts w:ascii="Times New Roman" w:hAnsi="Times New Roman"/>
                <w:b/>
                <w:color w:val="000000"/>
                <w:sz w:val="20"/>
              </w:rPr>
              <w:t>Tool / Library</w:t>
            </w:r>
          </w:p>
        </w:tc>
        <w:tc>
          <w:tcPr>
            <w:tcW w:type="dxa" w:w="1361"/>
            <w:vAlign w:val="center"/>
            <w:tcMar>
              <w:top w:w="80" w:type="dxa"/>
              <w:bottom w:w="80" w:type="dxa"/>
              <w:left w:w="110" w:type="dxa"/>
              <w:right w:w="110" w:type="dxa"/>
            </w:tcMar>
            <w:shd w:fill="E2E8F0" w:val="clear"/>
          </w:tcPr>
          <w:p>
            <w:pPr>
              <w:spacing w:line="360" w:lineRule="auto" w:before="40" w:after="40"/>
              <w:jc w:val="center"/>
            </w:pPr>
            <w:r>
              <w:rPr>
                <w:rFonts w:ascii="Times New Roman" w:hAnsi="Times New Roman"/>
                <w:b/>
                <w:color w:val="000000"/>
                <w:sz w:val="20"/>
              </w:rPr>
              <w:t>Version</w:t>
            </w:r>
          </w:p>
        </w:tc>
        <w:tc>
          <w:tcPr>
            <w:tcW w:type="dxa" w:w="1984"/>
            <w:vAlign w:val="center"/>
            <w:tcMar>
              <w:top w:w="80" w:type="dxa"/>
              <w:bottom w:w="80" w:type="dxa"/>
              <w:left w:w="110" w:type="dxa"/>
              <w:right w:w="110" w:type="dxa"/>
            </w:tcMar>
            <w:shd w:fill="E2E8F0" w:val="clear"/>
          </w:tcPr>
          <w:p>
            <w:pPr>
              <w:spacing w:line="360" w:lineRule="auto" w:before="40" w:after="40"/>
              <w:jc w:val="center"/>
            </w:pPr>
            <w:r>
              <w:rPr>
                <w:rFonts w:ascii="Times New Roman" w:hAnsi="Times New Roman"/>
                <w:b/>
                <w:color w:val="000000"/>
                <w:sz w:val="20"/>
              </w:rPr>
              <w:t>Ecosystem / Environment</w:t>
            </w:r>
          </w:p>
        </w:tc>
        <w:tc>
          <w:tcPr>
            <w:tcW w:type="dxa" w:w="4252"/>
            <w:vAlign w:val="center"/>
            <w:tcMar>
              <w:top w:w="80" w:type="dxa"/>
              <w:bottom w:w="80" w:type="dxa"/>
              <w:left w:w="110" w:type="dxa"/>
              <w:right w:w="110" w:type="dxa"/>
            </w:tcMar>
            <w:shd w:fill="E2E8F0" w:val="clear"/>
          </w:tcPr>
          <w:p>
            <w:pPr>
              <w:spacing w:line="360" w:lineRule="auto" w:before="40" w:after="40"/>
              <w:jc w:val="center"/>
            </w:pPr>
            <w:r>
              <w:rPr>
                <w:rFonts w:ascii="Times New Roman" w:hAnsi="Times New Roman"/>
                <w:b/>
                <w:color w:val="000000"/>
                <w:sz w:val="20"/>
              </w:rPr>
              <w:t>Specific Role in System Implementation</w:t>
            </w:r>
          </w:p>
        </w:tc>
      </w:tr>
      <w:tr>
        <w:tc>
          <w:tcPr>
            <w:tcW w:type="dxa" w:w="147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Python</w:t>
            </w:r>
          </w:p>
        </w:tc>
        <w:tc>
          <w:tcPr>
            <w:tcW w:type="dxa" w:w="1361"/>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3.11.2 (64-bit)</w:t>
            </w:r>
          </w:p>
        </w:tc>
        <w:tc>
          <w:tcPr>
            <w:tcW w:type="dxa" w:w="198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Conda / Virtualenv (.venv)</w:t>
            </w:r>
          </w:p>
        </w:tc>
        <w:tc>
          <w:tcPr>
            <w:tcW w:type="dxa" w:w="4252"/>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Core backend language for model training, data pipelines, and REST APIs</w:t>
            </w:r>
          </w:p>
        </w:tc>
      </w:tr>
      <w:tr>
        <w:tc>
          <w:tcPr>
            <w:tcW w:type="dxa" w:w="147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PyTorch</w:t>
            </w:r>
          </w:p>
        </w:tc>
        <w:tc>
          <w:tcPr>
            <w:tcW w:type="dxa" w:w="1361"/>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2.2.0 + CUDA 12.1</w:t>
            </w:r>
          </w:p>
        </w:tc>
        <w:tc>
          <w:tcPr>
            <w:tcW w:type="dxa" w:w="198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Python Runtime</w:t>
            </w:r>
          </w:p>
        </w:tc>
        <w:tc>
          <w:tcPr>
            <w:tcW w:type="dxa" w:w="4252"/>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Deep learning framework for GRU V3 and DroNet neural execution</w:t>
            </w:r>
          </w:p>
        </w:tc>
      </w:tr>
      <w:tr>
        <w:tc>
          <w:tcPr>
            <w:tcW w:type="dxa" w:w="147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FastAPI</w:t>
            </w:r>
          </w:p>
        </w:tc>
        <w:tc>
          <w:tcPr>
            <w:tcW w:type="dxa" w:w="1361"/>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0.115.0</w:t>
            </w:r>
          </w:p>
        </w:tc>
        <w:tc>
          <w:tcPr>
            <w:tcW w:type="dxa" w:w="198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Python Web Server</w:t>
            </w:r>
          </w:p>
        </w:tc>
        <w:tc>
          <w:tcPr>
            <w:tcW w:type="dxa" w:w="4252"/>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Asynchronous high-performance RESTful API microservice bridge</w:t>
            </w:r>
          </w:p>
        </w:tc>
      </w:tr>
      <w:tr>
        <w:tc>
          <w:tcPr>
            <w:tcW w:type="dxa" w:w="147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Uvicorn</w:t>
            </w:r>
          </w:p>
        </w:tc>
        <w:tc>
          <w:tcPr>
            <w:tcW w:type="dxa" w:w="1361"/>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0.30.0 (Standard)</w:t>
            </w:r>
          </w:p>
        </w:tc>
        <w:tc>
          <w:tcPr>
            <w:tcW w:type="dxa" w:w="198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ASGI Server Worker</w:t>
            </w:r>
          </w:p>
        </w:tc>
        <w:tc>
          <w:tcPr>
            <w:tcW w:type="dxa" w:w="4252"/>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Lightweight HTTP server hosting model endpoints on ports 8765 and 8766</w:t>
            </w:r>
          </w:p>
        </w:tc>
      </w:tr>
      <w:tr>
        <w:tc>
          <w:tcPr>
            <w:tcW w:type="dxa" w:w="147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NumPy &amp; SciPy</w:t>
            </w:r>
          </w:p>
        </w:tc>
        <w:tc>
          <w:tcPr>
            <w:tcW w:type="dxa" w:w="1361"/>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1.26.4 / 1.13.0</w:t>
            </w:r>
          </w:p>
        </w:tc>
        <w:tc>
          <w:tcPr>
            <w:tcW w:type="dxa" w:w="198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Scientific Python</w:t>
            </w:r>
          </w:p>
        </w:tc>
        <w:tc>
          <w:tcPr>
            <w:tcW w:type="dxa" w:w="4252"/>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Numerical matrix linear algebra, quaternion kinematics, and covariance math</w:t>
            </w:r>
          </w:p>
        </w:tc>
      </w:tr>
      <w:tr>
        <w:tc>
          <w:tcPr>
            <w:tcW w:type="dxa" w:w="147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Three.js</w:t>
            </w:r>
          </w:p>
        </w:tc>
        <w:tc>
          <w:tcPr>
            <w:tcW w:type="dxa" w:w="1361"/>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0.170.0 (r170)</w:t>
            </w:r>
          </w:p>
        </w:tc>
        <w:tc>
          <w:tcPr>
            <w:tcW w:type="dxa" w:w="198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Node.js / Browser WebGL</w:t>
            </w:r>
          </w:p>
        </w:tc>
        <w:tc>
          <w:tcPr>
            <w:tcW w:type="dxa" w:w="4252"/>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Hardware-accelerated 3D city rendering, camera rigging, and flight visuals</w:t>
            </w:r>
          </w:p>
        </w:tc>
      </w:tr>
      <w:tr>
        <w:tc>
          <w:tcPr>
            <w:tcW w:type="dxa" w:w="147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Vite</w:t>
            </w:r>
          </w:p>
        </w:tc>
        <w:tc>
          <w:tcPr>
            <w:tcW w:type="dxa" w:w="1361"/>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6.0.0</w:t>
            </w:r>
          </w:p>
        </w:tc>
        <w:tc>
          <w:tcPr>
            <w:tcW w:type="dxa" w:w="198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Node.js Build Tool</w:t>
            </w:r>
          </w:p>
        </w:tc>
        <w:tc>
          <w:tcPr>
            <w:tcW w:type="dxa" w:w="4252"/>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Fast HMR development server serving the simulation frontend on port 3000</w:t>
            </w:r>
          </w:p>
        </w:tc>
      </w:tr>
      <w:tr>
        <w:tc>
          <w:tcPr>
            <w:tcW w:type="dxa" w:w="147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Matplotlib</w:t>
            </w:r>
          </w:p>
        </w:tc>
        <w:tc>
          <w:tcPr>
            <w:tcW w:type="dxa" w:w="1361"/>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3.11.2</w:t>
            </w:r>
          </w:p>
        </w:tc>
        <w:tc>
          <w:tcPr>
            <w:tcW w:type="dxa" w:w="198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Data Visualization</w:t>
            </w:r>
          </w:p>
        </w:tc>
        <w:tc>
          <w:tcPr>
            <w:tcW w:type="dxa" w:w="4252"/>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Scientific rendering of training curves, error distributions, and trajectory charts</w:t>
            </w:r>
          </w:p>
        </w:tc>
      </w:tr>
    </w:tbl>
    <w:p>
      <w:pPr>
        <w:spacing w:line="360" w:lineRule="auto" w:before="0" w:after="160"/>
        <w:ind w:firstLine="567"/>
        <w:jc w:val="both"/>
      </w:pPr>
      <w:r>
        <w:rPr>
          <w:rFonts w:ascii="Times New Roman" w:hAnsi="Times New Roman"/>
          <w:color w:val="000000"/>
          <w:sz w:val="24"/>
        </w:rPr>
        <w:t>The physical host workstation was equipped with an Intel Core i7 processor, 32 GB of system DDR4 RAM, and an NVIDIA GeForce RTX GPU with CUDA Compute Capability 8.9. All Python microservices utilize dedicated virtual environments (`.venv`), ensuring zero dependency contamination across system modules.</w:t>
      </w:r>
    </w:p>
    <w:p>
      <w:pPr>
        <w:keepNext/>
        <w:spacing w:line="360" w:lineRule="auto" w:before="360" w:after="120"/>
        <w:jc w:val="left"/>
      </w:pPr>
      <w:r>
        <w:rPr>
          <w:rFonts w:ascii="Times New Roman" w:hAnsi="Times New Roman"/>
          <w:b/>
          <w:color w:val="000000"/>
          <w:sz w:val="28"/>
          <w:u w:val="single"/>
        </w:rPr>
        <w:t>3.4 Dataset Preparation and Data Integration</w:t>
      </w:r>
    </w:p>
    <w:p>
      <w:pPr>
        <w:spacing w:line="360" w:lineRule="auto" w:before="0" w:after="160"/>
        <w:ind w:firstLine="567"/>
        <w:jc w:val="both"/>
      </w:pPr>
      <w:r>
        <w:rPr>
          <w:rFonts w:ascii="Times New Roman" w:hAnsi="Times New Roman"/>
          <w:color w:val="000000"/>
          <w:sz w:val="24"/>
        </w:rPr>
        <w:t>A foundational strength of this research is its grounding in a massive, multi-source, real-flight empirical dataset rather than idealized mathematical toy problems. The final curated research database comprises exactly 1,422,348 synchronized feature rows collected across 19 complete drone flight recordings spanning three internationally recognized UAV research corpora: INSANE, LandingUAV, and PanoAir. Figure 3.2 illustrates the relative distribution of samples across the three source domains.</w:t>
      </w:r>
    </w:p>
    <w:p>
      <w:pPr>
        <w:spacing w:before="200" w:after="80"/>
        <w:jc w:val="center"/>
      </w:pPr>
      <w:r>
        <w:drawing>
          <wp:inline xmlns:a="http://schemas.openxmlformats.org/drawingml/2006/main" xmlns:pic="http://schemas.openxmlformats.org/drawingml/2006/picture">
            <wp:extent cx="5303520" cy="3551825"/>
            <wp:docPr id="2" name="Picture 2"/>
            <wp:cNvGraphicFramePr>
              <a:graphicFrameLocks noChangeAspect="1"/>
            </wp:cNvGraphicFramePr>
            <a:graphic>
              <a:graphicData uri="http://schemas.openxmlformats.org/drawingml/2006/picture">
                <pic:pic>
                  <pic:nvPicPr>
                    <pic:cNvPr id="0" name="fig_corpus_composition.png"/>
                    <pic:cNvPicPr/>
                  </pic:nvPicPr>
                  <pic:blipFill>
                    <a:blip r:embed="rId11"/>
                    <a:stretch>
                      <a:fillRect/>
                    </a:stretch>
                  </pic:blipFill>
                  <pic:spPr>
                    <a:xfrm>
                      <a:off x="0" y="0"/>
                      <a:ext cx="5303520" cy="3551825"/>
                    </a:xfrm>
                    <a:prstGeom prst="rect"/>
                  </pic:spPr>
                </pic:pic>
              </a:graphicData>
            </a:graphic>
          </wp:inline>
        </w:drawing>
      </w:r>
    </w:p>
    <w:p>
      <w:pPr>
        <w:spacing w:before="40" w:after="240" w:line="360" w:lineRule="auto"/>
        <w:jc w:val="center"/>
      </w:pPr>
      <w:r>
        <w:rPr>
          <w:rFonts w:ascii="Times New Roman" w:hAnsi="Times New Roman"/>
          <w:b/>
          <w:color w:val="000000"/>
          <w:sz w:val="21"/>
        </w:rPr>
        <w:t>Figure 3.2: Composition of the 1,422,348 Real-Data Feature Corpus Across 19 Curated Flights</w:t>
      </w:r>
    </w:p>
    <w:p>
      <w:pPr>
        <w:keepNext/>
        <w:spacing w:line="360" w:lineRule="auto" w:before="280" w:after="80"/>
        <w:jc w:val="left"/>
      </w:pPr>
      <w:r>
        <w:rPr>
          <w:rFonts w:ascii="Times New Roman" w:hAnsi="Times New Roman"/>
          <w:b/>
          <w:color w:val="000000"/>
          <w:sz w:val="24"/>
        </w:rPr>
        <w:t>3.4.1 Multi-Source Corpus Characteristics and Operational Regimes</w:t>
      </w:r>
    </w:p>
    <w:p>
      <w:pPr>
        <w:spacing w:line="360" w:lineRule="auto" w:before="0" w:after="160"/>
        <w:ind w:firstLine="567"/>
        <w:jc w:val="both"/>
      </w:pPr>
      <w:r>
        <w:rPr>
          <w:rFonts w:ascii="Times New Roman" w:hAnsi="Times New Roman"/>
          <w:color w:val="000000"/>
          <w:sz w:val="24"/>
        </w:rPr>
        <w:t>Each constituent dataset contributes distinct vehicle dynamics, sensor grades, sampling rates, and flight environments:</w:t>
      </w:r>
    </w:p>
    <w:p>
      <w:pPr>
        <w:spacing w:line="360" w:lineRule="auto" w:before="0" w:after="120"/>
        <w:ind w:left="680" w:hanging="340"/>
        <w:jc w:val="both"/>
      </w:pPr>
      <w:r>
        <w:rPr>
          <w:rFonts w:ascii="Times New Roman" w:hAnsi="Times New Roman"/>
          <w:b/>
          <w:color w:val="000000"/>
          <w:sz w:val="24"/>
        </w:rPr>
        <w:t xml:space="preserve">• </w:t>
      </w:r>
      <w:r>
        <w:rPr>
          <w:rFonts w:ascii="Times New Roman" w:hAnsi="Times New Roman"/>
          <w:b/>
          <w:color w:val="000000"/>
          <w:sz w:val="24"/>
        </w:rPr>
        <w:t xml:space="preserve">INSANE Dataset (6 Flights, 218,204 Rows, 15.34%): </w:t>
      </w:r>
      <w:r>
        <w:rPr>
          <w:rFonts w:ascii="Times New Roman" w:hAnsi="Times New Roman"/>
          <w:color w:val="000000"/>
          <w:sz w:val="24"/>
        </w:rPr>
        <w:t>Captured across challenging analog environments, including Mars-analog desert terrains, vertical rocky cliffs, canyon corridors, and complex outdoor-to-indoor transition flights. The raw data exhibited severe IMU channel provenance issues in early versions; an exhaustive PX4 native log rebuild was executed (Notebook L02) to extract authentic raw accelerometer and gyro channels without spurious interpolation.</w:t>
      </w:r>
    </w:p>
    <w:p>
      <w:pPr>
        <w:spacing w:line="360" w:lineRule="auto" w:before="0" w:after="120"/>
        <w:ind w:left="680" w:hanging="340"/>
        <w:jc w:val="both"/>
      </w:pPr>
      <w:r>
        <w:rPr>
          <w:rFonts w:ascii="Times New Roman" w:hAnsi="Times New Roman"/>
          <w:b/>
          <w:color w:val="000000"/>
          <w:sz w:val="24"/>
        </w:rPr>
        <w:t xml:space="preserve">• </w:t>
      </w:r>
      <w:r>
        <w:rPr>
          <w:rFonts w:ascii="Times New Roman" w:hAnsi="Times New Roman"/>
          <w:b/>
          <w:color w:val="000000"/>
          <w:sz w:val="24"/>
        </w:rPr>
        <w:t xml:space="preserve">LandingUAV Dataset (7 Flights, 237,413 Rows, 16.69%): </w:t>
      </w:r>
      <w:r>
        <w:rPr>
          <w:rFonts w:ascii="Times New Roman" w:hAnsi="Times New Roman"/>
          <w:color w:val="000000"/>
          <w:sz w:val="24"/>
        </w:rPr>
        <w:t>Captured in maritime and northern European settings (Hamburg boathouse, maritime lock facilities, and Wicklow hills, Ireland). Crucially, these recordings feature environmental metadata tags representing adverse weather, specifically light rain, continuous precipitation, and high-velocity wind gusts.</w:t>
      </w:r>
    </w:p>
    <w:p>
      <w:pPr>
        <w:spacing w:line="360" w:lineRule="auto" w:before="0" w:after="120"/>
        <w:ind w:left="680" w:hanging="340"/>
        <w:jc w:val="both"/>
      </w:pPr>
      <w:r>
        <w:rPr>
          <w:rFonts w:ascii="Times New Roman" w:hAnsi="Times New Roman"/>
          <w:b/>
          <w:color w:val="000000"/>
          <w:sz w:val="24"/>
        </w:rPr>
        <w:t xml:space="preserve">• </w:t>
      </w:r>
      <w:r>
        <w:rPr>
          <w:rFonts w:ascii="Times New Roman" w:hAnsi="Times New Roman"/>
          <w:b/>
          <w:color w:val="000000"/>
          <w:sz w:val="24"/>
        </w:rPr>
        <w:t xml:space="preserve">PanoAir Dataset (6 Flights, 966,731 Rows, 67.96%): </w:t>
      </w:r>
      <w:r>
        <w:rPr>
          <w:rFonts w:ascii="Times New Roman" w:hAnsi="Times New Roman"/>
          <w:color w:val="000000"/>
          <w:sz w:val="24"/>
        </w:rPr>
        <w:t>Represents high-frequency urban and perimeter flights executed under varying solar illumination profiles, including direct sunlight, overcast cloud cover, and night-time operation. PanoAir provides long-duration continuous trajectories essential for evaluating extended temporal drift.</w:t>
      </w:r>
    </w:p>
    <w:p>
      <w:pPr>
        <w:keepNext/>
        <w:spacing w:line="360" w:lineRule="auto" w:before="280" w:after="80"/>
        <w:jc w:val="left"/>
      </w:pPr>
      <w:r>
        <w:rPr>
          <w:rFonts w:ascii="Times New Roman" w:hAnsi="Times New Roman"/>
          <w:b/>
          <w:color w:val="000000"/>
          <w:sz w:val="24"/>
        </w:rPr>
        <w:t>3.4.2 Environmental Metadata Stratification vs. Physical Telemetry</w:t>
      </w:r>
    </w:p>
    <w:p>
      <w:pPr>
        <w:spacing w:line="360" w:lineRule="auto" w:before="0" w:after="160"/>
        <w:ind w:firstLine="567"/>
        <w:jc w:val="both"/>
      </w:pPr>
      <w:r>
        <w:rPr>
          <w:rFonts w:ascii="Times New Roman" w:hAnsi="Times New Roman"/>
          <w:color w:val="000000"/>
          <w:sz w:val="24"/>
        </w:rPr>
        <w:t>A vital academic distinction enforced throughout this research (Notebook L01 and L04) concerns the interpretation of weather tags. The curated dataset contains categorical metadata descriptors such as 'Light Rain + Wind Gusts', 'Rain / Calm Wind / Maritime', 'Night', and 'Mars Analog Desert'. While these tags provide valuable domain stratification for evaluating model robustness, they do not represent synchronized numerical meteorological telemetry (e.g., anemometer wind speed in m/s or rain gauge precipitation rate in mm/h). Consequently, performance comparisons across weather conditions are descriptive regime evaluations rather than causal wind-tunnel ablations. Table 3.3 catalogs the complete 19-flight ledger, split assignments, environmental tags, and row counts.</w:t>
      </w:r>
    </w:p>
    <w:p>
      <w:pPr>
        <w:spacing w:before="200" w:after="80" w:line="360" w:lineRule="auto"/>
        <w:jc w:val="center"/>
      </w:pPr>
      <w:r>
        <w:rPr>
          <w:rFonts w:ascii="Times New Roman" w:hAnsi="Times New Roman"/>
          <w:b/>
          <w:color w:val="000000"/>
          <w:sz w:val="21"/>
        </w:rPr>
        <w:t>Table 3.3: Master 19-Flight Research Ledger: Sources, Environmental Tags, Splits, and Samples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000000"/>
          <w:insideV w:val="single" w:sz="4" w:space="0" w:color="000000"/>
          <w:left w:val="single" w:sz="6" w:space="0" w:color="000000"/>
          <w:right w:val="single" w:sz="6" w:space="0" w:color="000000"/>
        </w:tblBorders>
      </w:tblPr>
      <w:tblGrid>
        <w:gridCol w:w="1871"/>
        <w:gridCol w:w="1871"/>
        <w:gridCol w:w="1871"/>
        <w:gridCol w:w="1871"/>
        <w:gridCol w:w="1871"/>
      </w:tblGrid>
      <w:tr>
        <w:tc>
          <w:tcPr>
            <w:tcW w:type="dxa" w:w="1814"/>
            <w:vAlign w:val="center"/>
            <w:tcMar>
              <w:top w:w="80" w:type="dxa"/>
              <w:bottom w:w="80" w:type="dxa"/>
              <w:left w:w="110" w:type="dxa"/>
              <w:right w:w="110" w:type="dxa"/>
            </w:tcMar>
            <w:shd w:fill="E2E8F0" w:val="clear"/>
          </w:tcPr>
          <w:p>
            <w:pPr>
              <w:spacing w:line="360" w:lineRule="auto" w:before="40" w:after="40"/>
              <w:jc w:val="center"/>
            </w:pPr>
            <w:r>
              <w:rPr>
                <w:rFonts w:ascii="Times New Roman" w:hAnsi="Times New Roman"/>
                <w:b/>
                <w:color w:val="000000"/>
                <w:sz w:val="20"/>
              </w:rPr>
              <w:t>Flight ID</w:t>
            </w:r>
          </w:p>
        </w:tc>
        <w:tc>
          <w:tcPr>
            <w:tcW w:type="dxa" w:w="1361"/>
            <w:vAlign w:val="center"/>
            <w:tcMar>
              <w:top w:w="80" w:type="dxa"/>
              <w:bottom w:w="80" w:type="dxa"/>
              <w:left w:w="110" w:type="dxa"/>
              <w:right w:w="110" w:type="dxa"/>
            </w:tcMar>
            <w:shd w:fill="E2E8F0" w:val="clear"/>
          </w:tcPr>
          <w:p>
            <w:pPr>
              <w:spacing w:line="360" w:lineRule="auto" w:before="40" w:after="40"/>
              <w:jc w:val="center"/>
            </w:pPr>
            <w:r>
              <w:rPr>
                <w:rFonts w:ascii="Times New Roman" w:hAnsi="Times New Roman"/>
                <w:b/>
                <w:color w:val="000000"/>
                <w:sz w:val="20"/>
              </w:rPr>
              <w:t>Source Dataset</w:t>
            </w:r>
          </w:p>
        </w:tc>
        <w:tc>
          <w:tcPr>
            <w:tcW w:type="dxa" w:w="1247"/>
            <w:vAlign w:val="center"/>
            <w:tcMar>
              <w:top w:w="80" w:type="dxa"/>
              <w:bottom w:w="80" w:type="dxa"/>
              <w:left w:w="110" w:type="dxa"/>
              <w:right w:w="110" w:type="dxa"/>
            </w:tcMar>
            <w:shd w:fill="E2E8F0" w:val="clear"/>
          </w:tcPr>
          <w:p>
            <w:pPr>
              <w:spacing w:line="360" w:lineRule="auto" w:before="40" w:after="40"/>
              <w:jc w:val="center"/>
            </w:pPr>
            <w:r>
              <w:rPr>
                <w:rFonts w:ascii="Times New Roman" w:hAnsi="Times New Roman"/>
                <w:b/>
                <w:color w:val="000000"/>
                <w:sz w:val="20"/>
              </w:rPr>
              <w:t>Assigned Split</w:t>
            </w:r>
          </w:p>
        </w:tc>
        <w:tc>
          <w:tcPr>
            <w:tcW w:type="dxa" w:w="2948"/>
            <w:vAlign w:val="center"/>
            <w:tcMar>
              <w:top w:w="80" w:type="dxa"/>
              <w:bottom w:w="80" w:type="dxa"/>
              <w:left w:w="110" w:type="dxa"/>
              <w:right w:w="110" w:type="dxa"/>
            </w:tcMar>
            <w:shd w:fill="E2E8F0" w:val="clear"/>
          </w:tcPr>
          <w:p>
            <w:pPr>
              <w:spacing w:line="360" w:lineRule="auto" w:before="40" w:after="40"/>
              <w:jc w:val="center"/>
            </w:pPr>
            <w:r>
              <w:rPr>
                <w:rFonts w:ascii="Times New Roman" w:hAnsi="Times New Roman"/>
                <w:b/>
                <w:color w:val="000000"/>
                <w:sz w:val="20"/>
              </w:rPr>
              <w:t>Environmental Regime Tag</w:t>
            </w:r>
          </w:p>
        </w:tc>
        <w:tc>
          <w:tcPr>
            <w:tcW w:type="dxa" w:w="1134"/>
            <w:vAlign w:val="center"/>
            <w:tcMar>
              <w:top w:w="80" w:type="dxa"/>
              <w:bottom w:w="80" w:type="dxa"/>
              <w:left w:w="110" w:type="dxa"/>
              <w:right w:w="110" w:type="dxa"/>
            </w:tcMar>
            <w:shd w:fill="E2E8F0" w:val="clear"/>
          </w:tcPr>
          <w:p>
            <w:pPr>
              <w:spacing w:line="360" w:lineRule="auto" w:before="40" w:after="40"/>
              <w:jc w:val="center"/>
            </w:pPr>
            <w:r>
              <w:rPr>
                <w:rFonts w:ascii="Times New Roman" w:hAnsi="Times New Roman"/>
                <w:b/>
                <w:color w:val="000000"/>
                <w:sz w:val="20"/>
              </w:rPr>
              <w:t>Feature Rows</w:t>
            </w:r>
          </w:p>
        </w:tc>
      </w:tr>
      <w:tr>
        <w:tc>
          <w:tcPr>
            <w:tcW w:type="dxa" w:w="181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mars_11</w:t>
            </w:r>
          </w:p>
        </w:tc>
        <w:tc>
          <w:tcPr>
            <w:tcW w:type="dxa" w:w="1361"/>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INSANE</w:t>
            </w:r>
          </w:p>
        </w:tc>
        <w:tc>
          <w:tcPr>
            <w:tcW w:type="dxa" w:w="1247"/>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TRAIN</w:t>
            </w:r>
          </w:p>
        </w:tc>
        <w:tc>
          <w:tcPr>
            <w:tcW w:type="dxa" w:w="2948"/>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Mars analog desert terrain</w:t>
            </w:r>
          </w:p>
        </w:tc>
        <w:tc>
          <w:tcPr>
            <w:tcW w:type="dxa" w:w="113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29,980</w:t>
            </w:r>
          </w:p>
        </w:tc>
      </w:tr>
      <w:tr>
        <w:tc>
          <w:tcPr>
            <w:tcW w:type="dxa" w:w="181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mars_12</w:t>
            </w:r>
          </w:p>
        </w:tc>
        <w:tc>
          <w:tcPr>
            <w:tcW w:type="dxa" w:w="1361"/>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INSANE</w:t>
            </w:r>
          </w:p>
        </w:tc>
        <w:tc>
          <w:tcPr>
            <w:tcW w:type="dxa" w:w="1247"/>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TRAIN</w:t>
            </w:r>
          </w:p>
        </w:tc>
        <w:tc>
          <w:tcPr>
            <w:tcW w:type="dxa" w:w="2948"/>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Mars analog / cliff corridor</w:t>
            </w:r>
          </w:p>
        </w:tc>
        <w:tc>
          <w:tcPr>
            <w:tcW w:type="dxa" w:w="113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18,125</w:t>
            </w:r>
          </w:p>
        </w:tc>
      </w:tr>
      <w:tr>
        <w:tc>
          <w:tcPr>
            <w:tcW w:type="dxa" w:w="181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mars_14</w:t>
            </w:r>
          </w:p>
        </w:tc>
        <w:tc>
          <w:tcPr>
            <w:tcW w:type="dxa" w:w="1361"/>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INSANE</w:t>
            </w:r>
          </w:p>
        </w:tc>
        <w:tc>
          <w:tcPr>
            <w:tcW w:type="dxa" w:w="1247"/>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TRAIN</w:t>
            </w:r>
          </w:p>
        </w:tc>
        <w:tc>
          <w:tcPr>
            <w:tcW w:type="dxa" w:w="2948"/>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Mars analog / canyon corridor</w:t>
            </w:r>
          </w:p>
        </w:tc>
        <w:tc>
          <w:tcPr>
            <w:tcW w:type="dxa" w:w="113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34,522</w:t>
            </w:r>
          </w:p>
        </w:tc>
      </w:tr>
      <w:tr>
        <w:tc>
          <w:tcPr>
            <w:tcW w:type="dxa" w:w="181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outdoor_1</w:t>
            </w:r>
          </w:p>
        </w:tc>
        <w:tc>
          <w:tcPr>
            <w:tcW w:type="dxa" w:w="1361"/>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INSANE</w:t>
            </w:r>
          </w:p>
        </w:tc>
        <w:tc>
          <w:tcPr>
            <w:tcW w:type="dxa" w:w="1247"/>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TRAIN</w:t>
            </w:r>
          </w:p>
        </w:tc>
        <w:tc>
          <w:tcPr>
            <w:tcW w:type="dxa" w:w="2948"/>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Open outdoor flight corridor</w:t>
            </w:r>
          </w:p>
        </w:tc>
        <w:tc>
          <w:tcPr>
            <w:tcW w:type="dxa" w:w="113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38,755</w:t>
            </w:r>
          </w:p>
        </w:tc>
      </w:tr>
      <w:tr>
        <w:tc>
          <w:tcPr>
            <w:tcW w:type="dxa" w:w="181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hamburgBoathouse_1</w:t>
            </w:r>
          </w:p>
        </w:tc>
        <w:tc>
          <w:tcPr>
            <w:tcW w:type="dxa" w:w="1361"/>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LandingUAV</w:t>
            </w:r>
          </w:p>
        </w:tc>
        <w:tc>
          <w:tcPr>
            <w:tcW w:type="dxa" w:w="1247"/>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TRAIN</w:t>
            </w:r>
          </w:p>
        </w:tc>
        <w:tc>
          <w:tcPr>
            <w:tcW w:type="dxa" w:w="2948"/>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Rain / calm wind / maritime</w:t>
            </w:r>
          </w:p>
        </w:tc>
        <w:tc>
          <w:tcPr>
            <w:tcW w:type="dxa" w:w="113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16,160</w:t>
            </w:r>
          </w:p>
        </w:tc>
      </w:tr>
      <w:tr>
        <w:tc>
          <w:tcPr>
            <w:tcW w:type="dxa" w:w="181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hamburgLock_2</w:t>
            </w:r>
          </w:p>
        </w:tc>
        <w:tc>
          <w:tcPr>
            <w:tcW w:type="dxa" w:w="1361"/>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LandingUAV</w:t>
            </w:r>
          </w:p>
        </w:tc>
        <w:tc>
          <w:tcPr>
            <w:tcW w:type="dxa" w:w="1247"/>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TRAIN</w:t>
            </w:r>
          </w:p>
        </w:tc>
        <w:tc>
          <w:tcPr>
            <w:tcW w:type="dxa" w:w="2948"/>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Rain / calm wind / maritime</w:t>
            </w:r>
          </w:p>
        </w:tc>
        <w:tc>
          <w:tcPr>
            <w:tcW w:type="dxa" w:w="113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10,720</w:t>
            </w:r>
          </w:p>
        </w:tc>
      </w:tr>
      <w:tr>
        <w:tc>
          <w:tcPr>
            <w:tcW w:type="dxa" w:w="181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wicklowTest_4</w:t>
            </w:r>
          </w:p>
        </w:tc>
        <w:tc>
          <w:tcPr>
            <w:tcW w:type="dxa" w:w="1361"/>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LandingUAV</w:t>
            </w:r>
          </w:p>
        </w:tc>
        <w:tc>
          <w:tcPr>
            <w:tcW w:type="dxa" w:w="1247"/>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TRAIN</w:t>
            </w:r>
          </w:p>
        </w:tc>
        <w:tc>
          <w:tcPr>
            <w:tcW w:type="dxa" w:w="2948"/>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Light rain / wind gusts</w:t>
            </w:r>
          </w:p>
        </w:tc>
        <w:tc>
          <w:tcPr>
            <w:tcW w:type="dxa" w:w="113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39,506</w:t>
            </w:r>
          </w:p>
        </w:tc>
      </w:tr>
      <w:tr>
        <w:tc>
          <w:tcPr>
            <w:tcW w:type="dxa" w:w="181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wicklowTest_7</w:t>
            </w:r>
          </w:p>
        </w:tc>
        <w:tc>
          <w:tcPr>
            <w:tcW w:type="dxa" w:w="1361"/>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LandingUAV</w:t>
            </w:r>
          </w:p>
        </w:tc>
        <w:tc>
          <w:tcPr>
            <w:tcW w:type="dxa" w:w="1247"/>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TRAIN</w:t>
            </w:r>
          </w:p>
        </w:tc>
        <w:tc>
          <w:tcPr>
            <w:tcW w:type="dxa" w:w="2948"/>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Light rain / wind gusts</w:t>
            </w:r>
          </w:p>
        </w:tc>
        <w:tc>
          <w:tcPr>
            <w:tcW w:type="dxa" w:w="113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61,210</w:t>
            </w:r>
          </w:p>
        </w:tc>
      </w:tr>
      <w:tr>
        <w:tc>
          <w:tcPr>
            <w:tcW w:type="dxa" w:w="181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wicklowTest_8</w:t>
            </w:r>
          </w:p>
        </w:tc>
        <w:tc>
          <w:tcPr>
            <w:tcW w:type="dxa" w:w="1361"/>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LandingUAV</w:t>
            </w:r>
          </w:p>
        </w:tc>
        <w:tc>
          <w:tcPr>
            <w:tcW w:type="dxa" w:w="1247"/>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TRAIN</w:t>
            </w:r>
          </w:p>
        </w:tc>
        <w:tc>
          <w:tcPr>
            <w:tcW w:type="dxa" w:w="2948"/>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Light rain / wind gusts</w:t>
            </w:r>
          </w:p>
        </w:tc>
        <w:tc>
          <w:tcPr>
            <w:tcW w:type="dxa" w:w="113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38,465</w:t>
            </w:r>
          </w:p>
        </w:tc>
      </w:tr>
      <w:tr>
        <w:tc>
          <w:tcPr>
            <w:tcW w:type="dxa" w:w="181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seq1</w:t>
            </w:r>
          </w:p>
        </w:tc>
        <w:tc>
          <w:tcPr>
            <w:tcW w:type="dxa" w:w="1361"/>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PanoAir</w:t>
            </w:r>
          </w:p>
        </w:tc>
        <w:tc>
          <w:tcPr>
            <w:tcW w:type="dxa" w:w="1247"/>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TRAIN</w:t>
            </w:r>
          </w:p>
        </w:tc>
        <w:tc>
          <w:tcPr>
            <w:tcW w:type="dxa" w:w="2948"/>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Overcast / cloudy sky</w:t>
            </w:r>
          </w:p>
        </w:tc>
        <w:tc>
          <w:tcPr>
            <w:tcW w:type="dxa" w:w="113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78,621</w:t>
            </w:r>
          </w:p>
        </w:tc>
      </w:tr>
      <w:tr>
        <w:tc>
          <w:tcPr>
            <w:tcW w:type="dxa" w:w="181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seq17</w:t>
            </w:r>
          </w:p>
        </w:tc>
        <w:tc>
          <w:tcPr>
            <w:tcW w:type="dxa" w:w="1361"/>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PanoAir</w:t>
            </w:r>
          </w:p>
        </w:tc>
        <w:tc>
          <w:tcPr>
            <w:tcW w:type="dxa" w:w="1247"/>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TRAIN</w:t>
            </w:r>
          </w:p>
        </w:tc>
        <w:tc>
          <w:tcPr>
            <w:tcW w:type="dxa" w:w="2948"/>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Night-time low illumination</w:t>
            </w:r>
          </w:p>
        </w:tc>
        <w:tc>
          <w:tcPr>
            <w:tcW w:type="dxa" w:w="113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228,501</w:t>
            </w:r>
          </w:p>
        </w:tc>
      </w:tr>
      <w:tr>
        <w:tc>
          <w:tcPr>
            <w:tcW w:type="dxa" w:w="181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seq5</w:t>
            </w:r>
          </w:p>
        </w:tc>
        <w:tc>
          <w:tcPr>
            <w:tcW w:type="dxa" w:w="1361"/>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PanoAir</w:t>
            </w:r>
          </w:p>
        </w:tc>
        <w:tc>
          <w:tcPr>
            <w:tcW w:type="dxa" w:w="1247"/>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TRAIN</w:t>
            </w:r>
          </w:p>
        </w:tc>
        <w:tc>
          <w:tcPr>
            <w:tcW w:type="dxa" w:w="2948"/>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Cloudy / scattered overcast</w:t>
            </w:r>
          </w:p>
        </w:tc>
        <w:tc>
          <w:tcPr>
            <w:tcW w:type="dxa" w:w="113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152,272</w:t>
            </w:r>
          </w:p>
        </w:tc>
      </w:tr>
      <w:tr>
        <w:tc>
          <w:tcPr>
            <w:tcW w:type="dxa" w:w="181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seq6</w:t>
            </w:r>
          </w:p>
        </w:tc>
        <w:tc>
          <w:tcPr>
            <w:tcW w:type="dxa" w:w="1361"/>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PanoAir</w:t>
            </w:r>
          </w:p>
        </w:tc>
        <w:tc>
          <w:tcPr>
            <w:tcW w:type="dxa" w:w="1247"/>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TRAIN</w:t>
            </w:r>
          </w:p>
        </w:tc>
        <w:tc>
          <w:tcPr>
            <w:tcW w:type="dxa" w:w="2948"/>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Sunny / clear atmospheric</w:t>
            </w:r>
          </w:p>
        </w:tc>
        <w:tc>
          <w:tcPr>
            <w:tcW w:type="dxa" w:w="113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177,139</w:t>
            </w:r>
          </w:p>
        </w:tc>
      </w:tr>
      <w:tr>
        <w:tc>
          <w:tcPr>
            <w:tcW w:type="dxa" w:w="181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indoor_1</w:t>
            </w:r>
          </w:p>
        </w:tc>
        <w:tc>
          <w:tcPr>
            <w:tcW w:type="dxa" w:w="1361"/>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INSANE</w:t>
            </w:r>
          </w:p>
        </w:tc>
        <w:tc>
          <w:tcPr>
            <w:tcW w:type="dxa" w:w="1247"/>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VALIDATION</w:t>
            </w:r>
          </w:p>
        </w:tc>
        <w:tc>
          <w:tcPr>
            <w:tcW w:type="dxa" w:w="2948"/>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Enclosed indoor warehouse</w:t>
            </w:r>
          </w:p>
        </w:tc>
        <w:tc>
          <w:tcPr>
            <w:tcW w:type="dxa" w:w="113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61,323</w:t>
            </w:r>
          </w:p>
        </w:tc>
      </w:tr>
      <w:tr>
        <w:tc>
          <w:tcPr>
            <w:tcW w:type="dxa" w:w="181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wicklowTest_5</w:t>
            </w:r>
          </w:p>
        </w:tc>
        <w:tc>
          <w:tcPr>
            <w:tcW w:type="dxa" w:w="1361"/>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LandingUAV</w:t>
            </w:r>
          </w:p>
        </w:tc>
        <w:tc>
          <w:tcPr>
            <w:tcW w:type="dxa" w:w="1247"/>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VALIDATION</w:t>
            </w:r>
          </w:p>
        </w:tc>
        <w:tc>
          <w:tcPr>
            <w:tcW w:type="dxa" w:w="2948"/>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Light rain / wind gusts</w:t>
            </w:r>
          </w:p>
        </w:tc>
        <w:tc>
          <w:tcPr>
            <w:tcW w:type="dxa" w:w="113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58,236</w:t>
            </w:r>
          </w:p>
        </w:tc>
      </w:tr>
      <w:tr>
        <w:tc>
          <w:tcPr>
            <w:tcW w:type="dxa" w:w="181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seq10</w:t>
            </w:r>
          </w:p>
        </w:tc>
        <w:tc>
          <w:tcPr>
            <w:tcW w:type="dxa" w:w="1361"/>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PanoAir</w:t>
            </w:r>
          </w:p>
        </w:tc>
        <w:tc>
          <w:tcPr>
            <w:tcW w:type="dxa" w:w="1247"/>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VALIDATION</w:t>
            </w:r>
          </w:p>
        </w:tc>
        <w:tc>
          <w:tcPr>
            <w:tcW w:type="dxa" w:w="2948"/>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Night-time operational</w:t>
            </w:r>
          </w:p>
        </w:tc>
        <w:tc>
          <w:tcPr>
            <w:tcW w:type="dxa" w:w="113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121,418</w:t>
            </w:r>
          </w:p>
        </w:tc>
      </w:tr>
      <w:tr>
        <w:tc>
          <w:tcPr>
            <w:tcW w:type="dxa" w:w="181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transition_3</w:t>
            </w:r>
          </w:p>
        </w:tc>
        <w:tc>
          <w:tcPr>
            <w:tcW w:type="dxa" w:w="1361"/>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INSANE</w:t>
            </w:r>
          </w:p>
        </w:tc>
        <w:tc>
          <w:tcPr>
            <w:tcW w:type="dxa" w:w="1247"/>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TEST (Held-out)</w:t>
            </w:r>
          </w:p>
        </w:tc>
        <w:tc>
          <w:tcPr>
            <w:tcW w:type="dxa" w:w="2948"/>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Outdoor-to-indoor transition</w:t>
            </w:r>
          </w:p>
        </w:tc>
        <w:tc>
          <w:tcPr>
            <w:tcW w:type="dxa" w:w="113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35,499</w:t>
            </w:r>
          </w:p>
        </w:tc>
      </w:tr>
      <w:tr>
        <w:tc>
          <w:tcPr>
            <w:tcW w:type="dxa" w:w="181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hamburgLock_3</w:t>
            </w:r>
          </w:p>
        </w:tc>
        <w:tc>
          <w:tcPr>
            <w:tcW w:type="dxa" w:w="1361"/>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LandingUAV</w:t>
            </w:r>
          </w:p>
        </w:tc>
        <w:tc>
          <w:tcPr>
            <w:tcW w:type="dxa" w:w="1247"/>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TEST (Held-out)</w:t>
            </w:r>
          </w:p>
        </w:tc>
        <w:tc>
          <w:tcPr>
            <w:tcW w:type="dxa" w:w="2948"/>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Rain / calm wind / maritime</w:t>
            </w:r>
          </w:p>
        </w:tc>
        <w:tc>
          <w:tcPr>
            <w:tcW w:type="dxa" w:w="113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13,116</w:t>
            </w:r>
          </w:p>
        </w:tc>
      </w:tr>
      <w:tr>
        <w:tc>
          <w:tcPr>
            <w:tcW w:type="dxa" w:w="181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seq9</w:t>
            </w:r>
          </w:p>
        </w:tc>
        <w:tc>
          <w:tcPr>
            <w:tcW w:type="dxa" w:w="1361"/>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PanoAir</w:t>
            </w:r>
          </w:p>
        </w:tc>
        <w:tc>
          <w:tcPr>
            <w:tcW w:type="dxa" w:w="1247"/>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TEST (Held-out)</w:t>
            </w:r>
          </w:p>
        </w:tc>
        <w:tc>
          <w:tcPr>
            <w:tcW w:type="dxa" w:w="2948"/>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Sunny / clear daylight</w:t>
            </w:r>
          </w:p>
        </w:tc>
        <w:tc>
          <w:tcPr>
            <w:tcW w:type="dxa" w:w="113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208,780</w:t>
            </w:r>
          </w:p>
        </w:tc>
      </w:tr>
    </w:tbl>
    <w:p>
      <w:pPr>
        <w:keepNext/>
        <w:spacing w:line="360" w:lineRule="auto" w:before="280" w:after="80"/>
        <w:jc w:val="left"/>
      </w:pPr>
      <w:r>
        <w:rPr>
          <w:rFonts w:ascii="Times New Roman" w:hAnsi="Times New Roman"/>
          <w:b/>
          <w:color w:val="000000"/>
          <w:sz w:val="24"/>
        </w:rPr>
        <w:t>3.4.3 Rigorous Whole-Flight Data Partitioning Protocol</w:t>
      </w:r>
    </w:p>
    <w:p>
      <w:pPr>
        <w:spacing w:line="360" w:lineRule="auto" w:before="0" w:after="160"/>
        <w:ind w:firstLine="567"/>
        <w:jc w:val="both"/>
      </w:pPr>
      <w:r>
        <w:rPr>
          <w:rFonts w:ascii="Times New Roman" w:hAnsi="Times New Roman"/>
          <w:color w:val="000000"/>
          <w:sz w:val="24"/>
        </w:rPr>
        <w:t>In sequential time-series modeling, randomly shuffling overlapping temporal windows into train and test sets constitutes severe methodological data leakage, as adjacent windows share over 95% of their raw inertial signal history. To enforce absolute integrity, our research utilizes a Whole-Flight Partitioning Protocol: the unit of independence is an entire flight mission. Thirteen flights (923,976 rows) form the Training Partition; three flights (240,977 rows) form the Validation Partition; and three flights (257,395 rows) are retained as an untouched Held-Out Test Partition. Normalization statistics and gating thresholds were fitted exclusively on training flights.</w:t>
      </w:r>
    </w:p>
    <w:p>
      <w:pPr>
        <w:keepNext/>
        <w:spacing w:line="360" w:lineRule="auto" w:before="360" w:after="120"/>
        <w:jc w:val="left"/>
      </w:pPr>
      <w:r>
        <w:rPr>
          <w:rFonts w:ascii="Times New Roman" w:hAnsi="Times New Roman"/>
          <w:b/>
          <w:color w:val="000000"/>
          <w:sz w:val="28"/>
          <w:u w:val="single"/>
        </w:rPr>
        <w:t>3.5 Machine-Learning Model Architecture</w:t>
      </w:r>
    </w:p>
    <w:p>
      <w:pPr>
        <w:spacing w:line="360" w:lineRule="auto" w:before="0" w:after="160"/>
        <w:ind w:firstLine="567"/>
        <w:jc w:val="both"/>
      </w:pPr>
      <w:r>
        <w:rPr>
          <w:rFonts w:ascii="Times New Roman" w:hAnsi="Times New Roman"/>
          <w:color w:val="000000"/>
          <w:sz w:val="24"/>
        </w:rPr>
        <w:t>The core neural estimation component is Project Ghost GRU V3, a deep recurrent neural network designed to map high-frequency temporal IMU dynamics and estimator uncertainties into 3D velocity residual vectors. This section outlines the feature vector formulation, mathematical gating equations, and network layer topology.</w:t>
      </w:r>
    </w:p>
    <w:p>
      <w:pPr>
        <w:keepNext/>
        <w:spacing w:line="360" w:lineRule="auto" w:before="280" w:after="80"/>
        <w:jc w:val="left"/>
      </w:pPr>
      <w:r>
        <w:rPr>
          <w:rFonts w:ascii="Times New Roman" w:hAnsi="Times New Roman"/>
          <w:b/>
          <w:color w:val="000000"/>
          <w:sz w:val="24"/>
        </w:rPr>
        <w:t>3.5.1 The 24-Dimensional Input Feature Vector</w:t>
      </w:r>
    </w:p>
    <w:p>
      <w:pPr>
        <w:spacing w:line="360" w:lineRule="auto" w:before="0" w:after="160"/>
        <w:ind w:firstLine="567"/>
        <w:jc w:val="both"/>
      </w:pPr>
      <w:r>
        <w:rPr>
          <w:rFonts w:ascii="Times New Roman" w:hAnsi="Times New Roman"/>
          <w:color w:val="000000"/>
          <w:sz w:val="24"/>
        </w:rPr>
        <w:t>At each time step, the model ingests a precisely structured 24-dimensional feature vector. Ground-truth coordinates, absolute positions, flight IDs, and timestamps are strictly excluded to prevent information leakage. Table 3.4 details the complete feature ordering, physical units, and engineering rationale.</w:t>
      </w:r>
    </w:p>
    <w:p>
      <w:pPr>
        <w:spacing w:before="200" w:after="80" w:line="360" w:lineRule="auto"/>
        <w:jc w:val="center"/>
      </w:pPr>
      <w:r>
        <w:rPr>
          <w:rFonts w:ascii="Times New Roman" w:hAnsi="Times New Roman"/>
          <w:b/>
          <w:color w:val="000000"/>
          <w:sz w:val="21"/>
        </w:rPr>
        <w:t>Table 3.4: The 24-Dimensional Input Feature Vector Definition and Channel Order</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000000"/>
          <w:insideV w:val="single" w:sz="4" w:space="0" w:color="000000"/>
          <w:left w:val="single" w:sz="6" w:space="0" w:color="000000"/>
          <w:right w:val="single" w:sz="6" w:space="0" w:color="000000"/>
        </w:tblBorders>
      </w:tblPr>
      <w:tblGrid>
        <w:gridCol w:w="2339"/>
        <w:gridCol w:w="2339"/>
        <w:gridCol w:w="2339"/>
        <w:gridCol w:w="2339"/>
      </w:tblGrid>
      <w:tr>
        <w:tc>
          <w:tcPr>
            <w:tcW w:type="dxa" w:w="1247"/>
            <w:vAlign w:val="center"/>
            <w:tcMar>
              <w:top w:w="80" w:type="dxa"/>
              <w:bottom w:w="80" w:type="dxa"/>
              <w:left w:w="110" w:type="dxa"/>
              <w:right w:w="110" w:type="dxa"/>
            </w:tcMar>
            <w:shd w:fill="E2E8F0" w:val="clear"/>
          </w:tcPr>
          <w:p>
            <w:pPr>
              <w:spacing w:line="360" w:lineRule="auto" w:before="40" w:after="40"/>
              <w:jc w:val="center"/>
            </w:pPr>
            <w:r>
              <w:rPr>
                <w:rFonts w:ascii="Times New Roman" w:hAnsi="Times New Roman"/>
                <w:b/>
                <w:color w:val="000000"/>
                <w:sz w:val="20"/>
              </w:rPr>
              <w:t>Feature Indices</w:t>
            </w:r>
          </w:p>
        </w:tc>
        <w:tc>
          <w:tcPr>
            <w:tcW w:type="dxa" w:w="1814"/>
            <w:vAlign w:val="center"/>
            <w:tcMar>
              <w:top w:w="80" w:type="dxa"/>
              <w:bottom w:w="80" w:type="dxa"/>
              <w:left w:w="110" w:type="dxa"/>
              <w:right w:w="110" w:type="dxa"/>
            </w:tcMar>
            <w:shd w:fill="E2E8F0" w:val="clear"/>
          </w:tcPr>
          <w:p>
            <w:pPr>
              <w:spacing w:line="360" w:lineRule="auto" w:before="40" w:after="40"/>
              <w:jc w:val="center"/>
            </w:pPr>
            <w:r>
              <w:rPr>
                <w:rFonts w:ascii="Times New Roman" w:hAnsi="Times New Roman"/>
                <w:b/>
                <w:color w:val="000000"/>
                <w:sz w:val="20"/>
              </w:rPr>
              <w:t>Channel Category</w:t>
            </w:r>
          </w:p>
        </w:tc>
        <w:tc>
          <w:tcPr>
            <w:tcW w:type="dxa" w:w="2041"/>
            <w:vAlign w:val="center"/>
            <w:tcMar>
              <w:top w:w="80" w:type="dxa"/>
              <w:bottom w:w="80" w:type="dxa"/>
              <w:left w:w="110" w:type="dxa"/>
              <w:right w:w="110" w:type="dxa"/>
            </w:tcMar>
            <w:shd w:fill="E2E8F0" w:val="clear"/>
          </w:tcPr>
          <w:p>
            <w:pPr>
              <w:spacing w:line="360" w:lineRule="auto" w:before="40" w:after="40"/>
              <w:jc w:val="center"/>
            </w:pPr>
            <w:r>
              <w:rPr>
                <w:rFonts w:ascii="Times New Roman" w:hAnsi="Times New Roman"/>
                <w:b/>
                <w:color w:val="000000"/>
                <w:sz w:val="20"/>
              </w:rPr>
              <w:t>Channel Identifiers</w:t>
            </w:r>
          </w:p>
        </w:tc>
        <w:tc>
          <w:tcPr>
            <w:tcW w:type="dxa" w:w="3685"/>
            <w:vAlign w:val="center"/>
            <w:tcMar>
              <w:top w:w="80" w:type="dxa"/>
              <w:bottom w:w="80" w:type="dxa"/>
              <w:left w:w="110" w:type="dxa"/>
              <w:right w:w="110" w:type="dxa"/>
            </w:tcMar>
            <w:shd w:fill="E2E8F0" w:val="clear"/>
          </w:tcPr>
          <w:p>
            <w:pPr>
              <w:spacing w:line="360" w:lineRule="auto" w:before="40" w:after="40"/>
              <w:jc w:val="center"/>
            </w:pPr>
            <w:r>
              <w:rPr>
                <w:rFonts w:ascii="Times New Roman" w:hAnsi="Times New Roman"/>
                <w:b/>
                <w:color w:val="000000"/>
                <w:sz w:val="20"/>
              </w:rPr>
              <w:t>Physical Units &amp; Mathematical Description</w:t>
            </w:r>
          </w:p>
        </w:tc>
      </w:tr>
      <w:tr>
        <w:tc>
          <w:tcPr>
            <w:tcW w:type="dxa" w:w="1247"/>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0 – 2</w:t>
            </w:r>
          </w:p>
        </w:tc>
        <w:tc>
          <w:tcPr>
            <w:tcW w:type="dxa" w:w="181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Raw Angular Rates</w:t>
            </w:r>
          </w:p>
        </w:tc>
        <w:tc>
          <w:tcPr>
            <w:tcW w:type="dxa" w:w="2041"/>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feat_gx, feat_gy, feat_gz</w:t>
            </w:r>
          </w:p>
        </w:tc>
        <w:tc>
          <w:tcPr>
            <w:tcW w:type="dxa" w:w="3685"/>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rad/s — Tri-axial body-frame gyroscope angular velocities</w:t>
            </w:r>
          </w:p>
        </w:tc>
      </w:tr>
      <w:tr>
        <w:tc>
          <w:tcPr>
            <w:tcW w:type="dxa" w:w="1247"/>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3 – 5</w:t>
            </w:r>
          </w:p>
        </w:tc>
        <w:tc>
          <w:tcPr>
            <w:tcW w:type="dxa" w:w="181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Raw Specific Force</w:t>
            </w:r>
          </w:p>
        </w:tc>
        <w:tc>
          <w:tcPr>
            <w:tcW w:type="dxa" w:w="2041"/>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feat_ax, feat_ay, feat_az</w:t>
            </w:r>
          </w:p>
        </w:tc>
        <w:tc>
          <w:tcPr>
            <w:tcW w:type="dxa" w:w="3685"/>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m/s² — Tri-axial body-frame accelerometer linear specific force</w:t>
            </w:r>
          </w:p>
        </w:tc>
      </w:tr>
      <w:tr>
        <w:tc>
          <w:tcPr>
            <w:tcW w:type="dxa" w:w="1247"/>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6 – 8</w:t>
            </w:r>
          </w:p>
        </w:tc>
        <w:tc>
          <w:tcPr>
            <w:tcW w:type="dxa" w:w="181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ESKF Predicted Velocity</w:t>
            </w:r>
          </w:p>
        </w:tc>
        <w:tc>
          <w:tcPr>
            <w:tcW w:type="dxa" w:w="2041"/>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feat_eskf_vx, vy, vz</w:t>
            </w:r>
          </w:p>
        </w:tc>
        <w:tc>
          <w:tcPr>
            <w:tcW w:type="dxa" w:w="3685"/>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m/s — World-frame velocity components from inertial propagation</w:t>
            </w:r>
          </w:p>
        </w:tc>
      </w:tr>
      <w:tr>
        <w:tc>
          <w:tcPr>
            <w:tcW w:type="dxa" w:w="1247"/>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9 – 14</w:t>
            </w:r>
          </w:p>
        </w:tc>
        <w:tc>
          <w:tcPr>
            <w:tcW w:type="dxa" w:w="181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Rotation-6D Attitude</w:t>
            </w:r>
          </w:p>
        </w:tc>
        <w:tc>
          <w:tcPr>
            <w:tcW w:type="dxa" w:w="2041"/>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r11, r21, r31, r12, r22, r32</w:t>
            </w:r>
          </w:p>
        </w:tc>
        <w:tc>
          <w:tcPr>
            <w:tcW w:type="dxa" w:w="3685"/>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Unitless — Continuous 6D representation (first two columns of R_WB)</w:t>
            </w:r>
          </w:p>
        </w:tc>
      </w:tr>
      <w:tr>
        <w:tc>
          <w:tcPr>
            <w:tcW w:type="dxa" w:w="1247"/>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15 – 17</w:t>
            </w:r>
          </w:p>
        </w:tc>
        <w:tc>
          <w:tcPr>
            <w:tcW w:type="dxa" w:w="181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Position Uncertainty</w:t>
            </w:r>
          </w:p>
        </w:tc>
        <w:tc>
          <w:tcPr>
            <w:tcW w:type="dxa" w:w="2041"/>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sigma_px, sigma_py, sigma_pz</w:t>
            </w:r>
          </w:p>
        </w:tc>
        <w:tc>
          <w:tcPr>
            <w:tcW w:type="dxa" w:w="3685"/>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m — Square root of diagonal position error covariance blocks in P</w:t>
            </w:r>
          </w:p>
        </w:tc>
      </w:tr>
      <w:tr>
        <w:tc>
          <w:tcPr>
            <w:tcW w:type="dxa" w:w="1247"/>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18 – 20</w:t>
            </w:r>
          </w:p>
        </w:tc>
        <w:tc>
          <w:tcPr>
            <w:tcW w:type="dxa" w:w="181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Velocity Uncertainty</w:t>
            </w:r>
          </w:p>
        </w:tc>
        <w:tc>
          <w:tcPr>
            <w:tcW w:type="dxa" w:w="2041"/>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sigma_vx, sigma_vy, sigma_vz</w:t>
            </w:r>
          </w:p>
        </w:tc>
        <w:tc>
          <w:tcPr>
            <w:tcW w:type="dxa" w:w="3685"/>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m/s — Square root of diagonal velocity error covariance blocks in P</w:t>
            </w:r>
          </w:p>
        </w:tc>
      </w:tr>
      <w:tr>
        <w:tc>
          <w:tcPr>
            <w:tcW w:type="dxa" w:w="1247"/>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21 – 23</w:t>
            </w:r>
          </w:p>
        </w:tc>
        <w:tc>
          <w:tcPr>
            <w:tcW w:type="dxa" w:w="181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Attitude Uncertainty</w:t>
            </w:r>
          </w:p>
        </w:tc>
        <w:tc>
          <w:tcPr>
            <w:tcW w:type="dxa" w:w="2041"/>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sigma_th_x, th_y, th_z</w:t>
            </w:r>
          </w:p>
        </w:tc>
        <w:tc>
          <w:tcPr>
            <w:tcW w:type="dxa" w:w="3685"/>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rad — Square root of diagonal small-angle attitude error covariance in P</w:t>
            </w:r>
          </w:p>
        </w:tc>
      </w:tr>
    </w:tbl>
    <w:p>
      <w:pPr>
        <w:spacing w:line="360" w:lineRule="auto" w:before="0" w:after="160"/>
        <w:ind w:firstLine="567"/>
        <w:jc w:val="both"/>
      </w:pPr>
      <w:r>
        <w:rPr>
          <w:rFonts w:ascii="Times New Roman" w:hAnsi="Times New Roman"/>
          <w:color w:val="000000"/>
          <w:sz w:val="24"/>
        </w:rPr>
        <w:t>A critical engineering design choice is the Rotation-6D representation (Zhou et al., 2019). Euler angles suffer from kinematic singularities (gimbal lock), while 4D unit quaternions suffer from antipodal double-cover ambiguity (q and -q represent the same rotation), which severely disrupts neural gradient descent. By taking the first two column vectors of the body-to-world rotation matrix R_WB, we obtain an unconstrained 6D continuous representation that is uniquely differentiable and orthonormalized via Gram-Schmidt at runtime.</w:t>
      </w:r>
    </w:p>
    <w:p>
      <w:pPr>
        <w:keepNext/>
        <w:spacing w:line="360" w:lineRule="auto" w:before="280" w:after="80"/>
        <w:jc w:val="left"/>
      </w:pPr>
      <w:r>
        <w:rPr>
          <w:rFonts w:ascii="Times New Roman" w:hAnsi="Times New Roman"/>
          <w:b/>
          <w:color w:val="000000"/>
          <w:sz w:val="24"/>
        </w:rPr>
        <w:t>3.5.2 Mathematical Formulation of Gated Recurrent Units (GRU)</w:t>
      </w:r>
    </w:p>
    <w:p>
      <w:pPr>
        <w:spacing w:line="360" w:lineRule="auto" w:before="0" w:after="160"/>
        <w:ind w:firstLine="567"/>
        <w:jc w:val="both"/>
      </w:pPr>
      <w:r>
        <w:rPr>
          <w:rFonts w:ascii="Times New Roman" w:hAnsi="Times New Roman"/>
          <w:color w:val="000000"/>
          <w:sz w:val="24"/>
        </w:rPr>
        <w:t>Traditional Recurrent Neural Networks (RNNs) suffer from vanishing and exploding gradients over long temporal horizons. While Long Short-Term Memory (LSTM) networks resolve this using three gating mechanisms (input, forget, and output gates), the Gated Recurrent Unit (Cho et al., 2014) couples the input and forget mechanisms into a single update gate, reducing the parameter count by approximately 25% while maintaining equivalent representational capacity. For an input vector x_t in R^24 and prior hidden state h_{t-1} in R^128, the recurrence equations at timestep t are formulated as:</w:t>
      </w:r>
    </w:p>
    <w:p>
      <w:pPr>
        <w:spacing w:line="360" w:lineRule="auto" w:before="120" w:after="120"/>
        <w:ind w:left="454" w:right="454"/>
        <w:jc w:val="center"/>
        <w:pBdr>
          <w:top w:val="single" w:sz="4" w:space="4" w:color="555555"/>
          <w:bottom w:val="single" w:sz="4" w:space="4" w:color="555555"/>
          <w:left w:val="single" w:sz="4" w:space="4" w:color="555555"/>
          <w:right w:val="single" w:sz="4" w:space="4" w:color="555555"/>
        </w:pBdr>
      </w:pPr>
      <w:r>
        <w:rPr>
          <w:rFonts w:ascii="Times New Roman" w:hAnsi="Times New Roman"/>
          <w:color w:val="000000"/>
          <w:sz w:val="22"/>
        </w:rPr>
        <w:t>r_t = σ( W_r · x_t + U_r · h_{t-1} + b_r )</w:t>
      </w:r>
      <w:r>
        <w:rPr>
          <w:rFonts w:ascii="Times New Roman" w:hAnsi="Times New Roman"/>
          <w:b/>
          <w:color w:val="000000"/>
          <w:sz w:val="22"/>
        </w:rPr>
        <w:t xml:space="preserve">   (Equation 3.1: Reset Gate)</w:t>
      </w:r>
    </w:p>
    <w:p>
      <w:pPr>
        <w:spacing w:line="360" w:lineRule="auto" w:before="120" w:after="120"/>
        <w:ind w:left="454" w:right="454"/>
        <w:jc w:val="center"/>
        <w:pBdr>
          <w:top w:val="single" w:sz="4" w:space="4" w:color="555555"/>
          <w:bottom w:val="single" w:sz="4" w:space="4" w:color="555555"/>
          <w:left w:val="single" w:sz="4" w:space="4" w:color="555555"/>
          <w:right w:val="single" w:sz="4" w:space="4" w:color="555555"/>
        </w:pBdr>
      </w:pPr>
      <w:r>
        <w:rPr>
          <w:rFonts w:ascii="Times New Roman" w:hAnsi="Times New Roman"/>
          <w:color w:val="000000"/>
          <w:sz w:val="22"/>
        </w:rPr>
        <w:t>z_t = σ( W_z · x_t + U_z · h_{t-1} + b_z )</w:t>
      </w:r>
      <w:r>
        <w:rPr>
          <w:rFonts w:ascii="Times New Roman" w:hAnsi="Times New Roman"/>
          <w:b/>
          <w:color w:val="000000"/>
          <w:sz w:val="22"/>
        </w:rPr>
        <w:t xml:space="preserve">   (Equation 3.2: Update Gate)</w:t>
      </w:r>
    </w:p>
    <w:p>
      <w:pPr>
        <w:spacing w:line="360" w:lineRule="auto" w:before="120" w:after="120"/>
        <w:ind w:left="454" w:right="454"/>
        <w:jc w:val="center"/>
        <w:pBdr>
          <w:top w:val="single" w:sz="4" w:space="4" w:color="555555"/>
          <w:bottom w:val="single" w:sz="4" w:space="4" w:color="555555"/>
          <w:left w:val="single" w:sz="4" w:space="4" w:color="555555"/>
          <w:right w:val="single" w:sz="4" w:space="4" w:color="555555"/>
        </w:pBdr>
      </w:pPr>
      <w:r>
        <w:rPr>
          <w:rFonts w:ascii="Times New Roman" w:hAnsi="Times New Roman"/>
          <w:color w:val="000000"/>
          <w:sz w:val="22"/>
        </w:rPr>
        <w:t>h̃_t = tanh( W_h · x_t + U_h · ( r_t ⊙ h_{t-1} ) + b_h )</w:t>
      </w:r>
      <w:r>
        <w:rPr>
          <w:rFonts w:ascii="Times New Roman" w:hAnsi="Times New Roman"/>
          <w:b/>
          <w:color w:val="000000"/>
          <w:sz w:val="22"/>
        </w:rPr>
        <w:t xml:space="preserve">   (Equation 3.3: Candidate State)</w:t>
      </w:r>
    </w:p>
    <w:p>
      <w:pPr>
        <w:spacing w:line="360" w:lineRule="auto" w:before="120" w:after="120"/>
        <w:ind w:left="454" w:right="454"/>
        <w:jc w:val="center"/>
        <w:pBdr>
          <w:top w:val="single" w:sz="4" w:space="4" w:color="555555"/>
          <w:bottom w:val="single" w:sz="4" w:space="4" w:color="555555"/>
          <w:left w:val="single" w:sz="4" w:space="4" w:color="555555"/>
          <w:right w:val="single" w:sz="4" w:space="4" w:color="555555"/>
        </w:pBdr>
      </w:pPr>
      <w:r>
        <w:rPr>
          <w:rFonts w:ascii="Times New Roman" w:hAnsi="Times New Roman"/>
          <w:color w:val="000000"/>
          <w:sz w:val="22"/>
        </w:rPr>
        <w:t>h_t = ( 1 - z_t ) ⊙ h_{t-1} + z_t ⊙ h̃_t</w:t>
      </w:r>
      <w:r>
        <w:rPr>
          <w:rFonts w:ascii="Times New Roman" w:hAnsi="Times New Roman"/>
          <w:b/>
          <w:color w:val="000000"/>
          <w:sz w:val="22"/>
        </w:rPr>
        <w:t xml:space="preserve">   (Equation 3.4: Hidden State Update)</w:t>
      </w:r>
    </w:p>
    <w:p>
      <w:pPr>
        <w:spacing w:line="360" w:lineRule="auto" w:before="0" w:after="160"/>
        <w:ind w:firstLine="567"/>
        <w:jc w:val="both"/>
      </w:pPr>
      <w:r>
        <w:rPr>
          <w:rFonts w:ascii="Times New Roman" w:hAnsi="Times New Roman"/>
          <w:color w:val="000000"/>
          <w:sz w:val="24"/>
        </w:rPr>
        <w:t>where sigma(·) denotes the logistic sigmoid activation function, tanh(·) represents the hyperbolic tangent, and circle-dot denotes element-wise Hadamard multiplication. The reset gate r_t determines how much past state history to discard, while the update gate z_t controls the balance between retaining the previous hidden state h_{t-1} and adopting the candidate state h̃_t.</w:t>
      </w:r>
    </w:p>
    <w:p>
      <w:pPr>
        <w:keepNext/>
        <w:spacing w:line="360" w:lineRule="auto" w:before="280" w:after="80"/>
        <w:jc w:val="left"/>
      </w:pPr>
      <w:r>
        <w:rPr>
          <w:rFonts w:ascii="Times New Roman" w:hAnsi="Times New Roman"/>
          <w:b/>
          <w:color w:val="000000"/>
          <w:sz w:val="24"/>
        </w:rPr>
        <w:t>3.5.3 Complete Network Topology and Projection Head</w:t>
      </w:r>
    </w:p>
    <w:p>
      <w:pPr>
        <w:spacing w:line="360" w:lineRule="auto" w:before="0" w:after="160"/>
        <w:ind w:firstLine="567"/>
        <w:jc w:val="both"/>
      </w:pPr>
      <w:r>
        <w:rPr>
          <w:rFonts w:ascii="Times New Roman" w:hAnsi="Times New Roman"/>
          <w:color w:val="000000"/>
          <w:sz w:val="24"/>
        </w:rPr>
        <w:t>The complete PyTorch architecture consists of an input dimension of 24, two stacked recurrent GRU layers with hidden dimension 128 and inter-layer dropout of 0.20, followed by Layer Normalization (LayerNorm(128)) applied to the final sequence timestep h_101. The normalized hidden state is projected through a multi-layer perceptron head: Linear(128 -&gt; 64) -&gt; ReLU -&gt; Dropout(0.10) -&gt; Linear(64 -&gt; 3). The output vector represents the normalized 3D velocity residual pred_norm in R^3. Total trainable parameters equal exactly 166,915 weights.</w:t>
      </w:r>
    </w:p>
    <w:p>
      <w:pPr>
        <w:keepNext/>
        <w:spacing w:line="360" w:lineRule="auto" w:before="360" w:after="120"/>
        <w:jc w:val="left"/>
      </w:pPr>
      <w:r>
        <w:rPr>
          <w:rFonts w:ascii="Times New Roman" w:hAnsi="Times New Roman"/>
          <w:b/>
          <w:color w:val="000000"/>
          <w:sz w:val="28"/>
          <w:u w:val="single"/>
        </w:rPr>
        <w:t>3.6 Model Training Methodology</w:t>
      </w:r>
    </w:p>
    <w:p>
      <w:pPr>
        <w:spacing w:line="360" w:lineRule="auto" w:before="0" w:after="160"/>
        <w:ind w:firstLine="567"/>
        <w:jc w:val="both"/>
      </w:pPr>
      <w:r>
        <w:rPr>
          <w:rFonts w:ascii="Times New Roman" w:hAnsi="Times New Roman"/>
          <w:color w:val="000000"/>
          <w:sz w:val="24"/>
        </w:rPr>
        <w:t>The model training program progressed through three distinct research iterations: (1) baseline architecture comparison, (2) discovery and diagnosis of closed-loop distribution shift, and (3) on-policy training with dataset augmentation.</w:t>
      </w:r>
    </w:p>
    <w:p>
      <w:pPr>
        <w:keepNext/>
        <w:spacing w:line="360" w:lineRule="auto" w:before="280" w:after="80"/>
        <w:jc w:val="left"/>
      </w:pPr>
      <w:r>
        <w:rPr>
          <w:rFonts w:ascii="Times New Roman" w:hAnsi="Times New Roman"/>
          <w:b/>
          <w:color w:val="000000"/>
          <w:sz w:val="24"/>
        </w:rPr>
        <w:t>3.6.1 Preliminary Supervised Architecture Selection: LSTM vs. GRU</w:t>
      </w:r>
    </w:p>
    <w:p>
      <w:pPr>
        <w:spacing w:line="360" w:lineRule="auto" w:before="0" w:after="160"/>
        <w:ind w:firstLine="567"/>
        <w:jc w:val="both"/>
      </w:pPr>
      <w:r>
        <w:rPr>
          <w:rFonts w:ascii="Times New Roman" w:hAnsi="Times New Roman"/>
          <w:color w:val="000000"/>
          <w:sz w:val="24"/>
        </w:rPr>
        <w:t>In the initial exploratory phase (Notebook L07), identical supervised window-level prediction tasks were executed to compare an LSTM architecture against a GRU architecture. As documented in the project logs, the GRU achieved a validation macro velocity RMSE of 41.952 m/s (best epoch 15) compared to 71.631 m/s for the LSTM (best epoch 7), while utilizing 24% fewer parameters (166,915 vs. 219,651). Consequently, the GRU was selected as the foundational model.</w:t>
      </w:r>
    </w:p>
    <w:p>
      <w:pPr>
        <w:keepNext/>
        <w:spacing w:line="360" w:lineRule="auto" w:before="280" w:after="80"/>
        <w:jc w:val="left"/>
      </w:pPr>
      <w:r>
        <w:rPr>
          <w:rFonts w:ascii="Times New Roman" w:hAnsi="Times New Roman"/>
          <w:b/>
          <w:color w:val="000000"/>
          <w:sz w:val="24"/>
        </w:rPr>
        <w:t>3.6.2 The Closed-Loop Failure of Early C0 Integration</w:t>
      </w:r>
    </w:p>
    <w:p>
      <w:pPr>
        <w:spacing w:line="360" w:lineRule="auto" w:before="0" w:after="160"/>
        <w:ind w:firstLine="567"/>
        <w:jc w:val="both"/>
      </w:pPr>
      <w:r>
        <w:rPr>
          <w:rFonts w:ascii="Times New Roman" w:hAnsi="Times New Roman"/>
          <w:color w:val="000000"/>
          <w:sz w:val="24"/>
        </w:rPr>
        <w:t>Crucially, when the early supervised GRU model was integrated into a recursive closed-loop Kalman filter (the initial C0 experiment, Notebook L08), the results were catastrophic on held-out tests. On the transition_3 flight, position RMSE increased from 20,040 m to 41,209 m (-105.63% degradation); on hamburgLock_3, error increased from 91.5 m to 131.9 m (-44.22%); and on seq9, error increased from 4,595 m to 6,969 m (-51.66%). Three-flight macro position RMSE doubled from 8,242 m to 16,103 m.</w:t>
      </w:r>
    </w:p>
    <w:p>
      <w:pPr>
        <w:spacing w:line="360" w:lineRule="auto" w:before="0" w:after="160"/>
        <w:ind w:firstLine="567"/>
        <w:jc w:val="both"/>
      </w:pPr>
      <w:r>
        <w:rPr>
          <w:rFonts w:ascii="Times New Roman" w:hAnsi="Times New Roman"/>
          <w:color w:val="000000"/>
          <w:sz w:val="24"/>
        </w:rPr>
        <w:t>This failure revealed a critical scientific lesson: Closed-Loop Covariate Shift. In supervised training, the network only saw features generated along the prediction-only ESKF drift manifold. In a recursive loop, each applied velocity update slightly alters subsequent state estimates and uncertainties. If the network outputs even a minor erroneous prediction, the estimator enters an unfamiliar feature regime, causing the recurrent model to output larger erroneous residuals, rapidly triggering positive feedback and catastrophic divergence.</w:t>
      </w:r>
    </w:p>
    <w:p>
      <w:pPr>
        <w:keepNext/>
        <w:spacing w:line="360" w:lineRule="auto" w:before="280" w:after="80"/>
        <w:jc w:val="left"/>
      </w:pPr>
      <w:r>
        <w:rPr>
          <w:rFonts w:ascii="Times New Roman" w:hAnsi="Times New Roman"/>
          <w:b/>
          <w:color w:val="000000"/>
          <w:sz w:val="24"/>
        </w:rPr>
        <w:t>3.6.3 Iteration 3: On-Policy Training with Balanced Multi-Regime Augmentation</w:t>
      </w:r>
    </w:p>
    <w:p>
      <w:pPr>
        <w:spacing w:line="360" w:lineRule="auto" w:before="0" w:after="160"/>
        <w:ind w:firstLine="567"/>
        <w:jc w:val="both"/>
      </w:pPr>
      <w:r>
        <w:rPr>
          <w:rFonts w:ascii="Times New Roman" w:hAnsi="Times New Roman"/>
          <w:color w:val="000000"/>
          <w:sz w:val="24"/>
        </w:rPr>
        <w:t>To resolve closed-loop shift, the training methodology was completely overhauled in Iteration 3 (Notebook L09). Rather than training only on open-loop traces, training windows were generated from three balanced behavioral regimes: (1) 2,771 Open-Loop windows from pure prediction-only traces; (2) 2,771 V1 Closed-Loop windows from historical integration rollouts; and (3) 2,771 V2 On-Policy windows visited by the improved aided estimator with newly re-matched residual targets. This yielded 8,313 total training windows.</w:t>
      </w:r>
    </w:p>
    <w:p>
      <w:pPr>
        <w:spacing w:line="360" w:lineRule="auto" w:before="0" w:after="160"/>
        <w:ind w:firstLine="567"/>
        <w:jc w:val="both"/>
      </w:pPr>
      <w:r>
        <w:rPr>
          <w:rFonts w:ascii="Times New Roman" w:hAnsi="Times New Roman"/>
          <w:color w:val="000000"/>
          <w:sz w:val="24"/>
        </w:rPr>
        <w:t>Training was executed using the Adam optimizer with initial learning rate 1e-3, batch size 64, Mean Squared Error (MSE) loss, and early stopping. Training converged at epoch 30 (checkpoint `PROJECT_GHOST_GRU_V3_BEST_VALIDATION.pt`), achieving a validation macro velocity RMSE of 2.2397 m/s, global RMSE of 2.3259 m/s, and MAE of 1.7475 m/s. Table 3.5 summarizes the training parameters.</w:t>
      </w:r>
    </w:p>
    <w:p>
      <w:pPr>
        <w:spacing w:before="200" w:after="80" w:line="360" w:lineRule="auto"/>
        <w:jc w:val="center"/>
      </w:pPr>
      <w:r>
        <w:rPr>
          <w:rFonts w:ascii="Times New Roman" w:hAnsi="Times New Roman"/>
          <w:b/>
          <w:color w:val="000000"/>
          <w:sz w:val="21"/>
        </w:rPr>
        <w:t>Table 3.5: Final GRU V3 Training Hyperparameters, Dataset Regimes, and Optimization Settings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000000"/>
          <w:insideV w:val="single" w:sz="4" w:space="0" w:color="000000"/>
          <w:left w:val="single" w:sz="6" w:space="0" w:color="000000"/>
          <w:right w:val="single" w:sz="6" w:space="0" w:color="000000"/>
        </w:tblBorders>
      </w:tblPr>
      <w:tblGrid>
        <w:gridCol w:w="3118"/>
        <w:gridCol w:w="3118"/>
        <w:gridCol w:w="3118"/>
      </w:tblGrid>
      <w:tr>
        <w:tc>
          <w:tcPr>
            <w:tcW w:type="dxa" w:w="2154"/>
            <w:vAlign w:val="center"/>
            <w:tcMar>
              <w:top w:w="80" w:type="dxa"/>
              <w:bottom w:w="80" w:type="dxa"/>
              <w:left w:w="110" w:type="dxa"/>
              <w:right w:w="110" w:type="dxa"/>
            </w:tcMar>
            <w:shd w:fill="E2E8F0" w:val="clear"/>
          </w:tcPr>
          <w:p>
            <w:pPr>
              <w:spacing w:line="360" w:lineRule="auto" w:before="40" w:after="40"/>
              <w:jc w:val="center"/>
            </w:pPr>
            <w:r>
              <w:rPr>
                <w:rFonts w:ascii="Times New Roman" w:hAnsi="Times New Roman"/>
                <w:b/>
                <w:color w:val="000000"/>
                <w:sz w:val="20"/>
              </w:rPr>
              <w:t>Hyperparameter / Training Setting</w:t>
            </w:r>
          </w:p>
        </w:tc>
        <w:tc>
          <w:tcPr>
            <w:tcW w:type="dxa" w:w="2381"/>
            <w:vAlign w:val="center"/>
            <w:tcMar>
              <w:top w:w="80" w:type="dxa"/>
              <w:bottom w:w="80" w:type="dxa"/>
              <w:left w:w="110" w:type="dxa"/>
              <w:right w:w="110" w:type="dxa"/>
            </w:tcMar>
            <w:shd w:fill="E2E8F0" w:val="clear"/>
          </w:tcPr>
          <w:p>
            <w:pPr>
              <w:spacing w:line="360" w:lineRule="auto" w:before="40" w:after="40"/>
              <w:jc w:val="center"/>
            </w:pPr>
            <w:r>
              <w:rPr>
                <w:rFonts w:ascii="Times New Roman" w:hAnsi="Times New Roman"/>
                <w:b/>
                <w:color w:val="000000"/>
                <w:sz w:val="20"/>
              </w:rPr>
              <w:t>Configured Value</w:t>
            </w:r>
          </w:p>
        </w:tc>
        <w:tc>
          <w:tcPr>
            <w:tcW w:type="dxa" w:w="4082"/>
            <w:vAlign w:val="center"/>
            <w:tcMar>
              <w:top w:w="80" w:type="dxa"/>
              <w:bottom w:w="80" w:type="dxa"/>
              <w:left w:w="110" w:type="dxa"/>
              <w:right w:w="110" w:type="dxa"/>
            </w:tcMar>
            <w:shd w:fill="E2E8F0" w:val="clear"/>
          </w:tcPr>
          <w:p>
            <w:pPr>
              <w:spacing w:line="360" w:lineRule="auto" w:before="40" w:after="40"/>
              <w:jc w:val="center"/>
            </w:pPr>
            <w:r>
              <w:rPr>
                <w:rFonts w:ascii="Times New Roman" w:hAnsi="Times New Roman"/>
                <w:b/>
                <w:color w:val="000000"/>
                <w:sz w:val="20"/>
              </w:rPr>
              <w:t>Methodological Rationale</w:t>
            </w:r>
          </w:p>
        </w:tc>
      </w:tr>
      <w:tr>
        <w:tc>
          <w:tcPr>
            <w:tcW w:type="dxa" w:w="215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Total Training Windows</w:t>
            </w:r>
          </w:p>
        </w:tc>
        <w:tc>
          <w:tcPr>
            <w:tcW w:type="dxa" w:w="2381"/>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8,313 Augmented Windows</w:t>
            </w:r>
          </w:p>
        </w:tc>
        <w:tc>
          <w:tcPr>
            <w:tcW w:type="dxa" w:w="4082"/>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Balanced across 2,771 Open-Loop + 2,771 V1 Closed + 2,771 V2 On-Policy</w:t>
            </w:r>
          </w:p>
        </w:tc>
      </w:tr>
      <w:tr>
        <w:tc>
          <w:tcPr>
            <w:tcW w:type="dxa" w:w="215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Context Window Length</w:t>
            </w:r>
          </w:p>
        </w:tc>
        <w:tc>
          <w:tcPr>
            <w:tcW w:type="dxa" w:w="2381"/>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1.0 second (101 timesteps at 100 Hz)</w:t>
            </w:r>
          </w:p>
        </w:tc>
        <w:tc>
          <w:tcPr>
            <w:tcW w:type="dxa" w:w="4082"/>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Captures complete quadrotor dynamic transient history with endpoints</w:t>
            </w:r>
          </w:p>
        </w:tc>
      </w:tr>
      <w:tr>
        <w:tc>
          <w:tcPr>
            <w:tcW w:type="dxa" w:w="215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Optimizer &amp; Learning Rate</w:t>
            </w:r>
          </w:p>
        </w:tc>
        <w:tc>
          <w:tcPr>
            <w:tcW w:type="dxa" w:w="2381"/>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Adam, Initial lr = 1.0e-3</w:t>
            </w:r>
          </w:p>
        </w:tc>
        <w:tc>
          <w:tcPr>
            <w:tcW w:type="dxa" w:w="4082"/>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Adaptive moment estimation with ReduceLROnPlateau decay</w:t>
            </w:r>
          </w:p>
        </w:tc>
      </w:tr>
      <w:tr>
        <w:tc>
          <w:tcPr>
            <w:tcW w:type="dxa" w:w="215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Loss Function</w:t>
            </w:r>
          </w:p>
        </w:tc>
        <w:tc>
          <w:tcPr>
            <w:tcW w:type="dxa" w:w="2381"/>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Mean Squared Error (MSE)</w:t>
            </w:r>
          </w:p>
        </w:tc>
        <w:tc>
          <w:tcPr>
            <w:tcW w:type="dxa" w:w="4082"/>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Penalizes Euclidean velocity residual errors equally across axes</w:t>
            </w:r>
          </w:p>
        </w:tc>
      </w:tr>
      <w:tr>
        <w:tc>
          <w:tcPr>
            <w:tcW w:type="dxa" w:w="215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Batch Size &amp; Epochs</w:t>
            </w:r>
          </w:p>
        </w:tc>
        <w:tc>
          <w:tcPr>
            <w:tcW w:type="dxa" w:w="2381"/>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Batch Size = 64, Max Epochs = 44</w:t>
            </w:r>
          </w:p>
        </w:tc>
        <w:tc>
          <w:tcPr>
            <w:tcW w:type="dxa" w:w="4082"/>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Best validation checkpoint selected at Epoch 30</w:t>
            </w:r>
          </w:p>
        </w:tc>
      </w:tr>
      <w:tr>
        <w:tc>
          <w:tcPr>
            <w:tcW w:type="dxa" w:w="215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Checkpoint Metric</w:t>
            </w:r>
          </w:p>
        </w:tc>
        <w:tc>
          <w:tcPr>
            <w:tcW w:type="dxa" w:w="2381"/>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Validation Macro Velocity RMSE</w:t>
            </w:r>
          </w:p>
        </w:tc>
        <w:tc>
          <w:tcPr>
            <w:tcW w:type="dxa" w:w="4082"/>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2.2397 m/s on V2 on-policy validation rollouts</w:t>
            </w:r>
          </w:p>
        </w:tc>
      </w:tr>
      <w:tr>
        <w:tc>
          <w:tcPr>
            <w:tcW w:type="dxa" w:w="215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Model Checkpoint Hash</w:t>
            </w:r>
          </w:p>
        </w:tc>
        <w:tc>
          <w:tcPr>
            <w:tcW w:type="dxa" w:w="2381"/>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SHA-256: f4158ff782b7...</w:t>
            </w:r>
          </w:p>
        </w:tc>
        <w:tc>
          <w:tcPr>
            <w:tcW w:type="dxa" w:w="4082"/>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Verified cryptographic hash locked in configuration manifest</w:t>
            </w:r>
          </w:p>
        </w:tc>
      </w:tr>
    </w:tbl>
    <w:p>
      <w:pPr>
        <w:keepNext/>
        <w:spacing w:line="360" w:lineRule="auto" w:before="360" w:after="120"/>
        <w:jc w:val="left"/>
      </w:pPr>
      <w:r>
        <w:rPr>
          <w:rFonts w:ascii="Times New Roman" w:hAnsi="Times New Roman"/>
          <w:b/>
          <w:color w:val="000000"/>
          <w:sz w:val="28"/>
          <w:u w:val="single"/>
        </w:rPr>
        <w:t>3.7 Integration of the Trained Models into the Complete System</w:t>
      </w:r>
    </w:p>
    <w:p>
      <w:pPr>
        <w:spacing w:line="360" w:lineRule="auto" w:before="0" w:after="160"/>
        <w:ind w:firstLine="567"/>
        <w:jc w:val="both"/>
      </w:pPr>
      <w:r>
        <w:rPr>
          <w:rFonts w:ascii="Times New Roman" w:hAnsi="Times New Roman"/>
          <w:color w:val="000000"/>
          <w:sz w:val="24"/>
        </w:rPr>
        <w:t>Deploying deep neural networks within recursive estimation pipelines requires bulletproof safety mechanisms. Unbounded neural outputs can corrupt Kalman filter state covariance, causing filter divergence. This project implements a Four-Stage Cascaded Safety Gate to validate every incoming prediction before applying it to the estimator, as illustrated in Figure 3.3.</w:t>
      </w:r>
    </w:p>
    <w:p>
      <w:pPr>
        <w:spacing w:before="200" w:after="80"/>
        <w:jc w:val="center"/>
      </w:pPr>
      <w:r>
        <w:drawing>
          <wp:inline xmlns:a="http://schemas.openxmlformats.org/drawingml/2006/main" xmlns:pic="http://schemas.openxmlformats.org/drawingml/2006/picture">
            <wp:extent cx="5303520" cy="1982124"/>
            <wp:docPr id="3" name="Picture 3"/>
            <wp:cNvGraphicFramePr>
              <a:graphicFrameLocks noChangeAspect="1"/>
            </wp:cNvGraphicFramePr>
            <a:graphic>
              <a:graphicData uri="http://schemas.openxmlformats.org/drawingml/2006/picture">
                <pic:pic>
                  <pic:nvPicPr>
                    <pic:cNvPr id="0" name="fig_safety_gates.png"/>
                    <pic:cNvPicPr/>
                  </pic:nvPicPr>
                  <pic:blipFill>
                    <a:blip r:embed="rId12"/>
                    <a:stretch>
                      <a:fillRect/>
                    </a:stretch>
                  </pic:blipFill>
                  <pic:spPr>
                    <a:xfrm>
                      <a:off x="0" y="0"/>
                      <a:ext cx="5303520" cy="1982124"/>
                    </a:xfrm>
                    <a:prstGeom prst="rect"/>
                  </pic:spPr>
                </pic:pic>
              </a:graphicData>
            </a:graphic>
          </wp:inline>
        </w:drawing>
      </w:r>
    </w:p>
    <w:p>
      <w:pPr>
        <w:spacing w:before="40" w:after="240" w:line="360" w:lineRule="auto"/>
        <w:jc w:val="center"/>
      </w:pPr>
      <w:r>
        <w:rPr>
          <w:rFonts w:ascii="Times New Roman" w:hAnsi="Times New Roman"/>
          <w:b/>
          <w:color w:val="000000"/>
          <w:sz w:val="21"/>
        </w:rPr>
        <w:t>Figure 3.3: The Four-Stage Cascaded Safety Gating Pipeline for Guarded Kalman Updates</w:t>
      </w:r>
    </w:p>
    <w:p>
      <w:pPr>
        <w:keepNext/>
        <w:spacing w:line="360" w:lineRule="auto" w:before="280" w:after="80"/>
        <w:jc w:val="left"/>
      </w:pPr>
      <w:r>
        <w:rPr>
          <w:rFonts w:ascii="Times New Roman" w:hAnsi="Times New Roman"/>
          <w:b/>
          <w:color w:val="000000"/>
          <w:sz w:val="24"/>
        </w:rPr>
        <w:t>3.7.1 Four-Stage Safety Gating Formulation</w:t>
      </w:r>
    </w:p>
    <w:p>
      <w:pPr>
        <w:spacing w:line="360" w:lineRule="auto" w:before="0" w:after="160"/>
        <w:ind w:firstLine="567"/>
        <w:jc w:val="both"/>
      </w:pPr>
      <w:r>
        <w:rPr>
          <w:rFonts w:ascii="Times New Roman" w:hAnsi="Times New Roman"/>
          <w:color w:val="000000"/>
          <w:sz w:val="24"/>
        </w:rPr>
        <w:t>Every raw prediction delta_v generated by the PyTorch service must successfully clear four sequential validation hurdles:</w:t>
      </w:r>
    </w:p>
    <w:p>
      <w:pPr>
        <w:spacing w:line="360" w:lineRule="auto" w:before="0" w:after="120"/>
        <w:ind w:left="680" w:hanging="340"/>
        <w:jc w:val="both"/>
      </w:pPr>
      <w:r>
        <w:rPr>
          <w:rFonts w:ascii="Times New Roman" w:hAnsi="Times New Roman"/>
          <w:b/>
          <w:color w:val="000000"/>
          <w:sz w:val="24"/>
        </w:rPr>
        <w:t xml:space="preserve">• </w:t>
      </w:r>
      <w:r>
        <w:rPr>
          <w:rFonts w:ascii="Times New Roman" w:hAnsi="Times New Roman"/>
          <w:b/>
          <w:color w:val="000000"/>
          <w:sz w:val="24"/>
        </w:rPr>
        <w:t xml:space="preserve">Stage 1 — Out-of-Distribution (OOD) Mahalanobis Gate: </w:t>
      </w:r>
      <w:r>
        <w:rPr>
          <w:rFonts w:ascii="Times New Roman" w:hAnsi="Times New Roman"/>
          <w:color w:val="000000"/>
          <w:sz w:val="24"/>
        </w:rPr>
        <w:t>Evaluates whether the incoming 101x24 feature tensor resides within the familiar training domain. A 48-dimensional summary vector (mean and standard deviation across the 24 channels) is evaluated against a Ledoit-Wolf regularized covariance model fitted on training data. If the Mahalanobis squared distance exceeds the 95th percentile threshold (Q95 = 74.8123), the update is rejected.</w:t>
      </w:r>
    </w:p>
    <w:p>
      <w:pPr>
        <w:spacing w:line="360" w:lineRule="auto" w:before="0" w:after="120"/>
        <w:ind w:left="680" w:hanging="340"/>
        <w:jc w:val="both"/>
      </w:pPr>
      <w:r>
        <w:rPr>
          <w:rFonts w:ascii="Times New Roman" w:hAnsi="Times New Roman"/>
          <w:b/>
          <w:color w:val="000000"/>
          <w:sz w:val="24"/>
        </w:rPr>
        <w:t xml:space="preserve">• </w:t>
      </w:r>
      <w:r>
        <w:rPr>
          <w:rFonts w:ascii="Times New Roman" w:hAnsi="Times New Roman"/>
          <w:b/>
          <w:color w:val="000000"/>
          <w:sz w:val="24"/>
        </w:rPr>
        <w:t xml:space="preserve">Stage 2 — Temporal Prediction Jump Gate: </w:t>
      </w:r>
      <w:r>
        <w:rPr>
          <w:rFonts w:ascii="Times New Roman" w:hAnsi="Times New Roman"/>
          <w:color w:val="000000"/>
          <w:sz w:val="24"/>
        </w:rPr>
        <w:t>Enforces physical smoothness across consecutive inference cycles. The Euclidean norm between the new velocity residual and the preceding residual ||delta_v_k - delta_v_{k-1}||_2 is computed. If the velocity jump exceeds the 95th percentile threshold (Q95 = 4.5903 m/s), the update is rejected as an unphysical dynamic transient.</w:t>
      </w:r>
    </w:p>
    <w:p>
      <w:pPr>
        <w:spacing w:line="360" w:lineRule="auto" w:before="0" w:after="120"/>
        <w:ind w:left="680" w:hanging="340"/>
        <w:jc w:val="both"/>
      </w:pPr>
      <w:r>
        <w:rPr>
          <w:rFonts w:ascii="Times New Roman" w:hAnsi="Times New Roman"/>
          <w:b/>
          <w:color w:val="000000"/>
          <w:sz w:val="24"/>
        </w:rPr>
        <w:t xml:space="preserve">• </w:t>
      </w:r>
      <w:r>
        <w:rPr>
          <w:rFonts w:ascii="Times New Roman" w:hAnsi="Times New Roman"/>
          <w:b/>
          <w:color w:val="000000"/>
          <w:sz w:val="24"/>
        </w:rPr>
        <w:t xml:space="preserve">Stage 3 — Normalized Innovation Squared (NIS) Statistical Gate: </w:t>
      </w:r>
      <w:r>
        <w:rPr>
          <w:rFonts w:ascii="Times New Roman" w:hAnsi="Times New Roman"/>
          <w:color w:val="000000"/>
          <w:sz w:val="24"/>
        </w:rPr>
        <w:t>Assesses statistical consistency with the Kalman filter's existing covariance. For innovation y_tilde = z_v - H x_hat and innovation covariance S = H P H^T + R, the NIS scalar is evaluated against a chi-square distribution with 3 degrees of freedom at 99% confidence: NIS = y_tilde^T S^{-1} y_tilde &lt;= 11.3449. Updates exceeding 11.3449 are rejected.</w:t>
      </w:r>
    </w:p>
    <w:p>
      <w:pPr>
        <w:spacing w:line="360" w:lineRule="auto" w:before="0" w:after="120"/>
        <w:ind w:left="680" w:hanging="340"/>
        <w:jc w:val="both"/>
      </w:pPr>
      <w:r>
        <w:rPr>
          <w:rFonts w:ascii="Times New Roman" w:hAnsi="Times New Roman"/>
          <w:b/>
          <w:color w:val="000000"/>
          <w:sz w:val="24"/>
        </w:rPr>
        <w:t xml:space="preserve">• </w:t>
      </w:r>
      <w:r>
        <w:rPr>
          <w:rFonts w:ascii="Times New Roman" w:hAnsi="Times New Roman"/>
          <w:b/>
          <w:color w:val="000000"/>
          <w:sz w:val="24"/>
        </w:rPr>
        <w:t xml:space="preserve">Stage 4 — Severe NIS Circuit Breaker and Cooldown Recovery: </w:t>
      </w:r>
      <w:r>
        <w:rPr>
          <w:rFonts w:ascii="Times New Roman" w:hAnsi="Times New Roman"/>
          <w:color w:val="000000"/>
          <w:sz w:val="24"/>
        </w:rPr>
        <w:t>If an innovation exceeds the severe threshold (Severe NIS &gt;= 45.3795, a 4x factor), a hardware-grade circuit breaker trips. The filter enters a 4-update forced cooldown where all neural updates are unconditionally suppressed. Recovery requires a healthy streak of 3 consecutive sub-threshold candidate updates before normal aiding resumes.</w:t>
      </w:r>
    </w:p>
    <w:p>
      <w:pPr>
        <w:keepNext/>
        <w:spacing w:line="360" w:lineRule="auto" w:before="280" w:after="80"/>
        <w:jc w:val="left"/>
      </w:pPr>
      <w:r>
        <w:rPr>
          <w:rFonts w:ascii="Times New Roman" w:hAnsi="Times New Roman"/>
          <w:b/>
          <w:color w:val="000000"/>
          <w:sz w:val="24"/>
        </w:rPr>
        <w:t>3.7.2 ESKF Measurement Update via Joseph-Form Covariance</w:t>
      </w:r>
    </w:p>
    <w:p>
      <w:pPr>
        <w:spacing w:line="360" w:lineRule="auto" w:before="0" w:after="160"/>
        <w:ind w:firstLine="567"/>
        <w:jc w:val="both"/>
      </w:pPr>
      <w:r>
        <w:rPr>
          <w:rFonts w:ascii="Times New Roman" w:hAnsi="Times New Roman"/>
          <w:color w:val="000000"/>
          <w:sz w:val="24"/>
        </w:rPr>
        <w:t>When an update is accepted by all gates, the pseudo-velocity measurement z_v = v_ESKF + delta_v is injected into the Kalman filter. For a 15-state error vector delta_x = [delta_p, delta_v, delta_theta, delta_ba, delta_bg]^T, the measurement Jacobian H in R^{3x15} selects the velocity error block: H = [0_3x3, I_3x3, 0_3x3, 0_3x3, 0_3x3]. The measurement noise covariance matrix R is the empirical covariance of GRU residuals fitted on training data:</w:t>
      </w:r>
    </w:p>
    <w:p>
      <w:pPr>
        <w:spacing w:line="360" w:lineRule="auto" w:before="120" w:after="120"/>
        <w:ind w:left="454" w:right="454"/>
        <w:jc w:val="center"/>
        <w:pBdr>
          <w:top w:val="single" w:sz="4" w:space="4" w:color="555555"/>
          <w:bottom w:val="single" w:sz="4" w:space="4" w:color="555555"/>
          <w:left w:val="single" w:sz="4" w:space="4" w:color="555555"/>
          <w:right w:val="single" w:sz="4" w:space="4" w:color="555555"/>
        </w:pBdr>
      </w:pPr>
      <w:r>
        <w:rPr>
          <w:rFonts w:ascii="Times New Roman" w:hAnsi="Times New Roman"/>
          <w:color w:val="000000"/>
          <w:sz w:val="22"/>
        </w:rPr>
        <w:t>R = [ [10.926, 8.467, 6.627], [8.467, 22.102, 8.100], [6.627, 8.100, 17.566] ]  (m/s)^2</w:t>
      </w:r>
      <w:r>
        <w:rPr>
          <w:rFonts w:ascii="Times New Roman" w:hAnsi="Times New Roman"/>
          <w:b/>
          <w:color w:val="000000"/>
          <w:sz w:val="22"/>
        </w:rPr>
        <w:t xml:space="preserve">   (Equation 3.5: Empirical Noise Covariance)</w:t>
      </w:r>
    </w:p>
    <w:p>
      <w:pPr>
        <w:spacing w:line="360" w:lineRule="auto" w:before="0" w:after="160"/>
        <w:ind w:firstLine="567"/>
        <w:jc w:val="both"/>
      </w:pPr>
      <w:r>
        <w:rPr>
          <w:rFonts w:ascii="Times New Roman" w:hAnsi="Times New Roman"/>
          <w:color w:val="000000"/>
          <w:sz w:val="24"/>
        </w:rPr>
        <w:t>The optimal Kalman gain is computed as K = P H^T S^{-1}. To guarantee positive semi-definiteness and prevent round-off degradation under repeated matrix multiplications, the state error covariance P is updated using the numerically stabilized Joseph Form:</w:t>
      </w:r>
    </w:p>
    <w:p>
      <w:pPr>
        <w:spacing w:line="360" w:lineRule="auto" w:before="120" w:after="120"/>
        <w:ind w:left="454" w:right="454"/>
        <w:jc w:val="center"/>
        <w:pBdr>
          <w:top w:val="single" w:sz="4" w:space="4" w:color="555555"/>
          <w:bottom w:val="single" w:sz="4" w:space="4" w:color="555555"/>
          <w:left w:val="single" w:sz="4" w:space="4" w:color="555555"/>
          <w:right w:val="single" w:sz="4" w:space="4" w:color="555555"/>
        </w:pBdr>
      </w:pPr>
      <w:r>
        <w:rPr>
          <w:rFonts w:ascii="Times New Roman" w:hAnsi="Times New Roman"/>
          <w:color w:val="000000"/>
          <w:sz w:val="22"/>
        </w:rPr>
        <w:t>P_k = ( I - K H ) · P_{k|k-1} · ( I - K H )ᵀ + K · R · Kᵀ</w:t>
      </w:r>
      <w:r>
        <w:rPr>
          <w:rFonts w:ascii="Times New Roman" w:hAnsi="Times New Roman"/>
          <w:b/>
          <w:color w:val="000000"/>
          <w:sz w:val="22"/>
        </w:rPr>
        <w:t xml:space="preserve">   (Equation 3.6: Joseph-Form Update)</w:t>
      </w:r>
    </w:p>
    <w:p>
      <w:pPr>
        <w:spacing w:line="360" w:lineRule="auto" w:before="0" w:after="160"/>
        <w:ind w:firstLine="567"/>
        <w:jc w:val="both"/>
      </w:pPr>
      <w:r>
        <w:rPr>
          <w:rFonts w:ascii="Times New Roman" w:hAnsi="Times New Roman"/>
          <w:color w:val="000000"/>
          <w:sz w:val="24"/>
        </w:rPr>
        <w:t>The estimated error delta_x_hat is injected back into the nominal state: p &lt;- p + delta_p_hat, v &lt;- v + delta_v_hat, q &lt;- q (x) exp(0.5 * delta_theta_hat), and the error vector is mathematically reset to zero (delta_x &lt;- 0).</w:t>
      </w:r>
    </w:p>
    <w:p>
      <w:pPr>
        <w:keepNext/>
        <w:spacing w:line="360" w:lineRule="auto" w:before="360" w:after="120"/>
        <w:jc w:val="left"/>
      </w:pPr>
      <w:r>
        <w:rPr>
          <w:rFonts w:ascii="Times New Roman" w:hAnsi="Times New Roman"/>
          <w:b/>
          <w:color w:val="000000"/>
          <w:sz w:val="28"/>
          <w:u w:val="single"/>
        </w:rPr>
        <w:t>3.8 System Execution and Operational Workflow</w:t>
      </w:r>
    </w:p>
    <w:p>
      <w:pPr>
        <w:spacing w:line="360" w:lineRule="auto" w:before="0" w:after="160"/>
        <w:ind w:firstLine="567"/>
        <w:jc w:val="both"/>
      </w:pPr>
      <w:r>
        <w:rPr>
          <w:rFonts w:ascii="Times New Roman" w:hAnsi="Times New Roman"/>
          <w:color w:val="000000"/>
          <w:sz w:val="24"/>
        </w:rPr>
        <w:t>This section provides a verified, end-to-end execution workflow allowing independent researchers to launch and evaluate the complete system from scratch on any workstation.</w:t>
      </w:r>
    </w:p>
    <w:p>
      <w:pPr>
        <w:keepNext/>
        <w:spacing w:line="360" w:lineRule="auto" w:before="280" w:after="80"/>
        <w:jc w:val="left"/>
      </w:pPr>
      <w:r>
        <w:rPr>
          <w:rFonts w:ascii="Times New Roman" w:hAnsi="Times New Roman"/>
          <w:b/>
          <w:color w:val="000000"/>
          <w:sz w:val="24"/>
        </w:rPr>
        <w:t>3.8.1 Prerequisites and Dependency Setup</w:t>
      </w:r>
    </w:p>
    <w:p>
      <w:pPr>
        <w:spacing w:line="360" w:lineRule="auto" w:before="0" w:after="160"/>
        <w:ind w:firstLine="567"/>
        <w:jc w:val="both"/>
      </w:pPr>
      <w:r>
        <w:rPr>
          <w:rFonts w:ascii="Times New Roman" w:hAnsi="Times New Roman"/>
          <w:color w:val="000000"/>
          <w:sz w:val="24"/>
        </w:rPr>
        <w:t>The host machine requires Node.js (version 18.0 or higher), Python (version 3.10 or 3.11), and Git. Dependencies are installed via:</w:t>
      </w:r>
    </w:p>
    <w:p>
      <w:pPr>
        <w:spacing w:line="360" w:lineRule="auto" w:before="0" w:after="160"/>
        <w:ind w:firstLine="0"/>
        <w:jc w:val="both"/>
      </w:pPr>
      <w:r>
        <w:rPr>
          <w:rFonts w:ascii="Times New Roman" w:hAnsi="Times New Roman"/>
          <w:color w:val="000000"/>
          <w:sz w:val="24"/>
        </w:rPr>
        <w:t xml:space="preserve">    # 1. Install Node.js simulation dependencies</w:t>
        <w:br/>
        <w:t xml:space="preserve">    npm install</w:t>
        <w:br/>
        <w:br/>
        <w:t xml:space="preserve">    # 2. Configure Python virtual environment and AI dependencies</w:t>
        <w:br/>
        <w:t xml:space="preserve">    python -m venv .venv</w:t>
        <w:br/>
        <w:t xml:space="preserve">    .venv\Scripts\pip install -r requirements.txt</w:t>
      </w:r>
    </w:p>
    <w:p>
      <w:pPr>
        <w:keepNext/>
        <w:spacing w:line="360" w:lineRule="auto" w:before="280" w:after="80"/>
        <w:jc w:val="left"/>
      </w:pPr>
      <w:r>
        <w:rPr>
          <w:rFonts w:ascii="Times New Roman" w:hAnsi="Times New Roman"/>
          <w:b/>
          <w:color w:val="000000"/>
          <w:sz w:val="24"/>
        </w:rPr>
        <w:t>3.8.2 Master 1-Click Launch Procedure (`run_simulation.bat`)</w:t>
      </w:r>
    </w:p>
    <w:p>
      <w:pPr>
        <w:spacing w:line="360" w:lineRule="auto" w:before="0" w:after="160"/>
        <w:ind w:firstLine="567"/>
        <w:jc w:val="both"/>
      </w:pPr>
      <w:r>
        <w:rPr>
          <w:rFonts w:ascii="Times New Roman" w:hAnsi="Times New Roman"/>
          <w:color w:val="000000"/>
          <w:sz w:val="24"/>
        </w:rPr>
        <w:t>For Windows workstations, a master automation batch script (`run_simulation.bat`) is provided in the repository root. Double-clicking this file executes the full multi-service deployment: (1) validates node_modules, (2) initializes Python `.venv` and packages, (3) starts the GRU FastAPI server on port 8765 in a titled window, (4) starts the DroNet vision server on port 8766 in a titled window, (5) launches the Vite Three.js simulation server on port 3000, and (6) opens `http://localhost:3000` in the default browser.</w:t>
      </w:r>
    </w:p>
    <w:p>
      <w:pPr>
        <w:keepNext/>
        <w:spacing w:line="360" w:lineRule="auto" w:before="280" w:after="80"/>
        <w:jc w:val="left"/>
      </w:pPr>
      <w:r>
        <w:rPr>
          <w:rFonts w:ascii="Times New Roman" w:hAnsi="Times New Roman"/>
          <w:b/>
          <w:color w:val="000000"/>
          <w:sz w:val="24"/>
        </w:rPr>
        <w:t>3.8.3 Flight Execution and Interactive Route Drawing</w:t>
      </w:r>
    </w:p>
    <w:p>
      <w:pPr>
        <w:spacing w:line="360" w:lineRule="auto" w:before="0" w:after="160"/>
        <w:ind w:firstLine="567"/>
        <w:jc w:val="both"/>
      </w:pPr>
      <w:r>
        <w:rPr>
          <w:rFonts w:ascii="Times New Roman" w:hAnsi="Times New Roman"/>
          <w:color w:val="000000"/>
          <w:sz w:val="24"/>
        </w:rPr>
        <w:t>Once loaded in the browser, the operator executes flight missions using the following standardized control protocol:</w:t>
      </w:r>
    </w:p>
    <w:p>
      <w:pPr>
        <w:spacing w:line="360" w:lineRule="auto" w:before="0" w:after="120"/>
        <w:ind w:left="680" w:hanging="340"/>
        <w:jc w:val="both"/>
      </w:pPr>
      <w:r>
        <w:rPr>
          <w:rFonts w:ascii="Times New Roman" w:hAnsi="Times New Roman"/>
          <w:b/>
          <w:color w:val="000000"/>
          <w:sz w:val="24"/>
        </w:rPr>
        <w:t xml:space="preserve">• </w:t>
      </w:r>
      <w:r>
        <w:rPr>
          <w:rFonts w:ascii="Times New Roman" w:hAnsi="Times New Roman"/>
          <w:b/>
          <w:color w:val="000000"/>
          <w:sz w:val="24"/>
        </w:rPr>
        <w:t xml:space="preserve">Step 1 — Route Planning Mode (Press 'M'): </w:t>
      </w:r>
      <w:r>
        <w:rPr>
          <w:rFonts w:ascii="Times New Roman" w:hAnsi="Times New Roman"/>
          <w:color w:val="000000"/>
          <w:sz w:val="24"/>
        </w:rPr>
        <w:t>Activates an interactive 2D top-down HUD drawing overlay. The user draws an arbitrary spline path using mouse or stylus input. Points are dynamically filtered, smoothed, and projected onto the 3D ground plane as a semi-transparent blue reference trajectory.</w:t>
      </w:r>
    </w:p>
    <w:p>
      <w:pPr>
        <w:spacing w:line="360" w:lineRule="auto" w:before="0" w:after="120"/>
        <w:ind w:left="680" w:hanging="340"/>
        <w:jc w:val="both"/>
      </w:pPr>
      <w:r>
        <w:rPr>
          <w:rFonts w:ascii="Times New Roman" w:hAnsi="Times New Roman"/>
          <w:b/>
          <w:color w:val="000000"/>
          <w:sz w:val="24"/>
        </w:rPr>
        <w:t xml:space="preserve">• </w:t>
      </w:r>
      <w:r>
        <w:rPr>
          <w:rFonts w:ascii="Times New Roman" w:hAnsi="Times New Roman"/>
          <w:b/>
          <w:color w:val="000000"/>
          <w:sz w:val="24"/>
        </w:rPr>
        <w:t xml:space="preserve">Step 2 — Mission Initialization (Press 'S'): </w:t>
      </w:r>
      <w:r>
        <w:rPr>
          <w:rFonts w:ascii="Times New Roman" w:hAnsi="Times New Roman"/>
          <w:color w:val="000000"/>
          <w:sz w:val="24"/>
        </w:rPr>
        <w:t>Validates route geometry, initializes the quadrotor at the starting waypoint, resets the ESKF state covariance, and activates the 100 Hz physics loop. The autonomous path controller begins tracking the planned waypoints.</w:t>
      </w:r>
    </w:p>
    <w:p>
      <w:pPr>
        <w:spacing w:line="360" w:lineRule="auto" w:before="0" w:after="120"/>
        <w:ind w:left="680" w:hanging="340"/>
        <w:jc w:val="both"/>
      </w:pPr>
      <w:r>
        <w:rPr>
          <w:rFonts w:ascii="Times New Roman" w:hAnsi="Times New Roman"/>
          <w:b/>
          <w:color w:val="000000"/>
          <w:sz w:val="24"/>
        </w:rPr>
        <w:t xml:space="preserve">• </w:t>
      </w:r>
      <w:r>
        <w:rPr>
          <w:rFonts w:ascii="Times New Roman" w:hAnsi="Times New Roman"/>
          <w:b/>
          <w:color w:val="000000"/>
          <w:sz w:val="24"/>
        </w:rPr>
        <w:t xml:space="preserve">Step 3 — Autonomous Inference Cadence: </w:t>
      </w:r>
      <w:r>
        <w:rPr>
          <w:rFonts w:ascii="Times New Roman" w:hAnsi="Times New Roman"/>
          <w:color w:val="000000"/>
          <w:sz w:val="24"/>
        </w:rPr>
        <w:t>During flight, the rolling 101x24 feature buffer is continuously built. Every 3.0 seconds (configurable down to 0.5 s in high-fidelity mode), the client transmits the resampled tensor to `http://127.0.0.1:8765/infer`. The returned residual passes through the safety gates and updates the Aided ESKF, visibly pulling the quadrotor back toward the true reference trajectory.</w:t>
      </w:r>
    </w:p>
    <w:p>
      <w:pPr>
        <w:keepNext/>
        <w:spacing w:line="360" w:lineRule="auto" w:before="360" w:after="120"/>
        <w:jc w:val="left"/>
      </w:pPr>
      <w:r>
        <w:rPr>
          <w:rFonts w:ascii="Times New Roman" w:hAnsi="Times New Roman"/>
          <w:b/>
          <w:color w:val="000000"/>
          <w:sz w:val="28"/>
          <w:u w:val="single"/>
        </w:rPr>
        <w:t>3.9 Experimental Setup and Trajectory Evaluation</w:t>
      </w:r>
    </w:p>
    <w:p>
      <w:pPr>
        <w:spacing w:line="360" w:lineRule="auto" w:before="0" w:after="160"/>
        <w:ind w:firstLine="567"/>
        <w:jc w:val="both"/>
      </w:pPr>
      <w:r>
        <w:rPr>
          <w:rFonts w:ascii="Times New Roman" w:hAnsi="Times New Roman"/>
          <w:color w:val="000000"/>
          <w:sz w:val="24"/>
        </w:rPr>
        <w:t>To rigorously assess the system's live tracking accuracy, drift suppression capability, and meteorological resilience, a series of controlled flight experiments was conducted within the 3D urban simulation. The experiments evaluated two canonical flight path geometries under two distinct meteorological conditions: Clear / Calm and Heavy Rain with stochastic wind turbulence.</w:t>
      </w:r>
    </w:p>
    <w:p>
      <w:pPr>
        <w:keepNext/>
        <w:spacing w:line="360" w:lineRule="auto" w:before="280" w:after="80"/>
        <w:jc w:val="left"/>
      </w:pPr>
      <w:r>
        <w:rPr>
          <w:rFonts w:ascii="Times New Roman" w:hAnsi="Times New Roman"/>
          <w:b/>
          <w:color w:val="000000"/>
          <w:sz w:val="24"/>
        </w:rPr>
        <w:t>3.9.1 Experimental Trajectory Descriptions</w:t>
      </w:r>
    </w:p>
    <w:p>
      <w:pPr>
        <w:spacing w:line="360" w:lineRule="auto" w:before="0" w:after="120"/>
        <w:ind w:left="680" w:hanging="340"/>
        <w:jc w:val="both"/>
      </w:pPr>
      <w:r>
        <w:rPr>
          <w:rFonts w:ascii="Times New Roman" w:hAnsi="Times New Roman"/>
          <w:b/>
          <w:color w:val="000000"/>
          <w:sz w:val="24"/>
        </w:rPr>
        <w:t xml:space="preserve">• </w:t>
      </w:r>
      <w:r>
        <w:rPr>
          <w:rFonts w:ascii="Times New Roman" w:hAnsi="Times New Roman"/>
          <w:b/>
          <w:color w:val="000000"/>
          <w:sz w:val="24"/>
        </w:rPr>
        <w:t xml:space="preserve">Benchmark Trajectory 1 (S-Curve Corridor, 157.6 m): </w:t>
      </w:r>
      <w:r>
        <w:rPr>
          <w:rFonts w:ascii="Times New Roman" w:hAnsi="Times New Roman"/>
          <w:color w:val="000000"/>
          <w:sz w:val="24"/>
        </w:rPr>
        <w:t>An S-shaped navigational corridor spanning 157.6 meters over 51.20 seconds of flight. It initiates at coordinate (X=7 m, Y=5 m), executes a smooth eastward transition, curves northward, and terminates at (X=93.0 m, Y=40.0 m, Z=67.0 m). This trajectory tests steady-state drift accumulation along continuous directional curves.</w:t>
      </w:r>
    </w:p>
    <w:p>
      <w:pPr>
        <w:spacing w:line="360" w:lineRule="auto" w:before="0" w:after="120"/>
        <w:ind w:left="680" w:hanging="340"/>
        <w:jc w:val="both"/>
      </w:pPr>
      <w:r>
        <w:rPr>
          <w:rFonts w:ascii="Times New Roman" w:hAnsi="Times New Roman"/>
          <w:b/>
          <w:color w:val="000000"/>
          <w:sz w:val="24"/>
        </w:rPr>
        <w:t xml:space="preserve">• </w:t>
      </w:r>
      <w:r>
        <w:rPr>
          <w:rFonts w:ascii="Times New Roman" w:hAnsi="Times New Roman"/>
          <w:b/>
          <w:color w:val="000000"/>
          <w:sz w:val="24"/>
        </w:rPr>
        <w:t xml:space="preserve">Benchmark Trajectory 2 (Complex Looping Multi-Turn, 268.3 m): </w:t>
      </w:r>
      <w:r>
        <w:rPr>
          <w:rFonts w:ascii="Times New Roman" w:hAnsi="Times New Roman"/>
          <w:color w:val="000000"/>
          <w:sz w:val="24"/>
        </w:rPr>
        <w:t>A highly demanding 3D figure-eight loop spanning 268.3 meters over 72.05 seconds. It features sharp 120-degree reversal turns, rapid lateral banking transitions, and non-planar altitude variations, terminating at (X=50.0 m, Y=50.0 m, Z=55.0 m). This trajectory evaluates the system's ability to maintain estimator stability during extreme attitude changes and high angular rates.</w:t>
      </w:r>
    </w:p>
    <w:p>
      <w:pPr>
        <w:keepNext/>
        <w:spacing w:line="360" w:lineRule="auto" w:before="280" w:after="80"/>
        <w:jc w:val="left"/>
      </w:pPr>
      <w:r>
        <w:rPr>
          <w:rFonts w:ascii="Times New Roman" w:hAnsi="Times New Roman"/>
          <w:b/>
          <w:color w:val="000000"/>
          <w:sz w:val="24"/>
        </w:rPr>
        <w:t>3.9.2 Analysis of Empirical Trajectory Results</w:t>
      </w:r>
    </w:p>
    <w:p>
      <w:pPr>
        <w:spacing w:line="360" w:lineRule="auto" w:before="0" w:after="160"/>
        <w:ind w:firstLine="567"/>
        <w:jc w:val="both"/>
      </w:pPr>
      <w:r>
        <w:rPr>
          <w:rFonts w:ascii="Times New Roman" w:hAnsi="Times New Roman"/>
          <w:color w:val="000000"/>
          <w:sz w:val="24"/>
        </w:rPr>
        <w:t>Figures 3.4 through 3.7 display the actual live telemetry and spatial trajectories captured directly from the Karary University flight system. Each capture records: (1) Reference Path (Dark Blue), (2) Hybrid Aided Estimate (Orange), and (3) Live Telemetry Metrics.</w:t>
      </w:r>
    </w:p>
    <w:p>
      <w:pPr>
        <w:spacing w:before="200" w:after="80"/>
        <w:jc w:val="center"/>
      </w:pPr>
      <w:r>
        <w:drawing>
          <wp:inline xmlns:a="http://schemas.openxmlformats.org/drawingml/2006/main" xmlns:pic="http://schemas.openxmlformats.org/drawingml/2006/picture">
            <wp:extent cx="5303520" cy="4029432"/>
            <wp:docPr id="4" name="Picture 4"/>
            <wp:cNvGraphicFramePr>
              <a:graphicFrameLocks noChangeAspect="1"/>
            </wp:cNvGraphicFramePr>
            <a:graphic>
              <a:graphicData uri="http://schemas.openxmlformats.org/drawingml/2006/picture">
                <pic:pic>
                  <pic:nvPicPr>
                    <pic:cNvPr id="0" name="fig_traj1_clear_calm.png"/>
                    <pic:cNvPicPr/>
                  </pic:nvPicPr>
                  <pic:blipFill>
                    <a:blip r:embed="rId13"/>
                    <a:stretch>
                      <a:fillRect/>
                    </a:stretch>
                  </pic:blipFill>
                  <pic:spPr>
                    <a:xfrm>
                      <a:off x="0" y="0"/>
                      <a:ext cx="5303520" cy="4029432"/>
                    </a:xfrm>
                    <a:prstGeom prst="rect"/>
                  </pic:spPr>
                </pic:pic>
              </a:graphicData>
            </a:graphic>
          </wp:inline>
        </w:drawing>
      </w:r>
    </w:p>
    <w:p>
      <w:pPr>
        <w:spacing w:before="40" w:after="240" w:line="360" w:lineRule="auto"/>
        <w:jc w:val="center"/>
      </w:pPr>
      <w:r>
        <w:rPr>
          <w:rFonts w:ascii="Times New Roman" w:hAnsi="Times New Roman"/>
          <w:b/>
          <w:color w:val="000000"/>
          <w:sz w:val="21"/>
        </w:rPr>
        <w:t>Figure 3.4: Trajectory 1 (157.6 m S-Curve) under Clear / Calm Conditions (RMSE: 5.402 m, Peak: 13.499 m, Calls: 101)</w:t>
      </w:r>
    </w:p>
    <w:p>
      <w:pPr>
        <w:spacing w:before="200" w:after="80"/>
        <w:jc w:val="center"/>
      </w:pPr>
      <w:r>
        <w:drawing>
          <wp:inline xmlns:a="http://schemas.openxmlformats.org/drawingml/2006/main" xmlns:pic="http://schemas.openxmlformats.org/drawingml/2006/picture">
            <wp:extent cx="5303520" cy="4029432"/>
            <wp:docPr id="5" name="Picture 5"/>
            <wp:cNvGraphicFramePr>
              <a:graphicFrameLocks noChangeAspect="1"/>
            </wp:cNvGraphicFramePr>
            <a:graphic>
              <a:graphicData uri="http://schemas.openxmlformats.org/drawingml/2006/picture">
                <pic:pic>
                  <pic:nvPicPr>
                    <pic:cNvPr id="0" name="fig_traj1_heavy_rain.png"/>
                    <pic:cNvPicPr/>
                  </pic:nvPicPr>
                  <pic:blipFill>
                    <a:blip r:embed="rId14"/>
                    <a:stretch>
                      <a:fillRect/>
                    </a:stretch>
                  </pic:blipFill>
                  <pic:spPr>
                    <a:xfrm>
                      <a:off x="0" y="0"/>
                      <a:ext cx="5303520" cy="4029432"/>
                    </a:xfrm>
                    <a:prstGeom prst="rect"/>
                  </pic:spPr>
                </pic:pic>
              </a:graphicData>
            </a:graphic>
          </wp:inline>
        </w:drawing>
      </w:r>
    </w:p>
    <w:p>
      <w:pPr>
        <w:spacing w:before="40" w:after="240" w:line="360" w:lineRule="auto"/>
        <w:jc w:val="center"/>
      </w:pPr>
      <w:r>
        <w:rPr>
          <w:rFonts w:ascii="Times New Roman" w:hAnsi="Times New Roman"/>
          <w:b/>
          <w:color w:val="000000"/>
          <w:sz w:val="21"/>
        </w:rPr>
        <w:t>Figure 3.5: Trajectory 1 (157.6 m S-Curve) under Heavy Rain Conditions (RMSE: 8.622 m, Peak: 21.663 m, Calls: 101)</w:t>
      </w:r>
    </w:p>
    <w:p>
      <w:pPr>
        <w:spacing w:before="200" w:after="80"/>
        <w:jc w:val="center"/>
      </w:pPr>
      <w:r>
        <w:drawing>
          <wp:inline xmlns:a="http://schemas.openxmlformats.org/drawingml/2006/main" xmlns:pic="http://schemas.openxmlformats.org/drawingml/2006/picture">
            <wp:extent cx="5303520" cy="4029432"/>
            <wp:docPr id="6" name="Picture 6"/>
            <wp:cNvGraphicFramePr>
              <a:graphicFrameLocks noChangeAspect="1"/>
            </wp:cNvGraphicFramePr>
            <a:graphic>
              <a:graphicData uri="http://schemas.openxmlformats.org/drawingml/2006/picture">
                <pic:pic>
                  <pic:nvPicPr>
                    <pic:cNvPr id="0" name="fig_traj2_clear_calm.png"/>
                    <pic:cNvPicPr/>
                  </pic:nvPicPr>
                  <pic:blipFill>
                    <a:blip r:embed="rId15"/>
                    <a:stretch>
                      <a:fillRect/>
                    </a:stretch>
                  </pic:blipFill>
                  <pic:spPr>
                    <a:xfrm>
                      <a:off x="0" y="0"/>
                      <a:ext cx="5303520" cy="4029432"/>
                    </a:xfrm>
                    <a:prstGeom prst="rect"/>
                  </pic:spPr>
                </pic:pic>
              </a:graphicData>
            </a:graphic>
          </wp:inline>
        </w:drawing>
      </w:r>
    </w:p>
    <w:p>
      <w:pPr>
        <w:spacing w:before="40" w:after="240" w:line="360" w:lineRule="auto"/>
        <w:jc w:val="center"/>
      </w:pPr>
      <w:r>
        <w:rPr>
          <w:rFonts w:ascii="Times New Roman" w:hAnsi="Times New Roman"/>
          <w:b/>
          <w:color w:val="000000"/>
          <w:sz w:val="21"/>
        </w:rPr>
        <w:t>Figure 3.6: Trajectory 2 (268.3 m Looping Path) under Clear / Calm Conditions (RMSE: 3.830 m, Peak: 5.794 m, Calls: 143)</w:t>
      </w:r>
    </w:p>
    <w:p>
      <w:pPr>
        <w:spacing w:before="200" w:after="80"/>
        <w:jc w:val="center"/>
      </w:pPr>
      <w:r>
        <w:drawing>
          <wp:inline xmlns:a="http://schemas.openxmlformats.org/drawingml/2006/main" xmlns:pic="http://schemas.openxmlformats.org/drawingml/2006/picture">
            <wp:extent cx="5303520" cy="4029432"/>
            <wp:docPr id="7" name="Picture 7"/>
            <wp:cNvGraphicFramePr>
              <a:graphicFrameLocks noChangeAspect="1"/>
            </wp:cNvGraphicFramePr>
            <a:graphic>
              <a:graphicData uri="http://schemas.openxmlformats.org/drawingml/2006/picture">
                <pic:pic>
                  <pic:nvPicPr>
                    <pic:cNvPr id="0" name="fig_traj2_heavy_rain.png"/>
                    <pic:cNvPicPr/>
                  </pic:nvPicPr>
                  <pic:blipFill>
                    <a:blip r:embed="rId16"/>
                    <a:stretch>
                      <a:fillRect/>
                    </a:stretch>
                  </pic:blipFill>
                  <pic:spPr>
                    <a:xfrm>
                      <a:off x="0" y="0"/>
                      <a:ext cx="5303520" cy="4029432"/>
                    </a:xfrm>
                    <a:prstGeom prst="rect"/>
                  </pic:spPr>
                </pic:pic>
              </a:graphicData>
            </a:graphic>
          </wp:inline>
        </w:drawing>
      </w:r>
    </w:p>
    <w:p>
      <w:pPr>
        <w:spacing w:before="40" w:after="240" w:line="360" w:lineRule="auto"/>
        <w:jc w:val="center"/>
      </w:pPr>
      <w:r>
        <w:rPr>
          <w:rFonts w:ascii="Times New Roman" w:hAnsi="Times New Roman"/>
          <w:b/>
          <w:color w:val="000000"/>
          <w:sz w:val="21"/>
        </w:rPr>
        <w:t>Figure 3.7: Trajectory 2 (268.3 m Looping Path) under Heavy Rain Conditions (RMSE: 6.226 m, Peak: 10.861 m, Calls: 143)</w:t>
      </w:r>
    </w:p>
    <w:p>
      <w:pPr>
        <w:keepNext/>
        <w:spacing w:line="360" w:lineRule="auto" w:before="360" w:after="120"/>
        <w:jc w:val="left"/>
      </w:pPr>
      <w:r>
        <w:rPr>
          <w:rFonts w:ascii="Times New Roman" w:hAnsi="Times New Roman"/>
          <w:b/>
          <w:color w:val="000000"/>
          <w:sz w:val="28"/>
          <w:u w:val="single"/>
        </w:rPr>
        <w:t>3.10 Comparative Analysis of the Trajectory Results</w:t>
      </w:r>
    </w:p>
    <w:p>
      <w:pPr>
        <w:spacing w:line="360" w:lineRule="auto" w:before="0" w:after="160"/>
        <w:ind w:firstLine="567"/>
        <w:jc w:val="both"/>
      </w:pPr>
      <w:r>
        <w:rPr>
          <w:rFonts w:ascii="Times New Roman" w:hAnsi="Times New Roman"/>
          <w:color w:val="000000"/>
          <w:sz w:val="24"/>
        </w:rPr>
        <w:t>Table 3.6 presents an exhaustive quantitative comparison across the four empirical flight evaluations, documenting path lengths, tracking errors, drift rates, inference latencies, and safety gate activation profiles.</w:t>
      </w:r>
    </w:p>
    <w:p>
      <w:pPr>
        <w:spacing w:before="200" w:after="80" w:line="360" w:lineRule="auto"/>
        <w:jc w:val="center"/>
      </w:pPr>
      <w:r>
        <w:rPr>
          <w:rFonts w:ascii="Times New Roman" w:hAnsi="Times New Roman"/>
          <w:b/>
          <w:color w:val="000000"/>
          <w:sz w:val="21"/>
        </w:rPr>
        <w:t>Table 3.6: Quantitative Empirical Comparison of Trajectory Performance Across Weather Regimes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000000"/>
          <w:insideV w:val="single" w:sz="4" w:space="0" w:color="000000"/>
          <w:left w:val="single" w:sz="6" w:space="0" w:color="000000"/>
          <w:right w:val="single" w:sz="6" w:space="0" w:color="000000"/>
        </w:tblBorders>
      </w:tblPr>
      <w:tblGrid>
        <w:gridCol w:w="1039"/>
        <w:gridCol w:w="1039"/>
        <w:gridCol w:w="1039"/>
        <w:gridCol w:w="1039"/>
        <w:gridCol w:w="1039"/>
        <w:gridCol w:w="1039"/>
        <w:gridCol w:w="1039"/>
        <w:gridCol w:w="1039"/>
        <w:gridCol w:w="1039"/>
      </w:tblGrid>
      <w:tr>
        <w:tc>
          <w:tcPr>
            <w:tcW w:type="dxa" w:w="1474"/>
            <w:vAlign w:val="center"/>
            <w:tcMar>
              <w:top w:w="80" w:type="dxa"/>
              <w:bottom w:w="80" w:type="dxa"/>
              <w:left w:w="110" w:type="dxa"/>
              <w:right w:w="110" w:type="dxa"/>
            </w:tcMar>
            <w:shd w:fill="E2E8F0" w:val="clear"/>
          </w:tcPr>
          <w:p>
            <w:pPr>
              <w:spacing w:line="360" w:lineRule="auto" w:before="40" w:after="40"/>
              <w:jc w:val="center"/>
            </w:pPr>
            <w:r>
              <w:rPr>
                <w:rFonts w:ascii="Times New Roman" w:hAnsi="Times New Roman"/>
                <w:b/>
                <w:color w:val="000000"/>
                <w:sz w:val="20"/>
              </w:rPr>
              <w:t>Flight Exp.</w:t>
            </w:r>
          </w:p>
        </w:tc>
        <w:tc>
          <w:tcPr>
            <w:tcW w:type="dxa" w:w="1247"/>
            <w:vAlign w:val="center"/>
            <w:tcMar>
              <w:top w:w="80" w:type="dxa"/>
              <w:bottom w:w="80" w:type="dxa"/>
              <w:left w:w="110" w:type="dxa"/>
              <w:right w:w="110" w:type="dxa"/>
            </w:tcMar>
            <w:shd w:fill="E2E8F0" w:val="clear"/>
          </w:tcPr>
          <w:p>
            <w:pPr>
              <w:spacing w:line="360" w:lineRule="auto" w:before="40" w:after="40"/>
              <w:jc w:val="center"/>
            </w:pPr>
            <w:r>
              <w:rPr>
                <w:rFonts w:ascii="Times New Roman" w:hAnsi="Times New Roman"/>
                <w:b/>
                <w:color w:val="000000"/>
                <w:sz w:val="20"/>
              </w:rPr>
              <w:t>Weather Regime</w:t>
            </w:r>
          </w:p>
        </w:tc>
        <w:tc>
          <w:tcPr>
            <w:tcW w:type="dxa" w:w="1020"/>
            <w:vAlign w:val="center"/>
            <w:tcMar>
              <w:top w:w="80" w:type="dxa"/>
              <w:bottom w:w="80" w:type="dxa"/>
              <w:left w:w="110" w:type="dxa"/>
              <w:right w:w="110" w:type="dxa"/>
            </w:tcMar>
            <w:shd w:fill="E2E8F0" w:val="clear"/>
          </w:tcPr>
          <w:p>
            <w:pPr>
              <w:spacing w:line="360" w:lineRule="auto" w:before="40" w:after="40"/>
              <w:jc w:val="center"/>
            </w:pPr>
            <w:r>
              <w:rPr>
                <w:rFonts w:ascii="Times New Roman" w:hAnsi="Times New Roman"/>
                <w:b/>
                <w:color w:val="000000"/>
                <w:sz w:val="20"/>
              </w:rPr>
              <w:t>Path Length</w:t>
            </w:r>
          </w:p>
        </w:tc>
        <w:tc>
          <w:tcPr>
            <w:tcW w:type="dxa" w:w="907"/>
            <w:vAlign w:val="center"/>
            <w:tcMar>
              <w:top w:w="80" w:type="dxa"/>
              <w:bottom w:w="80" w:type="dxa"/>
              <w:left w:w="110" w:type="dxa"/>
              <w:right w:w="110" w:type="dxa"/>
            </w:tcMar>
            <w:shd w:fill="E2E8F0" w:val="clear"/>
          </w:tcPr>
          <w:p>
            <w:pPr>
              <w:spacing w:line="360" w:lineRule="auto" w:before="40" w:after="40"/>
              <w:jc w:val="center"/>
            </w:pPr>
            <w:r>
              <w:rPr>
                <w:rFonts w:ascii="Times New Roman" w:hAnsi="Times New Roman"/>
                <w:b/>
                <w:color w:val="000000"/>
                <w:sz w:val="20"/>
              </w:rPr>
              <w:t>Flight Time</w:t>
            </w:r>
          </w:p>
        </w:tc>
        <w:tc>
          <w:tcPr>
            <w:tcW w:type="dxa" w:w="1134"/>
            <w:vAlign w:val="center"/>
            <w:tcMar>
              <w:top w:w="80" w:type="dxa"/>
              <w:bottom w:w="80" w:type="dxa"/>
              <w:left w:w="110" w:type="dxa"/>
              <w:right w:w="110" w:type="dxa"/>
            </w:tcMar>
            <w:shd w:fill="E2E8F0" w:val="clear"/>
          </w:tcPr>
          <w:p>
            <w:pPr>
              <w:spacing w:line="360" w:lineRule="auto" w:before="40" w:after="40"/>
              <w:jc w:val="center"/>
            </w:pPr>
            <w:r>
              <w:rPr>
                <w:rFonts w:ascii="Times New Roman" w:hAnsi="Times New Roman"/>
                <w:b/>
                <w:color w:val="000000"/>
                <w:sz w:val="20"/>
              </w:rPr>
              <w:t>Final Pos. Error</w:t>
            </w:r>
          </w:p>
        </w:tc>
        <w:tc>
          <w:tcPr>
            <w:tcW w:type="dxa" w:w="1020"/>
            <w:vAlign w:val="center"/>
            <w:tcMar>
              <w:top w:w="80" w:type="dxa"/>
              <w:bottom w:w="80" w:type="dxa"/>
              <w:left w:w="110" w:type="dxa"/>
              <w:right w:w="110" w:type="dxa"/>
            </w:tcMar>
            <w:shd w:fill="E2E8F0" w:val="clear"/>
          </w:tcPr>
          <w:p>
            <w:pPr>
              <w:spacing w:line="360" w:lineRule="auto" w:before="40" w:after="40"/>
              <w:jc w:val="center"/>
            </w:pPr>
            <w:r>
              <w:rPr>
                <w:rFonts w:ascii="Times New Roman" w:hAnsi="Times New Roman"/>
                <w:b/>
                <w:color w:val="000000"/>
                <w:sz w:val="20"/>
              </w:rPr>
              <w:t>Pos. RMSE</w:t>
            </w:r>
          </w:p>
        </w:tc>
        <w:tc>
          <w:tcPr>
            <w:tcW w:type="dxa" w:w="1020"/>
            <w:vAlign w:val="center"/>
            <w:tcMar>
              <w:top w:w="80" w:type="dxa"/>
              <w:bottom w:w="80" w:type="dxa"/>
              <w:left w:w="110" w:type="dxa"/>
              <w:right w:w="110" w:type="dxa"/>
            </w:tcMar>
            <w:shd w:fill="E2E8F0" w:val="clear"/>
          </w:tcPr>
          <w:p>
            <w:pPr>
              <w:spacing w:line="360" w:lineRule="auto" w:before="40" w:after="40"/>
              <w:jc w:val="center"/>
            </w:pPr>
            <w:r>
              <w:rPr>
                <w:rFonts w:ascii="Times New Roman" w:hAnsi="Times New Roman"/>
                <w:b/>
                <w:color w:val="000000"/>
                <w:sz w:val="20"/>
              </w:rPr>
              <w:t>Peak Error</w:t>
            </w:r>
          </w:p>
        </w:tc>
        <w:tc>
          <w:tcPr>
            <w:tcW w:type="dxa" w:w="1020"/>
            <w:vAlign w:val="center"/>
            <w:tcMar>
              <w:top w:w="80" w:type="dxa"/>
              <w:bottom w:w="80" w:type="dxa"/>
              <w:left w:w="110" w:type="dxa"/>
              <w:right w:w="110" w:type="dxa"/>
            </w:tcMar>
            <w:shd w:fill="E2E8F0" w:val="clear"/>
          </w:tcPr>
          <w:p>
            <w:pPr>
              <w:spacing w:line="360" w:lineRule="auto" w:before="40" w:after="40"/>
              <w:jc w:val="center"/>
            </w:pPr>
            <w:r>
              <w:rPr>
                <w:rFonts w:ascii="Times New Roman" w:hAnsi="Times New Roman"/>
                <w:b/>
                <w:color w:val="000000"/>
                <w:sz w:val="20"/>
              </w:rPr>
              <w:t>Drift Rate</w:t>
            </w:r>
          </w:p>
        </w:tc>
        <w:tc>
          <w:tcPr>
            <w:tcW w:type="dxa" w:w="1020"/>
            <w:vAlign w:val="center"/>
            <w:tcMar>
              <w:top w:w="80" w:type="dxa"/>
              <w:bottom w:w="80" w:type="dxa"/>
              <w:left w:w="110" w:type="dxa"/>
              <w:right w:w="110" w:type="dxa"/>
            </w:tcMar>
            <w:shd w:fill="E2E8F0" w:val="clear"/>
          </w:tcPr>
          <w:p>
            <w:pPr>
              <w:spacing w:line="360" w:lineRule="auto" w:before="40" w:after="40"/>
              <w:jc w:val="center"/>
            </w:pPr>
            <w:r>
              <w:rPr>
                <w:rFonts w:ascii="Times New Roman" w:hAnsi="Times New Roman"/>
                <w:b/>
                <w:color w:val="000000"/>
                <w:sz w:val="20"/>
              </w:rPr>
              <w:t>Avg. Latency</w:t>
            </w:r>
          </w:p>
        </w:tc>
      </w:tr>
      <w:tr>
        <w:tc>
          <w:tcPr>
            <w:tcW w:type="dxa" w:w="147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Traj 1 (S-Curve)</w:t>
            </w:r>
          </w:p>
        </w:tc>
        <w:tc>
          <w:tcPr>
            <w:tcW w:type="dxa" w:w="1247"/>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Clear / Calm</w:t>
            </w:r>
          </w:p>
        </w:tc>
        <w:tc>
          <w:tcPr>
            <w:tcW w:type="dxa" w:w="1020"/>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157.6 m</w:t>
            </w:r>
          </w:p>
        </w:tc>
        <w:tc>
          <w:tcPr>
            <w:tcW w:type="dxa" w:w="907"/>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51.20 s</w:t>
            </w:r>
          </w:p>
        </w:tc>
        <w:tc>
          <w:tcPr>
            <w:tcW w:type="dxa" w:w="113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13.499 m</w:t>
            </w:r>
          </w:p>
        </w:tc>
        <w:tc>
          <w:tcPr>
            <w:tcW w:type="dxa" w:w="1020"/>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5.402 m</w:t>
            </w:r>
          </w:p>
        </w:tc>
        <w:tc>
          <w:tcPr>
            <w:tcW w:type="dxa" w:w="1020"/>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13.499 m</w:t>
            </w:r>
          </w:p>
        </w:tc>
        <w:tc>
          <w:tcPr>
            <w:tcW w:type="dxa" w:w="1020"/>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0.7480 m/s</w:t>
            </w:r>
          </w:p>
        </w:tc>
        <w:tc>
          <w:tcPr>
            <w:tcW w:type="dxa" w:w="1020"/>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12.1 ms</w:t>
            </w:r>
          </w:p>
        </w:tc>
      </w:tr>
      <w:tr>
        <w:tc>
          <w:tcPr>
            <w:tcW w:type="dxa" w:w="147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Traj 1 (S-Curve)</w:t>
            </w:r>
          </w:p>
        </w:tc>
        <w:tc>
          <w:tcPr>
            <w:tcW w:type="dxa" w:w="1247"/>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Heavy Rain</w:t>
            </w:r>
          </w:p>
        </w:tc>
        <w:tc>
          <w:tcPr>
            <w:tcW w:type="dxa" w:w="1020"/>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157.6 m</w:t>
            </w:r>
          </w:p>
        </w:tc>
        <w:tc>
          <w:tcPr>
            <w:tcW w:type="dxa" w:w="907"/>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51.20 s</w:t>
            </w:r>
          </w:p>
        </w:tc>
        <w:tc>
          <w:tcPr>
            <w:tcW w:type="dxa" w:w="113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21.663 m</w:t>
            </w:r>
          </w:p>
        </w:tc>
        <w:tc>
          <w:tcPr>
            <w:tcW w:type="dxa" w:w="1020"/>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8.622 m</w:t>
            </w:r>
          </w:p>
        </w:tc>
        <w:tc>
          <w:tcPr>
            <w:tcW w:type="dxa" w:w="1020"/>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21.663 m</w:t>
            </w:r>
          </w:p>
        </w:tc>
        <w:tc>
          <w:tcPr>
            <w:tcW w:type="dxa" w:w="1020"/>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1.2131 m/s</w:t>
            </w:r>
          </w:p>
        </w:tc>
        <w:tc>
          <w:tcPr>
            <w:tcW w:type="dxa" w:w="1020"/>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26.4 ms</w:t>
            </w:r>
          </w:p>
        </w:tc>
      </w:tr>
      <w:tr>
        <w:tc>
          <w:tcPr>
            <w:tcW w:type="dxa" w:w="147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Traj 2 (Looping)</w:t>
            </w:r>
          </w:p>
        </w:tc>
        <w:tc>
          <w:tcPr>
            <w:tcW w:type="dxa" w:w="1247"/>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Clear / Calm</w:t>
            </w:r>
          </w:p>
        </w:tc>
        <w:tc>
          <w:tcPr>
            <w:tcW w:type="dxa" w:w="1020"/>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268.3 m</w:t>
            </w:r>
          </w:p>
        </w:tc>
        <w:tc>
          <w:tcPr>
            <w:tcW w:type="dxa" w:w="907"/>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72.05 s</w:t>
            </w:r>
          </w:p>
        </w:tc>
        <w:tc>
          <w:tcPr>
            <w:tcW w:type="dxa" w:w="113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5.748 m</w:t>
            </w:r>
          </w:p>
        </w:tc>
        <w:tc>
          <w:tcPr>
            <w:tcW w:type="dxa" w:w="1020"/>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3.830 m</w:t>
            </w:r>
          </w:p>
        </w:tc>
        <w:tc>
          <w:tcPr>
            <w:tcW w:type="dxa" w:w="1020"/>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5.794 m</w:t>
            </w:r>
          </w:p>
        </w:tc>
        <w:tc>
          <w:tcPr>
            <w:tcW w:type="dxa" w:w="1020"/>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0.1400 m/s</w:t>
            </w:r>
          </w:p>
        </w:tc>
        <w:tc>
          <w:tcPr>
            <w:tcW w:type="dxa" w:w="1020"/>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16.0 ms</w:t>
            </w:r>
          </w:p>
        </w:tc>
      </w:tr>
      <w:tr>
        <w:tc>
          <w:tcPr>
            <w:tcW w:type="dxa" w:w="147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Traj 2 (Looping)</w:t>
            </w:r>
          </w:p>
        </w:tc>
        <w:tc>
          <w:tcPr>
            <w:tcW w:type="dxa" w:w="1247"/>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Heavy Rain</w:t>
            </w:r>
          </w:p>
        </w:tc>
        <w:tc>
          <w:tcPr>
            <w:tcW w:type="dxa" w:w="1020"/>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268.3 m</w:t>
            </w:r>
          </w:p>
        </w:tc>
        <w:tc>
          <w:tcPr>
            <w:tcW w:type="dxa" w:w="907"/>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72.05 s</w:t>
            </w:r>
          </w:p>
        </w:tc>
        <w:tc>
          <w:tcPr>
            <w:tcW w:type="dxa" w:w="1134"/>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10.861 m</w:t>
            </w:r>
          </w:p>
        </w:tc>
        <w:tc>
          <w:tcPr>
            <w:tcW w:type="dxa" w:w="1020"/>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6.226 m</w:t>
            </w:r>
          </w:p>
        </w:tc>
        <w:tc>
          <w:tcPr>
            <w:tcW w:type="dxa" w:w="1020"/>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10.861 m</w:t>
            </w:r>
          </w:p>
        </w:tc>
        <w:tc>
          <w:tcPr>
            <w:tcW w:type="dxa" w:w="1020"/>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0.4010 m/s</w:t>
            </w:r>
          </w:p>
        </w:tc>
        <w:tc>
          <w:tcPr>
            <w:tcW w:type="dxa" w:w="1020"/>
            <w:vAlign w:val="center"/>
            <w:tcMar>
              <w:top w:w="80" w:type="dxa"/>
              <w:bottom w:w="80" w:type="dxa"/>
              <w:left w:w="110" w:type="dxa"/>
              <w:right w:w="110" w:type="dxa"/>
            </w:tcMar>
          </w:tcPr>
          <w:p>
            <w:pPr>
              <w:spacing w:line="360" w:lineRule="auto" w:before="40" w:after="40"/>
            </w:pPr>
            <w:r>
              <w:rPr>
                <w:rFonts w:ascii="Times New Roman" w:hAnsi="Times New Roman"/>
                <w:color w:val="000000"/>
                <w:sz w:val="20"/>
              </w:rPr>
              <w:t>17.6 ms</w:t>
            </w:r>
          </w:p>
        </w:tc>
      </w:tr>
    </w:tbl>
    <w:p>
      <w:pPr>
        <w:keepNext/>
        <w:spacing w:line="360" w:lineRule="auto" w:before="280" w:after="80"/>
        <w:jc w:val="left"/>
      </w:pPr>
      <w:r>
        <w:rPr>
          <w:rFonts w:ascii="Times New Roman" w:hAnsi="Times New Roman"/>
          <w:b/>
          <w:color w:val="000000"/>
          <w:sz w:val="24"/>
        </w:rPr>
        <w:t>3.10.1 Mathematical Definitions of Evaluation Error Metrics</w:t>
      </w:r>
    </w:p>
    <w:p>
      <w:pPr>
        <w:spacing w:line="360" w:lineRule="auto" w:before="0" w:after="160"/>
        <w:ind w:firstLine="567"/>
        <w:jc w:val="both"/>
      </w:pPr>
      <w:r>
        <w:rPr>
          <w:rFonts w:ascii="Times New Roman" w:hAnsi="Times New Roman"/>
          <w:color w:val="000000"/>
          <w:sz w:val="24"/>
        </w:rPr>
        <w:t>To ensure rigorous evaluation, all performance criteria are defined mathematically:</w:t>
      </w:r>
    </w:p>
    <w:p>
      <w:pPr>
        <w:spacing w:line="360" w:lineRule="auto" w:before="120" w:after="120"/>
        <w:ind w:left="454" w:right="454"/>
        <w:jc w:val="center"/>
        <w:pBdr>
          <w:top w:val="single" w:sz="4" w:space="4" w:color="555555"/>
          <w:bottom w:val="single" w:sz="4" w:space="4" w:color="555555"/>
          <w:left w:val="single" w:sz="4" w:space="4" w:color="555555"/>
          <w:right w:val="single" w:sz="4" w:space="4" w:color="555555"/>
        </w:pBdr>
      </w:pPr>
      <w:r>
        <w:rPr>
          <w:rFonts w:ascii="Times New Roman" w:hAnsi="Times New Roman"/>
          <w:color w:val="000000"/>
          <w:sz w:val="22"/>
        </w:rPr>
        <w:t>RMSE = sqrt( (1 / N) * sum_{k=1}^N || p_{est}(k) - p_{ref}(k) ||^2 )</w:t>
      </w:r>
      <w:r>
        <w:rPr>
          <w:rFonts w:ascii="Times New Roman" w:hAnsi="Times New Roman"/>
          <w:b/>
          <w:color w:val="000000"/>
          <w:sz w:val="22"/>
        </w:rPr>
        <w:t xml:space="preserve">   (Equation 3.7: Position RMSE)</w:t>
      </w:r>
    </w:p>
    <w:p>
      <w:pPr>
        <w:spacing w:line="360" w:lineRule="auto" w:before="120" w:after="120"/>
        <w:ind w:left="454" w:right="454"/>
        <w:jc w:val="center"/>
        <w:pBdr>
          <w:top w:val="single" w:sz="4" w:space="4" w:color="555555"/>
          <w:bottom w:val="single" w:sz="4" w:space="4" w:color="555555"/>
          <w:left w:val="single" w:sz="4" w:space="4" w:color="555555"/>
          <w:right w:val="single" w:sz="4" w:space="4" w:color="555555"/>
        </w:pBdr>
      </w:pPr>
      <w:r>
        <w:rPr>
          <w:rFonts w:ascii="Times New Roman" w:hAnsi="Times New Roman"/>
          <w:color w:val="000000"/>
          <w:sz w:val="22"/>
        </w:rPr>
        <w:t>e_{peak} = max_{k in [1, N]} || p_{est}(k) - p_{ref}(k) ||</w:t>
      </w:r>
      <w:r>
        <w:rPr>
          <w:rFonts w:ascii="Times New Roman" w:hAnsi="Times New Roman"/>
          <w:b/>
          <w:color w:val="000000"/>
          <w:sz w:val="22"/>
        </w:rPr>
        <w:t xml:space="preserve">   (Equation 3.8: Peak Tracking Error)</w:t>
      </w:r>
    </w:p>
    <w:p>
      <w:pPr>
        <w:spacing w:line="360" w:lineRule="auto" w:before="120" w:after="120"/>
        <w:ind w:left="454" w:right="454"/>
        <w:jc w:val="center"/>
        <w:pBdr>
          <w:top w:val="single" w:sz="4" w:space="4" w:color="555555"/>
          <w:bottom w:val="single" w:sz="4" w:space="4" w:color="555555"/>
          <w:left w:val="single" w:sz="4" w:space="4" w:color="555555"/>
          <w:right w:val="single" w:sz="4" w:space="4" w:color="555555"/>
        </w:pBdr>
      </w:pPr>
      <w:r>
        <w:rPr>
          <w:rFonts w:ascii="Times New Roman" w:hAnsi="Times New Roman"/>
          <w:color w:val="000000"/>
          <w:sz w:val="22"/>
        </w:rPr>
        <w:t>v_{drift} = (1 / t_{final}) * || p_{est}(t_{final}) - p_{ref}(t_{final}) ||</w:t>
      </w:r>
      <w:r>
        <w:rPr>
          <w:rFonts w:ascii="Times New Roman" w:hAnsi="Times New Roman"/>
          <w:b/>
          <w:color w:val="000000"/>
          <w:sz w:val="22"/>
        </w:rPr>
        <w:t xml:space="preserve">   (Equation 3.9: Final Drift Rate)</w:t>
      </w:r>
    </w:p>
    <w:p>
      <w:pPr>
        <w:keepNext/>
        <w:spacing w:line="360" w:lineRule="auto" w:before="280" w:after="80"/>
        <w:jc w:val="left"/>
      </w:pPr>
      <w:r>
        <w:rPr>
          <w:rFonts w:ascii="Times New Roman" w:hAnsi="Times New Roman"/>
          <w:b/>
          <w:color w:val="000000"/>
          <w:sz w:val="24"/>
        </w:rPr>
        <w:t>3.10.2 Scientific Interpretation of Observed Performance</w:t>
      </w:r>
    </w:p>
    <w:p>
      <w:pPr>
        <w:spacing w:line="360" w:lineRule="auto" w:before="0" w:after="160"/>
        <w:ind w:firstLine="567"/>
        <w:jc w:val="both"/>
      </w:pPr>
      <w:r>
        <w:rPr>
          <w:rFonts w:ascii="Times New Roman" w:hAnsi="Times New Roman"/>
          <w:color w:val="000000"/>
          <w:sz w:val="24"/>
        </w:rPr>
        <w:t>Analyzing the empirical telemetry reveals several critical engineering insights:</w:t>
      </w:r>
    </w:p>
    <w:p>
      <w:pPr>
        <w:spacing w:line="360" w:lineRule="auto" w:before="0" w:after="120"/>
        <w:ind w:left="680" w:hanging="340"/>
        <w:jc w:val="both"/>
      </w:pPr>
      <w:r>
        <w:rPr>
          <w:rFonts w:ascii="Times New Roman" w:hAnsi="Times New Roman"/>
          <w:b/>
          <w:color w:val="000000"/>
          <w:sz w:val="24"/>
        </w:rPr>
        <w:t xml:space="preserve">• </w:t>
      </w:r>
      <w:r>
        <w:rPr>
          <w:rFonts w:ascii="Times New Roman" w:hAnsi="Times New Roman"/>
          <w:b/>
          <w:color w:val="000000"/>
          <w:sz w:val="24"/>
        </w:rPr>
        <w:t xml:space="preserve">Impact of Weather Disturbances: </w:t>
      </w:r>
      <w:r>
        <w:rPr>
          <w:rFonts w:ascii="Times New Roman" w:hAnsi="Times New Roman"/>
          <w:color w:val="000000"/>
          <w:sz w:val="24"/>
        </w:rPr>
        <w:t>In both trajectories, heavy rain and wind turbulence induced measurable tracking degradation. On Trajectory 1, position RMSE increased by 59.6% (from 5.402 m to 8.622 m), while drift rate increased from 0.748 m/s to 1.213 m/s. On Trajectory 2, RMSE increased by 62.6% (from 3.830 m to 6.226 m). Precipitation particles create aerodynamic drag and erratic specific force measurements that challenge the neural feature buffer, yet the system successfully maintained stable flight without divergence.</w:t>
      </w:r>
    </w:p>
    <w:p>
      <w:pPr>
        <w:spacing w:line="360" w:lineRule="auto" w:before="0" w:after="120"/>
        <w:ind w:left="680" w:hanging="340"/>
        <w:jc w:val="both"/>
      </w:pPr>
      <w:r>
        <w:rPr>
          <w:rFonts w:ascii="Times New Roman" w:hAnsi="Times New Roman"/>
          <w:b/>
          <w:color w:val="000000"/>
          <w:sz w:val="24"/>
        </w:rPr>
        <w:t xml:space="preserve">• </w:t>
      </w:r>
      <w:r>
        <w:rPr>
          <w:rFonts w:ascii="Times New Roman" w:hAnsi="Times New Roman"/>
          <w:b/>
          <w:color w:val="000000"/>
          <w:sz w:val="24"/>
        </w:rPr>
        <w:t xml:space="preserve">Counter-Intuitive Trajectory Performance: </w:t>
      </w:r>
      <w:r>
        <w:rPr>
          <w:rFonts w:ascii="Times New Roman" w:hAnsi="Times New Roman"/>
          <w:color w:val="000000"/>
          <w:sz w:val="24"/>
        </w:rPr>
        <w:t>Significantly, the longer, more complex Trajectory 2 (268.3 m) exhibited a substantially lower RMSE (3.830 m in calm, 6.226 m in rain) than the shorter Trajectory 1 (157.6 m, RMSE 5.402 m and 8.622 m). As mandated by our core interpretation rules, geometric path length must never be conflated with tracking accuracy. In Trajectory 2, the continuous multi-axis banking turns provided richer, dynamic IMU excitation across all axes, enabling the GRU to infer velocity residuals more decisively than during the sustained unidirectional accelerations of Trajectory 1.</w:t>
      </w:r>
    </w:p>
    <w:p>
      <w:pPr>
        <w:spacing w:line="360" w:lineRule="auto" w:before="0" w:after="120"/>
        <w:ind w:left="680" w:hanging="340"/>
        <w:jc w:val="both"/>
      </w:pPr>
      <w:r>
        <w:rPr>
          <w:rFonts w:ascii="Times New Roman" w:hAnsi="Times New Roman"/>
          <w:b/>
          <w:color w:val="000000"/>
          <w:sz w:val="24"/>
        </w:rPr>
        <w:t xml:space="preserve">• </w:t>
      </w:r>
      <w:r>
        <w:rPr>
          <w:rFonts w:ascii="Times New Roman" w:hAnsi="Times New Roman"/>
          <w:b/>
          <w:color w:val="000000"/>
          <w:sz w:val="24"/>
        </w:rPr>
        <w:t xml:space="preserve">Safety Gate Telemetry Analysis: </w:t>
      </w:r>
      <w:r>
        <w:rPr>
          <w:rFonts w:ascii="Times New Roman" w:hAnsi="Times New Roman"/>
          <w:color w:val="000000"/>
          <w:sz w:val="24"/>
        </w:rPr>
        <w:t>The live telemetry captures reveal the active functioning of the safety gating subsystem. On Trajectory 1, the gate reported 'SYNTHETIC TRUST REJECT' with 4 OOD rejections and 94–96 synthetic safety interventions. On Trajectory 2, 'TEMPORAL JUMP REJECT' was recorded with 36 OOD rejections and 1 temporal jump rejection. This demonstrates that the safety supervisor actively blocked unphysical network outputs during sharp turning transients, preventing filter instability.</w:t>
      </w:r>
    </w:p>
    <w:p>
      <w:pPr>
        <w:keepNext/>
        <w:spacing w:line="360" w:lineRule="auto" w:before="360" w:after="120"/>
        <w:jc w:val="left"/>
      </w:pPr>
      <w:r>
        <w:rPr>
          <w:rFonts w:ascii="Times New Roman" w:hAnsi="Times New Roman"/>
          <w:b/>
          <w:color w:val="000000"/>
          <w:sz w:val="28"/>
          <w:u w:val="single"/>
        </w:rPr>
        <w:t>3.11 Performance Evaluation and Discussion</w:t>
      </w:r>
    </w:p>
    <w:p>
      <w:pPr>
        <w:spacing w:line="360" w:lineRule="auto" w:before="0" w:after="160"/>
        <w:ind w:firstLine="567"/>
        <w:jc w:val="both"/>
      </w:pPr>
      <w:r>
        <w:rPr>
          <w:rFonts w:ascii="Times New Roman" w:hAnsi="Times New Roman"/>
          <w:color w:val="000000"/>
          <w:sz w:val="24"/>
        </w:rPr>
        <w:t>Beyond the live simulation experiments, the overarching efficacy of the Project Ghost methodology is demonstrated by the offline benchmark evaluations documented in the 30-page research report. Across the three validation flights (indoor_1, wicklowTest_5, and seq10), the frozen Safe GRU V3 policy achieved extraordinary relative drift reductions compared to the unassisted prediction-only ESKF baseline, as illustrated in Figure 3.8.</w:t>
      </w:r>
    </w:p>
    <w:p>
      <w:pPr>
        <w:spacing w:before="200" w:after="80"/>
        <w:jc w:val="center"/>
      </w:pPr>
      <w:r>
        <w:drawing>
          <wp:inline xmlns:a="http://schemas.openxmlformats.org/drawingml/2006/main" xmlns:pic="http://schemas.openxmlformats.org/drawingml/2006/picture">
            <wp:extent cx="5303520" cy="2357120"/>
            <wp:docPr id="8" name="Picture 8"/>
            <wp:cNvGraphicFramePr>
              <a:graphicFrameLocks noChangeAspect="1"/>
            </wp:cNvGraphicFramePr>
            <a:graphic>
              <a:graphicData uri="http://schemas.openxmlformats.org/drawingml/2006/picture">
                <pic:pic>
                  <pic:nvPicPr>
                    <pic:cNvPr id="0" name="fig_validation_error_reduction.png"/>
                    <pic:cNvPicPr/>
                  </pic:nvPicPr>
                  <pic:blipFill>
                    <a:blip r:embed="rId17"/>
                    <a:stretch>
                      <a:fillRect/>
                    </a:stretch>
                  </pic:blipFill>
                  <pic:spPr>
                    <a:xfrm>
                      <a:off x="0" y="0"/>
                      <a:ext cx="5303520" cy="2357120"/>
                    </a:xfrm>
                    <a:prstGeom prst="rect"/>
                  </pic:spPr>
                </pic:pic>
              </a:graphicData>
            </a:graphic>
          </wp:inline>
        </w:drawing>
      </w:r>
    </w:p>
    <w:p>
      <w:pPr>
        <w:spacing w:before="40" w:after="240" w:line="360" w:lineRule="auto"/>
        <w:jc w:val="center"/>
      </w:pPr>
      <w:r>
        <w:rPr>
          <w:rFonts w:ascii="Times New Roman" w:hAnsi="Times New Roman"/>
          <w:b/>
          <w:color w:val="000000"/>
          <w:sz w:val="21"/>
        </w:rPr>
        <w:t>Figure 3.8: Quantitative Position and Velocity RMSE Reductions Across Validation Flights (Safe GRU V3 vs. ESKF Baseline)</w:t>
      </w:r>
    </w:p>
    <w:p>
      <w:pPr>
        <w:spacing w:line="360" w:lineRule="auto" w:before="0" w:after="160"/>
        <w:ind w:firstLine="567"/>
        <w:jc w:val="both"/>
      </w:pPr>
      <w:r>
        <w:rPr>
          <w:rFonts w:ascii="Times New Roman" w:hAnsi="Times New Roman"/>
          <w:color w:val="000000"/>
          <w:sz w:val="24"/>
        </w:rPr>
        <w:t>The empirical benchmarks establish the following major findings:</w:t>
      </w:r>
    </w:p>
    <w:p>
      <w:pPr>
        <w:spacing w:line="360" w:lineRule="auto" w:before="0" w:after="120"/>
        <w:ind w:left="680" w:hanging="340"/>
        <w:jc w:val="both"/>
      </w:pPr>
      <w:r>
        <w:rPr>
          <w:rFonts w:ascii="Times New Roman" w:hAnsi="Times New Roman"/>
          <w:b/>
          <w:color w:val="000000"/>
          <w:sz w:val="24"/>
        </w:rPr>
        <w:t xml:space="preserve">• </w:t>
      </w:r>
      <w:r>
        <w:rPr>
          <w:rFonts w:ascii="Times New Roman" w:hAnsi="Times New Roman"/>
          <w:b/>
          <w:color w:val="000000"/>
          <w:sz w:val="24"/>
        </w:rPr>
        <w:t xml:space="preserve">Macro Position RMSE Reduction: </w:t>
      </w:r>
      <w:r>
        <w:rPr>
          <w:rFonts w:ascii="Times New Roman" w:hAnsi="Times New Roman"/>
          <w:color w:val="000000"/>
          <w:sz w:val="24"/>
        </w:rPr>
        <w:t>Across the three validation flights, unweighted macro position RMSE dropped from 6,421.49 meters to 455.24 meters—representing a 92.91% relative error reduction. On indoor_1, error dropped by 95.91% (15,015.1 m -&gt; 614.1 m); on wicklowTest_5, error dropped by 86.77% (2,984.6 m -&gt; 394.9 m); and on seq10, error dropped by 71.80% (1,264.8 m -&gt; 356.7 m).</w:t>
      </w:r>
    </w:p>
    <w:p>
      <w:pPr>
        <w:spacing w:line="360" w:lineRule="auto" w:before="0" w:after="120"/>
        <w:ind w:left="680" w:hanging="340"/>
        <w:jc w:val="both"/>
      </w:pPr>
      <w:r>
        <w:rPr>
          <w:rFonts w:ascii="Times New Roman" w:hAnsi="Times New Roman"/>
          <w:b/>
          <w:color w:val="000000"/>
          <w:sz w:val="24"/>
        </w:rPr>
        <w:t xml:space="preserve">• </w:t>
      </w:r>
      <w:r>
        <w:rPr>
          <w:rFonts w:ascii="Times New Roman" w:hAnsi="Times New Roman"/>
          <w:b/>
          <w:color w:val="000000"/>
          <w:sz w:val="24"/>
        </w:rPr>
        <w:t xml:space="preserve">Macro Velocity RMSE Reduction: </w:t>
      </w:r>
      <w:r>
        <w:rPr>
          <w:rFonts w:ascii="Times New Roman" w:hAnsi="Times New Roman"/>
          <w:color w:val="000000"/>
          <w:sz w:val="24"/>
        </w:rPr>
        <w:t>Macro velocity RMSE decreased from 89.27 m/s to 6.98 m/s—a 92.18% relative reduction. Velocity error on indoor_1 decreased by 96.48% (169.03 -&gt; 5.95 m/s); on wicklowTest_5 by 90.21% (69.88 -&gt; 6.84 m/s); and on seq10 by 71.82% (28.90 -&gt; 8.14 m/s).</w:t>
      </w:r>
    </w:p>
    <w:p>
      <w:pPr>
        <w:spacing w:line="360" w:lineRule="auto" w:before="0" w:after="120"/>
        <w:ind w:left="680" w:hanging="340"/>
        <w:jc w:val="both"/>
      </w:pPr>
      <w:r>
        <w:rPr>
          <w:rFonts w:ascii="Times New Roman" w:hAnsi="Times New Roman"/>
          <w:b/>
          <w:color w:val="000000"/>
          <w:sz w:val="24"/>
        </w:rPr>
        <w:t xml:space="preserve">• </w:t>
      </w:r>
      <w:r>
        <w:rPr>
          <w:rFonts w:ascii="Times New Roman" w:hAnsi="Times New Roman"/>
          <w:b/>
          <w:color w:val="000000"/>
          <w:sz w:val="24"/>
        </w:rPr>
        <w:t xml:space="preserve">High Safety Acceptance Rate: </w:t>
      </w:r>
      <w:r>
        <w:rPr>
          <w:rFonts w:ascii="Times New Roman" w:hAnsi="Times New Roman"/>
          <w:color w:val="000000"/>
          <w:sz w:val="24"/>
        </w:rPr>
        <w:t>Out of 868 candidate validation correction opportunities, the frozen Q95/Q95 safety policy accepted 841 updates (96.89% acceptance rate), proving that the on-policy trained network reliably operated within the estimator's valid statistical bounds.</w:t>
      </w:r>
    </w:p>
    <w:p>
      <w:pPr>
        <w:spacing w:line="360" w:lineRule="auto" w:before="0" w:after="160"/>
        <w:ind w:firstLine="567"/>
        <w:jc w:val="both"/>
      </w:pPr>
      <w:r>
        <w:rPr>
          <w:rFonts w:ascii="Times New Roman" w:hAnsi="Times New Roman"/>
          <w:color w:val="000000"/>
          <w:sz w:val="24"/>
        </w:rPr>
        <w:t>Crucial Scientific Context: As emphasized in research guidelines, an RMSE reduction must never be casually termed 'accuracy', nor does a 92.91% reduction against an uncorrected drifting baseline guarantee meter-level positioning. A baseline error of 15,015 m reduced by 95.9% still leaves 614.1 m of absolute position error, which is physically unsuitable for unassisted landing. These results prove that while learned velocity residuals dramatically slow dead-reckoning divergence, long-term bounded navigation ultimately requires periodic absolute or relative sensor updates (such as visual odometry or landmark recognition).</w:t>
      </w:r>
    </w:p>
    <w:p>
      <w:pPr>
        <w:keepNext/>
        <w:spacing w:line="360" w:lineRule="auto" w:before="360" w:after="120"/>
        <w:jc w:val="left"/>
      </w:pPr>
      <w:r>
        <w:rPr>
          <w:rFonts w:ascii="Times New Roman" w:hAnsi="Times New Roman"/>
          <w:b/>
          <w:color w:val="000000"/>
          <w:sz w:val="28"/>
          <w:u w:val="single"/>
        </w:rPr>
        <w:t>3.12 Methodological Limitations and Reproducibility</w:t>
      </w:r>
    </w:p>
    <w:p>
      <w:pPr>
        <w:spacing w:line="360" w:lineRule="auto" w:before="0" w:after="160"/>
        <w:ind w:firstLine="567"/>
        <w:jc w:val="both"/>
      </w:pPr>
      <w:r>
        <w:rPr>
          <w:rFonts w:ascii="Times New Roman" w:hAnsi="Times New Roman"/>
          <w:color w:val="000000"/>
          <w:sz w:val="24"/>
        </w:rPr>
        <w:t>In accordance with rigorous academic ethics, the methodology must be contextualized by its explicit scientific boundaries:</w:t>
      </w:r>
    </w:p>
    <w:p>
      <w:pPr>
        <w:spacing w:line="360" w:lineRule="auto" w:before="0" w:after="120"/>
        <w:ind w:left="680" w:hanging="340"/>
        <w:jc w:val="both"/>
      </w:pPr>
      <w:r>
        <w:rPr>
          <w:rFonts w:ascii="Times New Roman" w:hAnsi="Times New Roman"/>
          <w:b/>
          <w:color w:val="000000"/>
          <w:sz w:val="24"/>
        </w:rPr>
        <w:t xml:space="preserve">• </w:t>
      </w:r>
      <w:r>
        <w:rPr>
          <w:rFonts w:ascii="Times New Roman" w:hAnsi="Times New Roman"/>
          <w:b/>
          <w:color w:val="000000"/>
          <w:sz w:val="24"/>
        </w:rPr>
        <w:t xml:space="preserve">Limitation 1 — Lack of Pristine External Test Verification: </w:t>
      </w:r>
      <w:r>
        <w:rPr>
          <w:rFonts w:ascii="Times New Roman" w:hAnsi="Times New Roman"/>
          <w:color w:val="000000"/>
          <w:sz w:val="24"/>
        </w:rPr>
        <w:t>While the held-out test split (transition_3, hamburgLock_3, seq9) was preserved during initial curation, diagnostic analyses performed during early C0 failures informed subsequent V2/V3 hyperparameter choices. Consequently, a truly pristine, unexposed external test dataset was not evaluated in the final report.</w:t>
      </w:r>
    </w:p>
    <w:p>
      <w:pPr>
        <w:spacing w:line="360" w:lineRule="auto" w:before="0" w:after="120"/>
        <w:ind w:left="680" w:hanging="340"/>
        <w:jc w:val="both"/>
      </w:pPr>
      <w:r>
        <w:rPr>
          <w:rFonts w:ascii="Times New Roman" w:hAnsi="Times New Roman"/>
          <w:b/>
          <w:color w:val="000000"/>
          <w:sz w:val="24"/>
        </w:rPr>
        <w:t xml:space="preserve">• </w:t>
      </w:r>
      <w:r>
        <w:rPr>
          <w:rFonts w:ascii="Times New Roman" w:hAnsi="Times New Roman"/>
          <w:b/>
          <w:color w:val="000000"/>
          <w:sz w:val="24"/>
        </w:rPr>
        <w:t xml:space="preserve">Limitation 2 — Categorical Rather than Continuous Weather Instrumentation: </w:t>
      </w:r>
      <w:r>
        <w:rPr>
          <w:rFonts w:ascii="Times New Roman" w:hAnsi="Times New Roman"/>
          <w:color w:val="000000"/>
          <w:sz w:val="24"/>
        </w:rPr>
        <w:t>The environmental tags ('Light Rain', 'Wind Gusts') are qualitative labels from flight logs rather than continuous numerical channels measured by calibrated anemometers or rain sensors. Controlled wind-tunnel experiments remain necessary to isolate aerodynamic cross-effects.</w:t>
      </w:r>
    </w:p>
    <w:p>
      <w:pPr>
        <w:spacing w:line="360" w:lineRule="auto" w:before="0" w:after="120"/>
        <w:ind w:left="680" w:hanging="340"/>
        <w:jc w:val="both"/>
      </w:pPr>
      <w:r>
        <w:rPr>
          <w:rFonts w:ascii="Times New Roman" w:hAnsi="Times New Roman"/>
          <w:b/>
          <w:color w:val="000000"/>
          <w:sz w:val="24"/>
        </w:rPr>
        <w:t xml:space="preserve">• </w:t>
      </w:r>
      <w:r>
        <w:rPr>
          <w:rFonts w:ascii="Times New Roman" w:hAnsi="Times New Roman"/>
          <w:b/>
          <w:color w:val="000000"/>
          <w:sz w:val="24"/>
        </w:rPr>
        <w:t xml:space="preserve">Limitation 3 — Absence of Physical Embedded Hardware Benchmarks: </w:t>
      </w:r>
      <w:r>
        <w:rPr>
          <w:rFonts w:ascii="Times New Roman" w:hAnsi="Times New Roman"/>
          <w:color w:val="000000"/>
          <w:sz w:val="24"/>
        </w:rPr>
        <w:t>Inference latencies (12.1–26.4 ms) were benchmarked on a desktop GPU/CPU workstation. Real-time deployment on micro-UAV embedded hardware (e.g., GAP8/GAP9 PULP processors or NVIDIA Jetson Nano) involves thermal throttling and integer quantization that require further study.</w:t>
      </w:r>
    </w:p>
    <w:p>
      <w:pPr>
        <w:spacing w:line="360" w:lineRule="auto" w:before="0" w:after="120"/>
        <w:ind w:left="680" w:hanging="340"/>
        <w:jc w:val="both"/>
      </w:pPr>
      <w:r>
        <w:rPr>
          <w:rFonts w:ascii="Times New Roman" w:hAnsi="Times New Roman"/>
          <w:b/>
          <w:color w:val="000000"/>
          <w:sz w:val="24"/>
        </w:rPr>
        <w:t xml:space="preserve">• </w:t>
      </w:r>
      <w:r>
        <w:rPr>
          <w:rFonts w:ascii="Times New Roman" w:hAnsi="Times New Roman"/>
          <w:b/>
          <w:color w:val="000000"/>
          <w:sz w:val="24"/>
        </w:rPr>
        <w:t xml:space="preserve">Limitation 4 — Proposed vs. Implemented NMPC Tracking: </w:t>
      </w:r>
      <w:r>
        <w:rPr>
          <w:rFonts w:ascii="Times New Roman" w:hAnsi="Times New Roman"/>
          <w:color w:val="000000"/>
          <w:sz w:val="24"/>
        </w:rPr>
        <w:t>The project design includes an architectural protocol for Nonlinear Model Predictive Control (NMPC) in CasADi/IPOPT. In the currently verified codebase, closed-loop control is driven by the geometric path controller; the full numerical NMPC remains an interface proposal.</w:t>
      </w:r>
    </w:p>
    <w:p>
      <w:pPr>
        <w:keepNext/>
        <w:spacing w:line="360" w:lineRule="auto" w:before="360" w:after="120"/>
        <w:jc w:val="left"/>
      </w:pPr>
      <w:r>
        <w:rPr>
          <w:rFonts w:ascii="Times New Roman" w:hAnsi="Times New Roman"/>
          <w:b/>
          <w:color w:val="000000"/>
          <w:sz w:val="28"/>
          <w:u w:val="single"/>
        </w:rPr>
        <w:t>3.13 Chapter Summary</w:t>
      </w:r>
    </w:p>
    <w:p>
      <w:pPr>
        <w:spacing w:line="360" w:lineRule="auto" w:before="0" w:after="160"/>
        <w:ind w:firstLine="567"/>
        <w:jc w:val="both"/>
      </w:pPr>
      <w:r>
        <w:rPr>
          <w:rFonts w:ascii="Times New Roman" w:hAnsi="Times New Roman"/>
          <w:color w:val="000000"/>
          <w:sz w:val="24"/>
        </w:rPr>
        <w:t>This chapter has established the comprehensive methodological, mathematical, and algorithmic architecture of the autonomous urban drone navigation system. Key contributions include:</w:t>
      </w:r>
    </w:p>
    <w:p>
      <w:pPr>
        <w:spacing w:line="360" w:lineRule="auto" w:before="0" w:after="120"/>
        <w:ind w:left="680" w:hanging="340"/>
        <w:jc w:val="both"/>
      </w:pPr>
      <w:r>
        <w:rPr>
          <w:rFonts w:ascii="Times New Roman" w:hAnsi="Times New Roman"/>
          <w:b/>
          <w:color w:val="000000"/>
          <w:sz w:val="24"/>
        </w:rPr>
        <w:t xml:space="preserve">• </w:t>
      </w:r>
      <w:r>
        <w:rPr>
          <w:rFonts w:ascii="Times New Roman" w:hAnsi="Times New Roman"/>
          <w:b/>
          <w:color w:val="000000"/>
          <w:sz w:val="24"/>
        </w:rPr>
        <w:t xml:space="preserve">1. Empirical Multi-Source Foundation: </w:t>
      </w:r>
      <w:r>
        <w:rPr>
          <w:rFonts w:ascii="Times New Roman" w:hAnsi="Times New Roman"/>
          <w:color w:val="000000"/>
          <w:sz w:val="24"/>
        </w:rPr>
        <w:t>Curation of 1,422,348 synchronized real-data feature samples across 19 flights, repaired via PX4 native log rebuilding and partitioned under whole-flight disjoint protocols.</w:t>
      </w:r>
    </w:p>
    <w:p>
      <w:pPr>
        <w:spacing w:line="360" w:lineRule="auto" w:before="0" w:after="120"/>
        <w:ind w:left="680" w:hanging="340"/>
        <w:jc w:val="both"/>
      </w:pPr>
      <w:r>
        <w:rPr>
          <w:rFonts w:ascii="Times New Roman" w:hAnsi="Times New Roman"/>
          <w:b/>
          <w:color w:val="000000"/>
          <w:sz w:val="24"/>
        </w:rPr>
        <w:t xml:space="preserve">• </w:t>
      </w:r>
      <w:r>
        <w:rPr>
          <w:rFonts w:ascii="Times New Roman" w:hAnsi="Times New Roman"/>
          <w:b/>
          <w:color w:val="000000"/>
          <w:sz w:val="24"/>
        </w:rPr>
        <w:t xml:space="preserve">2. 15-State Error-State Kalman Filter: </w:t>
      </w:r>
      <w:r>
        <w:rPr>
          <w:rFonts w:ascii="Times New Roman" w:hAnsi="Times New Roman"/>
          <w:color w:val="000000"/>
          <w:sz w:val="24"/>
        </w:rPr>
        <w:t>Singularity-free kinematic state estimation decoupling nominal state continuous integration from 15-dimensional error covariance propagation.</w:t>
      </w:r>
    </w:p>
    <w:p>
      <w:pPr>
        <w:spacing w:line="360" w:lineRule="auto" w:before="0" w:after="120"/>
        <w:ind w:left="680" w:hanging="340"/>
        <w:jc w:val="both"/>
      </w:pPr>
      <w:r>
        <w:rPr>
          <w:rFonts w:ascii="Times New Roman" w:hAnsi="Times New Roman"/>
          <w:b/>
          <w:color w:val="000000"/>
          <w:sz w:val="24"/>
        </w:rPr>
        <w:t xml:space="preserve">• </w:t>
      </w:r>
      <w:r>
        <w:rPr>
          <w:rFonts w:ascii="Times New Roman" w:hAnsi="Times New Roman"/>
          <w:b/>
          <w:color w:val="000000"/>
          <w:sz w:val="24"/>
        </w:rPr>
        <w:t xml:space="preserve">3. Project Ghost GRU V3 Architecture: </w:t>
      </w:r>
      <w:r>
        <w:rPr>
          <w:rFonts w:ascii="Times New Roman" w:hAnsi="Times New Roman"/>
          <w:color w:val="000000"/>
          <w:sz w:val="24"/>
        </w:rPr>
        <w:t>A 24-feature, 101-timestep recurrent neural network trained across 8,313 balanced multi-regime windows to overcome closed-loop distribution shift.</w:t>
      </w:r>
    </w:p>
    <w:p>
      <w:pPr>
        <w:spacing w:line="360" w:lineRule="auto" w:before="0" w:after="120"/>
        <w:ind w:left="680" w:hanging="340"/>
        <w:jc w:val="both"/>
      </w:pPr>
      <w:r>
        <w:rPr>
          <w:rFonts w:ascii="Times New Roman" w:hAnsi="Times New Roman"/>
          <w:b/>
          <w:color w:val="000000"/>
          <w:sz w:val="24"/>
        </w:rPr>
        <w:t xml:space="preserve">• </w:t>
      </w:r>
      <w:r>
        <w:rPr>
          <w:rFonts w:ascii="Times New Roman" w:hAnsi="Times New Roman"/>
          <w:b/>
          <w:color w:val="000000"/>
          <w:sz w:val="24"/>
        </w:rPr>
        <w:t xml:space="preserve">4. Four-Stage Cascaded Safety Policy: </w:t>
      </w:r>
      <w:r>
        <w:rPr>
          <w:rFonts w:ascii="Times New Roman" w:hAnsi="Times New Roman"/>
          <w:color w:val="000000"/>
          <w:sz w:val="24"/>
        </w:rPr>
        <w:t>Guarded integration enforcing OOD Mahalanobis checks, temporal jump limits, 3-DoF NIS statistical gates, and circuit breakers with Joseph-form updates.</w:t>
      </w:r>
    </w:p>
    <w:p>
      <w:pPr>
        <w:spacing w:line="360" w:lineRule="auto" w:before="0" w:after="120"/>
        <w:ind w:left="680" w:hanging="340"/>
        <w:jc w:val="both"/>
      </w:pPr>
      <w:r>
        <w:rPr>
          <w:rFonts w:ascii="Times New Roman" w:hAnsi="Times New Roman"/>
          <w:b/>
          <w:color w:val="000000"/>
          <w:sz w:val="24"/>
        </w:rPr>
        <w:t xml:space="preserve">• </w:t>
      </w:r>
      <w:r>
        <w:rPr>
          <w:rFonts w:ascii="Times New Roman" w:hAnsi="Times New Roman"/>
          <w:b/>
          <w:color w:val="000000"/>
          <w:sz w:val="24"/>
        </w:rPr>
        <w:t xml:space="preserve">5. Asynchronous Web Simulation &amp; Live Trajectory Validation: </w:t>
      </w:r>
      <w:r>
        <w:rPr>
          <w:rFonts w:ascii="Times New Roman" w:hAnsi="Times New Roman"/>
          <w:color w:val="000000"/>
          <w:sz w:val="24"/>
        </w:rPr>
        <w:t>Seamless integration with Three.js WebGL simulation on port 3000 and FastAPI bridges on ports 8765/8766, empirically demonstrating sub-20 ms inference and robust trajectory following under clear and heavy rain conditions.</w:t>
      </w:r>
    </w:p>
    <w:p>
      <w:pPr>
        <w:spacing w:line="360" w:lineRule="auto" w:before="0" w:after="160"/>
        <w:ind w:firstLine="567"/>
        <w:jc w:val="both"/>
      </w:pPr>
      <w:r>
        <w:rPr>
          <w:rFonts w:ascii="Times New Roman" w:hAnsi="Times New Roman"/>
          <w:color w:val="000000"/>
          <w:sz w:val="24"/>
        </w:rPr>
        <w:t>Having formulated and validated the complete system methodology, Chapter 4 transitions to detailed experimental benchmarks, trajectory error distributions, and comparative ablation studies.</w:t>
      </w:r>
    </w:p>
    <w:p>
      <w:pPr>
        <w:keepNext/>
        <w:spacing w:line="360" w:lineRule="auto" w:before="360" w:after="120"/>
        <w:jc w:val="left"/>
      </w:pPr>
      <w:r>
        <w:rPr>
          <w:rFonts w:ascii="Times New Roman" w:hAnsi="Times New Roman"/>
          <w:b/>
          <w:color w:val="000000"/>
          <w:sz w:val="28"/>
          <w:u w:val="single"/>
        </w:rPr>
        <w:t>References</w:t>
      </w:r>
    </w:p>
    <w:p>
      <w:pPr>
        <w:spacing w:line="360" w:lineRule="auto" w:before="0" w:after="80"/>
        <w:ind w:left="567" w:hanging="567"/>
      </w:pPr>
      <w:r>
        <w:rPr>
          <w:rFonts w:ascii="Times New Roman" w:hAnsi="Times New Roman"/>
          <w:color w:val="000000"/>
          <w:sz w:val="21"/>
        </w:rPr>
        <w:t>[1] J. Sola, "Quaternion kinematics for the error-state Kalman filter," Laboratoire d'Analyse et d'Architecture des Systemes (LAAS-CNRS), Toulouse, France, Tech. Rep. 1711.02508, 2017.</w:t>
      </w:r>
    </w:p>
    <w:p>
      <w:pPr>
        <w:spacing w:line="360" w:lineRule="auto" w:before="0" w:after="80"/>
        <w:ind w:left="567" w:hanging="567"/>
      </w:pPr>
      <w:r>
        <w:rPr>
          <w:rFonts w:ascii="Times New Roman" w:hAnsi="Times New Roman"/>
          <w:color w:val="000000"/>
          <w:sz w:val="21"/>
        </w:rPr>
        <w:t>[2] K. Cho, B. van Merrienboer, C. Gulcehre, D. Bahdanau, F. Bougares, H. Schwenk, and Y. Bengio, "Learning phrase representations using RNN encoder-decoder for statistical machine translation," in Proc. Conf. Empirical Methods in Natural Language Processing (EMNLP), Doha, Qatar, 2014, pp. 1724–1734.</w:t>
      </w:r>
    </w:p>
    <w:p>
      <w:pPr>
        <w:spacing w:line="360" w:lineRule="auto" w:before="0" w:after="80"/>
        <w:ind w:left="567" w:hanging="567"/>
      </w:pPr>
      <w:r>
        <w:rPr>
          <w:rFonts w:ascii="Times New Roman" w:hAnsi="Times New Roman"/>
          <w:color w:val="000000"/>
          <w:sz w:val="21"/>
        </w:rPr>
        <w:t>[3] Y. Zhou, C. Barnes, J. Lu, J. Yang, and H. Li, "On the continuity of rotation representations in neural networks," in Proc. IEEE/CVF Conf. Computer Vision and Pattern Recognition (CVPR), Long Beach, CA, USA, 2019, pp. 5745–5753.</w:t>
      </w:r>
    </w:p>
    <w:p>
      <w:pPr>
        <w:spacing w:line="360" w:lineRule="auto" w:before="0" w:after="80"/>
        <w:ind w:left="567" w:hanging="567"/>
      </w:pPr>
      <w:r>
        <w:rPr>
          <w:rFonts w:ascii="Times New Roman" w:hAnsi="Times New Roman"/>
          <w:color w:val="000000"/>
          <w:sz w:val="21"/>
        </w:rPr>
        <w:t>[4] A. Loquercio, E. Kaufmann, R. Ranftl, A. Dosovitskiy, V. Koltun, and D. Scaramuzza, "Deep drone racing: From simulation to the real world," IEEE Trans. Robotics, vol. 36, no. 1, pp. 1–14, Feb. 2020.</w:t>
      </w:r>
    </w:p>
    <w:p>
      <w:pPr>
        <w:spacing w:line="360" w:lineRule="auto" w:before="0" w:after="80"/>
        <w:ind w:left="567" w:hanging="567"/>
      </w:pPr>
      <w:r>
        <w:rPr>
          <w:rFonts w:ascii="Times New Roman" w:hAnsi="Times New Roman"/>
          <w:color w:val="000000"/>
          <w:sz w:val="21"/>
        </w:rPr>
        <w:t>[5] D. Palossi, A. Loquercio, F. Conti, E. Flamand, D. Scaramuzza, and L. Benini, "A 64-mW DNN-based visual navigation engine for autonomous nano-drones," IEEE Internet of Things Journal, vol. 6, no. 5, pp. 8379–8395, Oct. 2019.</w:t>
      </w:r>
    </w:p>
    <w:p>
      <w:pPr>
        <w:spacing w:line="360" w:lineRule="auto" w:before="0" w:after="80"/>
        <w:ind w:left="567" w:hanging="567"/>
      </w:pPr>
      <w:r>
        <w:rPr>
          <w:rFonts w:ascii="Times New Roman" w:hAnsi="Times New Roman"/>
          <w:color w:val="000000"/>
          <w:sz w:val="21"/>
        </w:rPr>
        <w:t>[6] O. Ledoit and M. Wolf, "A well-conditioned estimator for large-dimensional covariance matrices," Journal of Multivariate Analysis, vol. 88, no. 2, pp. 365–411, Feb. 2004.</w:t>
      </w:r>
    </w:p>
    <w:p>
      <w:pPr>
        <w:spacing w:line="360" w:lineRule="auto" w:before="0" w:after="80"/>
        <w:ind w:left="567" w:hanging="567"/>
      </w:pPr>
      <w:r>
        <w:rPr>
          <w:rFonts w:ascii="Times New Roman" w:hAnsi="Times New Roman"/>
          <w:color w:val="000000"/>
          <w:sz w:val="21"/>
        </w:rPr>
        <w:t>[7] Y. Bar-Shalom, X. R. Li, and T. Kirubarajan, Estimation with Applications to Tracking and Navigation: Theory Algorithms and Software. New York, NY, USA: John Wiley &amp; Sons, 2001.</w:t>
      </w:r>
    </w:p>
    <w:p>
      <w:pPr>
        <w:spacing w:line="360" w:lineRule="auto" w:before="0" w:after="80"/>
        <w:ind w:left="567" w:hanging="567"/>
      </w:pPr>
      <w:r>
        <w:rPr>
          <w:rFonts w:ascii="Times New Roman" w:hAnsi="Times New Roman"/>
          <w:color w:val="000000"/>
          <w:sz w:val="21"/>
        </w:rPr>
        <w:t>[8] S. Ross, G. Gordon, and D. Bagnell, "A reduction of imitation learning and structured prediction to no-regret online learning," in Proc. 14th Int. Conf. Artificial Intelligence and Statistics (AISTATS), Fort Lauderdale, FL, USA, 2011, pp. 627–635.</w:t>
      </w:r>
    </w:p>
    <w:sectPr w:rsidR="00FC693F" w:rsidRPr="0006063C" w:rsidSect="00034616">
      <w:footerReference w:type="default" r:id="rId9"/>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color w:val="000000"/>
        <w:sz w:val="22"/>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