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Bayesian Inference-Based Ensemble Learning for Identification of Amyloid Proteins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sz w:val="17"/>
          <w:szCs w:val="17"/>
        </w:rPr>
      </w:pPr>
      <w:r w:rsidDel="00000000" w:rsidR="00000000" w:rsidRPr="00000000">
        <w:rPr>
          <w:sz w:val="24"/>
          <w:szCs w:val="24"/>
          <w:rtl w:val="0"/>
        </w:rPr>
        <w:t xml:space="preserve">Implementation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5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This document summarizes the work completed on the project to date, covering data preparation, model development, evaluation, and additional validation experiments.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2. Data and Feature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The dataset used is WALTZ-DB 2.0, a peer-reviewed, publicly available database containing 1,416 hexapeptide sequences (515 amyloid, 901 non-amyloid). Protein sequences were converted into numerical features using ESM-2, a pretrained protein language model, producing a 320-dimensional embedding per sequence. An initial Amino Acid Composition (AAC) representation was tested first and later replaced with ESM-2 after comparative testing showed higher accuracy. Data was split into training (60%), validation (20%, for Bayesian weight estimation), and test (20%) sets using stratified sampling.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3. Model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5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Three base classifiers were trained on the ESM-2 features: Support Vector Machine, Random Forest, and Logistic Regression. Each classifier was tuned using GridSearchCV. These three classifiers were then combined into a Bayesian ensemble, where each classifier is assigned a posterior weight based on its likelihood on the validation set. The final prediction is a weighted combination of the three classifiers' outputs, and the ensemble also produces a calibrated uncertainty score for each prediction.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4. Evaluation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5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The following results are averaged over 5-fold stratified cross-validation on WALTZ-DB 2.0: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0"/>
        <w:gridCol w:w="2060"/>
        <w:gridCol w:w="2060"/>
        <w:gridCol w:w="2080"/>
        <w:tblGridChange w:id="0">
          <w:tblGrid>
            <w:gridCol w:w="3160"/>
            <w:gridCol w:w="2060"/>
            <w:gridCol w:w="2060"/>
            <w:gridCol w:w="208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ROC-AUC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SVM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0.821 ± 0.012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0.752 ± 0.014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0.885 ± 0.011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0.809 ± 0.015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0.722 ± 0.026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0.880 ± 0.016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0.782 ± 0.007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0.702 ± 0.014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0.846 ± 0.008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Bayesian Ensemble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0.821 ± 0.008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0.748 ± 0.014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0.883 ± 0.014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5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A paired t-test between the Bayesian ensemble and SVM showed no statistically significant difference in AUC (p = 0.963). However, uncertainty validation confirmed that low-uncertainty predictions were more accurate (82.4%) than high-uncertainty predictions (73.9%), and a Brier score of 0.147 (versus 0.250 for a no-skill baseline) confirmed the ensemble's probabilities are meaningfully calibrated. This uncertainty quantification, rather than raw accuracy, is the central contribution of the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5. Additional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5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The proposed method was compared against AmyloGram, a published amyloid predictor, on the same held-out test set, yielding comparable performance (Accuracy 0.803 vs. 0.796; AUC 0.861 vs. 0.864). The model was further tested on an independent dataset of 621 non-overlapping sequences compiled from CPAD 2.0. At the default threshold, accuracy was low (0.428) due to the change in sequence length distribution, but ROC-AUC remained high (0.812). Recalibrating the decision threshold (to 0.195, using Youden's J statistic) improved accuracy to 0.763 and F1-score to 0.806, confirming that the model's underlying discriminative ability generalizes well. AmyloGram could not process most of this independent dataset due to its sequence-length constraints, while the proposed method handled all 621 sequences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6. Additional Experiments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5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Several additional modifications were tested to improve accuracy: a larger ESM-2 model (35M parameters), a dataset-derived position-specific scoring feature (in two forms) combined with ESM-2, SMOTE for class imbalance, and XGBoost as an additional classifier. None of these improved performance over the original ESM-2 and Bayesian ensemble setup; all results were lower or unchanged. These are documented as negative findings rather than pursued further.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7. Current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5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Data collection, feature extraction, model training and tuning, the Bayesian ensemble, cross-validation, statistical validation, and independent-dataset testing are complete. Remaining work is the full thesis write-up, incorporating all results described above.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3"/>
        <w:szCs w:val="2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3"/>
      <w:szCs w:val="23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3"/>
      <w:szCs w:val="23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3"/>
      <w:szCs w:val="23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