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Politique de confidentialité du service Relais</w:t>
      </w:r>
    </w:p>
    <w:tbl>
      <w:tblPr>
        <w:tblW w:type="auto" w:w="0"/>
        <w:jc w:val="center"/>
        <w:tblLook w:firstColumn="1" w:firstRow="1" w:lastColumn="0" w:lastRow="0" w:noHBand="0" w:noVBand="1" w:val="04A0"/>
      </w:tblPr>
      <w:tblGrid>
        <w:gridCol w:w="9412"/>
      </w:tblGrid>
      <w:tr>
        <w:tc>
          <w:tcPr>
            <w:tcW w:type="dxa" w:w="9412"/>
            <w:shd w:val="clear" w:color="auto" w:fill="FFF4D6"/>
            <w:tcBorders>
              <w:top w:val="single" w:sz="16" w:space="0" w:color="C77700"/>
              <w:left w:val="single" w:sz="16" w:space="0" w:color="C77700"/>
              <w:bottom w:val="single" w:sz="16" w:space="0" w:color="C77700"/>
              <w:right w:val="single" w:sz="16" w:space="0" w:color="C77700"/>
            </w:tcBorders>
          </w:tcPr>
          <w:p>
            <w:pPr>
              <w:spacing w:before="120" w:after="120"/>
              <w:jc w:val="center"/>
            </w:pPr>
            <w:r>
              <w:rPr>
                <w:b/>
                <w:color w:val="8A4B00"/>
                <w:sz w:val="24"/>
              </w:rPr>
              <w:t>Document à faire valider par un avocat avant utilisation.</w:t>
            </w:r>
          </w:p>
        </w:tc>
      </w:tr>
    </w:tbl>
    <w:p/>
    <w:p>
      <w:pPr>
        <w:jc w:val="both"/>
      </w:pPr>
      <w:r>
        <w:rPr>
          <w:b w:val="0"/>
        </w:rPr>
        <w:t>Version en vigueur au {{DATE_POLITIQUE}}.</w:t>
      </w:r>
    </w:p>
    <w:p>
      <w:pPr>
        <w:jc w:val="both"/>
      </w:pPr>
      <w:r>
        <w:rPr>
          <w:b w:val="0"/>
        </w:rPr>
        <w:t>La présente politique décrit la manière dont le service Relais collecte, utilise, conserve et protège les données personnelles des clients (les enfants qui souscrivent le service), des bénéficiaires (les parents pour lesquels les démarches sont accomplies), des prospects et des candidats. Elle est établie conformément au règlement (UE) 2016/679 du 27 avril 2016 (« RGPD ») et à la loi n° 78-17 du 6 janvier 1978 modifiée.</w:t>
      </w:r>
    </w:p>
    <w:p>
      <w:pPr>
        <w:pStyle w:val="Heading2"/>
      </w:pPr>
      <w:r>
        <w:t>Article 1 — Responsable de traitement</w:t>
      </w:r>
    </w:p>
    <w:p>
      <w:pPr>
        <w:jc w:val="both"/>
      </w:pPr>
      <w:r>
        <w:rPr>
          <w:b w:val="0"/>
        </w:rPr>
        <w:t>Le responsable de traitement est {{MANDATAIRE_RAISON_SOCIALE}}, {{MANDATAIRE_FORME_JURIDIQUE}}, immatriculée au RCS de {{MANDATAIRE_VILLE_RCS}} sous le numéro {{MANDATAIRE_SIREN}}, dont le siège est situé {{MANDATAIRE_ADRESSE}}, exploitant le service Relais.</w:t>
      </w:r>
    </w:p>
    <w:p>
      <w:pPr>
        <w:jc w:val="both"/>
      </w:pPr>
      <w:r>
        <w:rPr>
          <w:b w:val="0"/>
        </w:rPr>
        <w:t>Contact pour toute question relative aux données personnelles : {{DPO_EMAIL}}, ou par courrier à l'adresse du siège, à l'attention du référent protection des données.</w:t>
      </w:r>
    </w:p>
    <w:p>
      <w:pPr>
        <w:pStyle w:val="Heading2"/>
      </w:pPr>
      <w:r>
        <w:t>Article 2 — Personnes concernées</w:t>
      </w:r>
    </w:p>
    <w:p>
      <w:pPr>
        <w:pStyle w:val="ListBullet"/>
        <w:jc w:val="both"/>
      </w:pPr>
      <w:r>
        <w:rPr>
          <w:b/>
        </w:rPr>
        <w:t>Le client</w:t>
      </w:r>
      <w:r>
        <w:rPr>
          <w:b w:val="0"/>
        </w:rPr>
        <w:t xml:space="preserve"> : la personne qui souscrit le service, généralement l'enfant du bénéficiaire, résidant hors de France.</w:t>
      </w:r>
    </w:p>
    <w:p>
      <w:pPr>
        <w:pStyle w:val="ListBullet"/>
        <w:jc w:val="both"/>
      </w:pPr>
      <w:r>
        <w:rPr>
          <w:b/>
        </w:rPr>
        <w:t>Le bénéficiaire</w:t>
      </w:r>
      <w:r>
        <w:rPr>
          <w:b w:val="0"/>
        </w:rPr>
        <w:t xml:space="preserve"> : la personne âgée résidant en France qui signe le mandat de représentation administrative.</w:t>
      </w:r>
    </w:p>
    <w:p>
      <w:pPr>
        <w:pStyle w:val="ListBullet"/>
        <w:jc w:val="both"/>
      </w:pPr>
      <w:r>
        <w:rPr>
          <w:b/>
        </w:rPr>
        <w:t>Le prospect</w:t>
      </w:r>
      <w:r>
        <w:rPr>
          <w:b w:val="0"/>
        </w:rPr>
        <w:t xml:space="preserve"> : toute personne qui remplit le formulaire de contact ou échange avec Relais sans souscrire.</w:t>
      </w:r>
    </w:p>
    <w:p>
      <w:pPr>
        <w:pStyle w:val="ListBullet"/>
        <w:jc w:val="both"/>
      </w:pPr>
      <w:r>
        <w:rPr>
          <w:b/>
        </w:rPr>
        <w:t>Le candidat</w:t>
      </w:r>
      <w:r>
        <w:rPr>
          <w:b w:val="0"/>
        </w:rPr>
        <w:t xml:space="preserve"> : toute personne qui postule à un poste d'opérateur.</w:t>
      </w:r>
    </w:p>
    <w:p>
      <w:pPr>
        <w:pStyle w:val="ListBullet"/>
        <w:jc w:val="both"/>
      </w:pPr>
      <w:r>
        <w:rPr>
          <w:b/>
        </w:rPr>
        <w:t>Les tiers mentionnés</w:t>
      </w:r>
      <w:r>
        <w:rPr>
          <w:b w:val="0"/>
        </w:rPr>
        <w:t xml:space="preserve"> dans les documents traités (conjoint, autres membres de la famille, aidants, professionnels de santé), dans la stricte mesure nécessaire aux démarches.</w:t>
      </w:r>
    </w:p>
    <w:p>
      <w:pPr>
        <w:pStyle w:val="Heading2"/>
      </w:pPr>
      <w:r>
        <w:t>Article 3 — Finalités et bases légales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8EEF5"/>
          </w:tcPr>
          <w:p>
            <w:pPr>
              <w:spacing w:after="40"/>
            </w:pPr>
            <w:r>
              <w:rPr>
                <w:sz w:val="19"/>
              </w:rPr>
            </w:r>
            <w:r>
              <w:rPr>
                <w:b/>
                <w:sz w:val="19"/>
              </w:rPr>
              <w:t>Finalité</w:t>
            </w:r>
          </w:p>
        </w:tc>
        <w:tc>
          <w:tcPr>
            <w:tcW w:type="dxa" w:w="3137"/>
            <w:shd w:val="clear" w:color="auto" w:fill="E8EEF5"/>
          </w:tcPr>
          <w:p>
            <w:pPr>
              <w:spacing w:after="40"/>
            </w:pPr>
            <w:r>
              <w:rPr>
                <w:sz w:val="19"/>
              </w:rPr>
            </w:r>
            <w:r>
              <w:rPr>
                <w:b/>
                <w:sz w:val="19"/>
              </w:rPr>
              <w:t>Données concernées</w:t>
            </w:r>
          </w:p>
        </w:tc>
        <w:tc>
          <w:tcPr>
            <w:tcW w:type="dxa" w:w="3137"/>
            <w:shd w:val="clear" w:color="auto" w:fill="E8EEF5"/>
          </w:tcPr>
          <w:p>
            <w:pPr>
              <w:spacing w:after="40"/>
            </w:pPr>
            <w:r>
              <w:rPr>
                <w:sz w:val="19"/>
              </w:rPr>
            </w:r>
            <w:r>
              <w:rPr>
                <w:b/>
                <w:sz w:val="19"/>
              </w:rPr>
              <w:t>Base légale</w:t>
            </w:r>
          </w:p>
        </w:tc>
      </w:tr>
      <w:tr>
        <w:tc>
          <w:tcPr>
            <w:tcW w:type="dxa" w:w="3137"/>
          </w:tcPr>
          <w:p>
            <w:pPr>
              <w:spacing w:after="40"/>
            </w:pPr>
            <w:r>
              <w:rPr>
                <w:sz w:val="19"/>
              </w:rPr>
            </w:r>
            <w:r>
              <w:rPr>
                <w:b w:val="0"/>
                <w:sz w:val="19"/>
              </w:rPr>
              <w:t>Répondre aux demandes de contact et organiser l'appel de présentation</w:t>
            </w:r>
          </w:p>
        </w:tc>
        <w:tc>
          <w:tcPr>
            <w:tcW w:type="dxa" w:w="3137"/>
          </w:tcPr>
          <w:p>
            <w:pPr>
              <w:spacing w:after="40"/>
            </w:pPr>
            <w:r>
              <w:rPr>
                <w:sz w:val="19"/>
              </w:rPr>
            </w:r>
            <w:r>
              <w:rPr>
                <w:b w:val="0"/>
                <w:sz w:val="19"/>
              </w:rPr>
              <w:t>Identité, pays, courriel, téléphone, situation décrite dans le formulaire</w:t>
            </w:r>
          </w:p>
        </w:tc>
        <w:tc>
          <w:tcPr>
            <w:tcW w:type="dxa" w:w="3137"/>
          </w:tcPr>
          <w:p>
            <w:pPr>
              <w:spacing w:after="40"/>
            </w:pPr>
            <w:r>
              <w:rPr>
                <w:sz w:val="19"/>
              </w:rPr>
            </w:r>
            <w:r>
              <w:rPr>
                <w:b w:val="0"/>
                <w:sz w:val="19"/>
              </w:rPr>
              <w:t>Mesures précontractuelles prises à la demande du prospect (art. 6.1.b RGPD)</w:t>
            </w:r>
          </w:p>
        </w:tc>
      </w:tr>
      <w:tr>
        <w:tc>
          <w:tcPr>
            <w:tcW w:type="dxa" w:w="3137"/>
          </w:tcPr>
          <w:p>
            <w:pPr>
              <w:spacing w:after="40"/>
            </w:pPr>
            <w:r>
              <w:rPr>
                <w:sz w:val="19"/>
              </w:rPr>
            </w:r>
            <w:r>
              <w:rPr>
                <w:b w:val="0"/>
                <w:sz w:val="19"/>
              </w:rPr>
              <w:t>Conclure et exécuter le contrat et le mandat : gestion administrative pour le compte du bénéficiaire</w:t>
            </w:r>
          </w:p>
        </w:tc>
        <w:tc>
          <w:tcPr>
            <w:tcW w:type="dxa" w:w="3137"/>
          </w:tcPr>
          <w:p>
            <w:pPr>
              <w:spacing w:after="40"/>
            </w:pPr>
            <w:r>
              <w:rPr>
                <w:sz w:val="19"/>
              </w:rPr>
            </w:r>
            <w:r>
              <w:rPr>
                <w:b w:val="0"/>
                <w:sz w:val="19"/>
              </w:rPr>
              <w:t>Identité, coordonnées, pièces d'identité, courrier administratif, identifiants des comptes en ligne, situation administrative, sociale et fiscale, situation bancaire en consultation</w:t>
            </w:r>
          </w:p>
        </w:tc>
        <w:tc>
          <w:tcPr>
            <w:tcW w:type="dxa" w:w="3137"/>
          </w:tcPr>
          <w:p>
            <w:pPr>
              <w:spacing w:after="40"/>
            </w:pPr>
            <w:r>
              <w:rPr>
                <w:sz w:val="19"/>
              </w:rPr>
            </w:r>
            <w:r>
              <w:rPr>
                <w:b w:val="0"/>
                <w:sz w:val="19"/>
              </w:rPr>
              <w:t>Exécution du contrat (art. 6.1.b RGPD) et du mandat</w:t>
            </w:r>
          </w:p>
        </w:tc>
      </w:tr>
      <w:tr>
        <w:tc>
          <w:tcPr>
            <w:tcW w:type="dxa" w:w="3137"/>
          </w:tcPr>
          <w:p>
            <w:pPr>
              <w:spacing w:after="40"/>
            </w:pPr>
            <w:r>
              <w:rPr>
                <w:sz w:val="19"/>
              </w:rPr>
            </w:r>
            <w:r>
              <w:rPr>
                <w:b w:val="0"/>
                <w:sz w:val="19"/>
              </w:rPr>
              <w:t>Traiter les données de santé strictement nécessaires aux démarches (échanges avec l'Assurance Maladie, la complémentaire santé, dossiers APA, hospitalisation, EHPAD)</w:t>
            </w:r>
          </w:p>
        </w:tc>
        <w:tc>
          <w:tcPr>
            <w:tcW w:type="dxa" w:w="3137"/>
          </w:tcPr>
          <w:p>
            <w:pPr>
              <w:spacing w:after="40"/>
            </w:pPr>
            <w:r>
              <w:rPr>
                <w:sz w:val="19"/>
              </w:rPr>
            </w:r>
            <w:r>
              <w:rPr>
                <w:b w:val="0"/>
                <w:sz w:val="19"/>
              </w:rPr>
              <w:t>Numéro de sécurité sociale, attestations, remboursements, taux d'incapacité, certificats médicaux joints aux dossiers</w:t>
            </w:r>
          </w:p>
        </w:tc>
        <w:tc>
          <w:tcPr>
            <w:tcW w:type="dxa" w:w="3137"/>
          </w:tcPr>
          <w:p>
            <w:pPr>
              <w:spacing w:after="40"/>
            </w:pPr>
            <w:r>
              <w:rPr>
                <w:sz w:val="19"/>
              </w:rPr>
            </w:r>
            <w:r>
              <w:rPr>
                <w:b w:val="0"/>
                <w:sz w:val="19"/>
              </w:rPr>
              <w:t>Consentement explicite du bénéficiaire (art. 9.2.a RGPD), recueilli dans le mandat</w:t>
            </w:r>
          </w:p>
        </w:tc>
      </w:tr>
      <w:tr>
        <w:tc>
          <w:tcPr>
            <w:tcW w:type="dxa" w:w="3137"/>
          </w:tcPr>
          <w:p>
            <w:pPr>
              <w:spacing w:after="40"/>
            </w:pPr>
            <w:r>
              <w:rPr>
                <w:sz w:val="19"/>
              </w:rPr>
            </w:r>
            <w:r>
              <w:rPr>
                <w:b w:val="0"/>
                <w:sz w:val="19"/>
              </w:rPr>
              <w:t>Sécuriser les accès et tracer les actions (coffre-fort d'identifiants, journal d'accès)</w:t>
            </w:r>
          </w:p>
        </w:tc>
        <w:tc>
          <w:tcPr>
            <w:tcW w:type="dxa" w:w="3137"/>
          </w:tcPr>
          <w:p>
            <w:pPr>
              <w:spacing w:after="40"/>
            </w:pPr>
            <w:r>
              <w:rPr>
                <w:sz w:val="19"/>
              </w:rPr>
            </w:r>
            <w:r>
              <w:rPr>
                <w:b w:val="0"/>
                <w:sz w:val="19"/>
              </w:rPr>
              <w:t>Identifiants, journaux de connexion, identité de l'opérateur</w:t>
            </w:r>
          </w:p>
        </w:tc>
        <w:tc>
          <w:tcPr>
            <w:tcW w:type="dxa" w:w="3137"/>
          </w:tcPr>
          <w:p>
            <w:pPr>
              <w:spacing w:after="40"/>
            </w:pPr>
            <w:r>
              <w:rPr>
                <w:sz w:val="19"/>
              </w:rPr>
            </w:r>
            <w:r>
              <w:rPr>
                <w:b w:val="0"/>
                <w:sz w:val="19"/>
              </w:rPr>
              <w:t>Intérêt légitime du responsable de traitement et du bénéficiaire à la sécurité des accès (art. 6.1.f RGPD)</w:t>
            </w:r>
          </w:p>
        </w:tc>
      </w:tr>
      <w:tr>
        <w:tc>
          <w:tcPr>
            <w:tcW w:type="dxa" w:w="3137"/>
          </w:tcPr>
          <w:p>
            <w:pPr>
              <w:spacing w:after="40"/>
            </w:pPr>
            <w:r>
              <w:rPr>
                <w:sz w:val="19"/>
              </w:rPr>
            </w:r>
            <w:r>
              <w:rPr>
                <w:b w:val="0"/>
                <w:sz w:val="19"/>
              </w:rPr>
              <w:t>Facturer et tenir la comptabilité</w:t>
            </w:r>
          </w:p>
        </w:tc>
        <w:tc>
          <w:tcPr>
            <w:tcW w:type="dxa" w:w="3137"/>
          </w:tcPr>
          <w:p>
            <w:pPr>
              <w:spacing w:after="40"/>
            </w:pPr>
            <w:r>
              <w:rPr>
                <w:sz w:val="19"/>
              </w:rPr>
            </w:r>
            <w:r>
              <w:rPr>
                <w:b w:val="0"/>
                <w:sz w:val="19"/>
              </w:rPr>
              <w:t>Identité du client, adresse de facturation, pays, moyen de paiement (jeton, jamais le numéro complet de carte), factures</w:t>
            </w:r>
          </w:p>
        </w:tc>
        <w:tc>
          <w:tcPr>
            <w:tcW w:type="dxa" w:w="3137"/>
          </w:tcPr>
          <w:p>
            <w:pPr>
              <w:spacing w:after="40"/>
            </w:pPr>
            <w:r>
              <w:rPr>
                <w:sz w:val="19"/>
              </w:rPr>
            </w:r>
            <w:r>
              <w:rPr>
                <w:b w:val="0"/>
                <w:sz w:val="19"/>
              </w:rPr>
              <w:t>Obligation légale (art. 6.1.c RGPD)</w:t>
            </w:r>
          </w:p>
        </w:tc>
      </w:tr>
      <w:tr>
        <w:tc>
          <w:tcPr>
            <w:tcW w:type="dxa" w:w="3137"/>
          </w:tcPr>
          <w:p>
            <w:pPr>
              <w:spacing w:after="40"/>
            </w:pPr>
            <w:r>
              <w:rPr>
                <w:sz w:val="19"/>
              </w:rPr>
            </w:r>
            <w:r>
              <w:rPr>
                <w:b w:val="0"/>
                <w:sz w:val="19"/>
              </w:rPr>
              <w:t>Adresser les rapports mensuels et les alertes au client et au bénéficiaire</w:t>
            </w:r>
          </w:p>
        </w:tc>
        <w:tc>
          <w:tcPr>
            <w:tcW w:type="dxa" w:w="3137"/>
          </w:tcPr>
          <w:p>
            <w:pPr>
              <w:spacing w:after="40"/>
            </w:pPr>
            <w:r>
              <w:rPr>
                <w:sz w:val="19"/>
              </w:rPr>
            </w:r>
            <w:r>
              <w:rPr>
                <w:b w:val="0"/>
                <w:sz w:val="19"/>
              </w:rPr>
              <w:t>Contenu des démarches, échéances, montants obtenus</w:t>
            </w:r>
          </w:p>
        </w:tc>
        <w:tc>
          <w:tcPr>
            <w:tcW w:type="dxa" w:w="3137"/>
          </w:tcPr>
          <w:p>
            <w:pPr>
              <w:spacing w:after="40"/>
            </w:pPr>
            <w:r>
              <w:rPr>
                <w:sz w:val="19"/>
              </w:rPr>
            </w:r>
            <w:r>
              <w:rPr>
                <w:b w:val="0"/>
                <w:sz w:val="19"/>
              </w:rPr>
              <w:t>Exécution du contrat (art. 6.1.b RGPD)</w:t>
            </w:r>
          </w:p>
        </w:tc>
      </w:tr>
      <w:tr>
        <w:tc>
          <w:tcPr>
            <w:tcW w:type="dxa" w:w="3137"/>
          </w:tcPr>
          <w:p>
            <w:pPr>
              <w:spacing w:after="40"/>
            </w:pPr>
            <w:r>
              <w:rPr>
                <w:sz w:val="19"/>
              </w:rPr>
            </w:r>
            <w:r>
              <w:rPr>
                <w:b w:val="0"/>
                <w:sz w:val="19"/>
              </w:rPr>
              <w:t>Informer les clients et prospects des évolutions du service</w:t>
            </w:r>
          </w:p>
        </w:tc>
        <w:tc>
          <w:tcPr>
            <w:tcW w:type="dxa" w:w="3137"/>
          </w:tcPr>
          <w:p>
            <w:pPr>
              <w:spacing w:after="40"/>
            </w:pPr>
            <w:r>
              <w:rPr>
                <w:sz w:val="19"/>
              </w:rPr>
            </w:r>
            <w:r>
              <w:rPr>
                <w:b w:val="0"/>
                <w:sz w:val="19"/>
              </w:rPr>
              <w:t>Courriel, nom</w:t>
            </w:r>
          </w:p>
        </w:tc>
        <w:tc>
          <w:tcPr>
            <w:tcW w:type="dxa" w:w="3137"/>
          </w:tcPr>
          <w:p>
            <w:pPr>
              <w:spacing w:after="40"/>
            </w:pPr>
            <w:r>
              <w:rPr>
                <w:sz w:val="19"/>
              </w:rPr>
            </w:r>
            <w:r>
              <w:rPr>
                <w:b w:val="0"/>
                <w:sz w:val="19"/>
              </w:rPr>
              <w:t>Intérêt légitime (art. 6.1.f RGPD) pour les clients ; consentement pour les prospects, avec possibilité de désinscription à chaque envoi</w:t>
            </w:r>
          </w:p>
        </w:tc>
      </w:tr>
      <w:tr>
        <w:tc>
          <w:tcPr>
            <w:tcW w:type="dxa" w:w="3137"/>
          </w:tcPr>
          <w:p>
            <w:pPr>
              <w:spacing w:after="40"/>
            </w:pPr>
            <w:r>
              <w:rPr>
                <w:sz w:val="19"/>
              </w:rPr>
            </w:r>
            <w:r>
              <w:rPr>
                <w:b w:val="0"/>
                <w:sz w:val="19"/>
              </w:rPr>
              <w:t>Recruter les opérateurs</w:t>
            </w:r>
          </w:p>
        </w:tc>
        <w:tc>
          <w:tcPr>
            <w:tcW w:type="dxa" w:w="3137"/>
          </w:tcPr>
          <w:p>
            <w:pPr>
              <w:spacing w:after="40"/>
            </w:pPr>
            <w:r>
              <w:rPr>
                <w:sz w:val="19"/>
              </w:rPr>
            </w:r>
            <w:r>
              <w:rPr>
                <w:b w:val="0"/>
                <w:sz w:val="19"/>
              </w:rPr>
              <w:t>CV, lettre, résultats du test pratique</w:t>
            </w:r>
          </w:p>
        </w:tc>
        <w:tc>
          <w:tcPr>
            <w:tcW w:type="dxa" w:w="3137"/>
          </w:tcPr>
          <w:p>
            <w:pPr>
              <w:spacing w:after="40"/>
            </w:pPr>
            <w:r>
              <w:rPr>
                <w:sz w:val="19"/>
              </w:rPr>
            </w:r>
            <w:r>
              <w:rPr>
                <w:b w:val="0"/>
                <w:sz w:val="19"/>
              </w:rPr>
              <w:t>Mesures précontractuelles (art. 6.1.b RGPD)</w:t>
            </w:r>
          </w:p>
        </w:tc>
      </w:tr>
      <w:tr>
        <w:tc>
          <w:tcPr>
            <w:tcW w:type="dxa" w:w="3137"/>
          </w:tcPr>
          <w:p>
            <w:pPr>
              <w:spacing w:after="40"/>
            </w:pPr>
            <w:r>
              <w:rPr>
                <w:sz w:val="19"/>
              </w:rPr>
            </w:r>
            <w:r>
              <w:rPr>
                <w:b w:val="0"/>
                <w:sz w:val="19"/>
              </w:rPr>
              <w:t>Gérer les réclamations, la médiation et les contentieux</w:t>
            </w:r>
          </w:p>
        </w:tc>
        <w:tc>
          <w:tcPr>
            <w:tcW w:type="dxa" w:w="3137"/>
          </w:tcPr>
          <w:p>
            <w:pPr>
              <w:spacing w:after="40"/>
            </w:pPr>
            <w:r>
              <w:rPr>
                <w:sz w:val="19"/>
              </w:rPr>
            </w:r>
            <w:r>
              <w:rPr>
                <w:b w:val="0"/>
                <w:sz w:val="19"/>
              </w:rPr>
              <w:t>Échanges, pièces du dossier</w:t>
            </w:r>
          </w:p>
        </w:tc>
        <w:tc>
          <w:tcPr>
            <w:tcW w:type="dxa" w:w="3137"/>
          </w:tcPr>
          <w:p>
            <w:pPr>
              <w:spacing w:after="40"/>
            </w:pPr>
            <w:r>
              <w:rPr>
                <w:sz w:val="19"/>
              </w:rPr>
            </w:r>
            <w:r>
              <w:rPr>
                <w:b w:val="0"/>
                <w:sz w:val="19"/>
              </w:rPr>
              <w:t>Intérêt légitime (art. 6.1.f RGPD) et obligation légale</w:t>
            </w:r>
          </w:p>
        </w:tc>
      </w:tr>
    </w:tbl>
    <w:p/>
    <w:p>
      <w:pPr>
        <w:jc w:val="both"/>
      </w:pPr>
      <w:r>
        <w:rPr>
          <w:b w:val="0"/>
        </w:rPr>
        <w:t>Aucune décision produisant des effets juridiques n'est prise de manière exclusivement automatisée. Le classement automatique du courrier (reconnaissance de l'organisme et de l'urgence) est une aide au tri, toujours vérifiée par un opérateur.</w:t>
      </w:r>
    </w:p>
    <w:p>
      <w:pPr>
        <w:pStyle w:val="Heading2"/>
      </w:pPr>
      <w:r>
        <w:t>Article 4 — Catégories de données traitées</w:t>
      </w:r>
    </w:p>
    <w:p>
      <w:pPr>
        <w:pStyle w:val="ListBullet"/>
        <w:jc w:val="both"/>
      </w:pPr>
      <w:r>
        <w:rPr>
          <w:b/>
        </w:rPr>
        <w:t>Données d'identification</w:t>
      </w:r>
      <w:r>
        <w:rPr>
          <w:b w:val="0"/>
        </w:rPr>
        <w:t xml:space="preserve"> : nom, prénoms, date et lieu de naissance, pièce d'identité, lien de parenté.</w:t>
      </w:r>
    </w:p>
    <w:p>
      <w:pPr>
        <w:pStyle w:val="ListBullet"/>
        <w:jc w:val="both"/>
      </w:pPr>
      <w:r>
        <w:rPr>
          <w:b/>
        </w:rPr>
        <w:t>Coordonnées</w:t>
      </w:r>
      <w:r>
        <w:rPr>
          <w:b w:val="0"/>
        </w:rPr>
        <w:t xml:space="preserve"> : adresses postales, courriels, téléphones, pays de résidence.</w:t>
      </w:r>
    </w:p>
    <w:p>
      <w:pPr>
        <w:pStyle w:val="ListBullet"/>
        <w:jc w:val="both"/>
      </w:pPr>
      <w:r>
        <w:rPr>
          <w:b/>
        </w:rPr>
        <w:t>Données administratives et sociales</w:t>
      </w:r>
      <w:r>
        <w:rPr>
          <w:b w:val="0"/>
        </w:rPr>
        <w:t xml:space="preserve"> : numéros d'allocataire, de pensionné, d'assuré social, situation familiale, courriers reçus, décisions des organismes, échéances, contrats (énergie, télécom, assurance, copropriété).</w:t>
      </w:r>
    </w:p>
    <w:p>
      <w:pPr>
        <w:pStyle w:val="ListBullet"/>
        <w:jc w:val="both"/>
      </w:pPr>
      <w:r>
        <w:rPr>
          <w:b/>
        </w:rPr>
        <w:t>Données fiscales</w:t>
      </w:r>
      <w:r>
        <w:rPr>
          <w:b w:val="0"/>
        </w:rPr>
        <w:t xml:space="preserve"> : avis d'imposition, déclarations de revenus, numéro fiscal, situation au regard des exonérations.</w:t>
      </w:r>
    </w:p>
    <w:p>
      <w:pPr>
        <w:pStyle w:val="ListBullet"/>
        <w:jc w:val="both"/>
      </w:pPr>
      <w:r>
        <w:rPr>
          <w:b/>
        </w:rPr>
        <w:t>Données bancaires en consultation</w:t>
      </w:r>
      <w:r>
        <w:rPr>
          <w:b w:val="0"/>
        </w:rPr>
        <w:t xml:space="preserve"> : relevés et mouvements consultés pour les besoins d'une démarche, IBAN communiqué aux organismes ; aucune donnée de paiement du bénéficiaire n'est utilisée par Relais.</w:t>
      </w:r>
    </w:p>
    <w:p>
      <w:pPr>
        <w:pStyle w:val="ListBullet"/>
        <w:jc w:val="both"/>
      </w:pPr>
      <w:r>
        <w:rPr>
          <w:b/>
        </w:rPr>
        <w:t>Données sensibles</w:t>
      </w:r>
      <w:r>
        <w:rPr>
          <w:b w:val="0"/>
        </w:rPr>
        <w:t xml:space="preserve"> : données de santé (article 9 RGPD) strictement nécessaires aux démarches ; numéro de sécurité sociale (NIR) dans les seuls cas prévus par la réglementation.</w:t>
      </w:r>
    </w:p>
    <w:p>
      <w:pPr>
        <w:pStyle w:val="ListBullet"/>
        <w:jc w:val="both"/>
      </w:pPr>
      <w:r>
        <w:rPr>
          <w:b/>
        </w:rPr>
        <w:t>Identifiants et données de sécurité</w:t>
      </w:r>
      <w:r>
        <w:rPr>
          <w:b w:val="0"/>
        </w:rPr>
        <w:t xml:space="preserve"> : identifiants et mots de passe des comptes en ligne, codes de vérification reçus sur la ligne dédiée, journaux d'accès.</w:t>
      </w:r>
    </w:p>
    <w:p>
      <w:pPr>
        <w:pStyle w:val="ListBullet"/>
        <w:jc w:val="both"/>
      </w:pPr>
      <w:r>
        <w:rPr>
          <w:b/>
        </w:rPr>
        <w:t>Données de facturation</w:t>
      </w:r>
      <w:r>
        <w:rPr>
          <w:b w:val="0"/>
        </w:rPr>
        <w:t xml:space="preserve"> : historique des paiements, factures.</w:t>
      </w:r>
    </w:p>
    <w:p>
      <w:pPr>
        <w:pStyle w:val="ListBullet"/>
        <w:jc w:val="both"/>
      </w:pPr>
      <w:r>
        <w:rPr>
          <w:b/>
        </w:rPr>
        <w:t>Données de navigation sur le site</w:t>
      </w:r>
      <w:r>
        <w:rPr>
          <w:b w:val="0"/>
        </w:rPr>
        <w:t xml:space="preserve"> : le site ne dépose aucun cookie non essentiel et n'utilise aucun outil de mesure d'audience à son lancement ; seules les données saisies dans le formulaire de contact sont transmises.</w:t>
      </w:r>
    </w:p>
    <w:p>
      <w:pPr>
        <w:pStyle w:val="Heading2"/>
      </w:pPr>
      <w:r>
        <w:t>Article 5 — Destinataires et sous-traitants</w:t>
      </w:r>
    </w:p>
    <w:p>
      <w:pPr>
        <w:jc w:val="both"/>
      </w:pPr>
      <w:r>
        <w:rPr>
          <w:b w:val="0"/>
        </w:rPr>
        <w:t>Les données sont accessibles, dans la limite de leurs attributions, aux seules personnes habilitées de Relais : le responsable du service et les opérateurs en charge du dossier. Chaque opérateur dispose d'accès nominatifs, tracés dans un journal d'accès.</w:t>
      </w:r>
    </w:p>
    <w:p>
      <w:pPr>
        <w:jc w:val="both"/>
      </w:pPr>
      <w:r>
        <w:rPr>
          <w:b w:val="0"/>
        </w:rPr>
        <w:t>Les données sont communiquées aux organismes auprès desquels les démarches sont accomplies (administrations, caisses, assureurs, fournisseurs), dans la limite de chaque démarche.</w:t>
      </w:r>
    </w:p>
    <w:p>
      <w:pPr>
        <w:jc w:val="both"/>
      </w:pPr>
      <w:r>
        <w:rPr>
          <w:b w:val="0"/>
        </w:rPr>
        <w:t>Relais fait appel aux sous-traitants suivants, liés par un contrat conforme à l'article 28 du RGPD :</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8EEF5"/>
          </w:tcPr>
          <w:p>
            <w:pPr>
              <w:spacing w:after="40"/>
            </w:pPr>
            <w:r>
              <w:rPr>
                <w:sz w:val="19"/>
              </w:rPr>
            </w:r>
            <w:r>
              <w:rPr>
                <w:b/>
                <w:sz w:val="19"/>
              </w:rPr>
              <w:t>Sous-traitant</w:t>
            </w:r>
          </w:p>
        </w:tc>
        <w:tc>
          <w:tcPr>
            <w:tcW w:type="dxa" w:w="3137"/>
            <w:shd w:val="clear" w:color="auto" w:fill="E8EEF5"/>
          </w:tcPr>
          <w:p>
            <w:pPr>
              <w:spacing w:after="40"/>
            </w:pPr>
            <w:r>
              <w:rPr>
                <w:sz w:val="19"/>
              </w:rPr>
            </w:r>
            <w:r>
              <w:rPr>
                <w:b/>
                <w:sz w:val="19"/>
              </w:rPr>
              <w:t>Finalité</w:t>
            </w:r>
          </w:p>
        </w:tc>
        <w:tc>
          <w:tcPr>
            <w:tcW w:type="dxa" w:w="3137"/>
            <w:shd w:val="clear" w:color="auto" w:fill="E8EEF5"/>
          </w:tcPr>
          <w:p>
            <w:pPr>
              <w:spacing w:after="40"/>
            </w:pPr>
            <w:r>
              <w:rPr>
                <w:sz w:val="19"/>
              </w:rPr>
            </w:r>
            <w:r>
              <w:rPr>
                <w:b/>
                <w:sz w:val="19"/>
              </w:rPr>
              <w:t>Localisation des données</w:t>
            </w:r>
          </w:p>
        </w:tc>
      </w:tr>
      <w:tr>
        <w:tc>
          <w:tcPr>
            <w:tcW w:type="dxa" w:w="3137"/>
          </w:tcPr>
          <w:p>
            <w:pPr>
              <w:spacing w:after="40"/>
            </w:pPr>
            <w:r>
              <w:rPr>
                <w:sz w:val="19"/>
              </w:rPr>
            </w:r>
            <w:r>
              <w:rPr>
                <w:b w:val="0"/>
                <w:sz w:val="19"/>
              </w:rPr>
              <w:t>Airtable ({{AIRTABLE_ENTITE}})</w:t>
            </w:r>
          </w:p>
        </w:tc>
        <w:tc>
          <w:tcPr>
            <w:tcW w:type="dxa" w:w="3137"/>
          </w:tcPr>
          <w:p>
            <w:pPr>
              <w:spacing w:after="40"/>
            </w:pPr>
            <w:r>
              <w:rPr>
                <w:sz w:val="19"/>
              </w:rPr>
            </w:r>
            <w:r>
              <w:rPr>
                <w:b w:val="0"/>
                <w:sz w:val="19"/>
              </w:rPr>
              <w:t>Base de gestion des dossiers, démarches et courriers</w:t>
            </w:r>
          </w:p>
        </w:tc>
        <w:tc>
          <w:tcPr>
            <w:tcW w:type="dxa" w:w="3137"/>
          </w:tcPr>
          <w:p>
            <w:pPr>
              <w:spacing w:after="40"/>
            </w:pPr>
            <w:r>
              <w:rPr>
                <w:sz w:val="19"/>
              </w:rPr>
            </w:r>
            <w:r>
              <w:rPr>
                <w:b w:val="0"/>
                <w:sz w:val="19"/>
              </w:rPr>
              <w:t>{{AIRTABLE_HEBERGEMENT}}</w:t>
            </w:r>
          </w:p>
        </w:tc>
      </w:tr>
      <w:tr>
        <w:tc>
          <w:tcPr>
            <w:tcW w:type="dxa" w:w="3137"/>
          </w:tcPr>
          <w:p>
            <w:pPr>
              <w:spacing w:after="40"/>
            </w:pPr>
            <w:r>
              <w:rPr>
                <w:sz w:val="19"/>
              </w:rPr>
            </w:r>
            <w:r>
              <w:rPr>
                <w:b w:val="0"/>
                <w:sz w:val="19"/>
              </w:rPr>
              <w:t>Bitwarden ({{BITWARDEN_ENTITE}})</w:t>
            </w:r>
          </w:p>
        </w:tc>
        <w:tc>
          <w:tcPr>
            <w:tcW w:type="dxa" w:w="3137"/>
          </w:tcPr>
          <w:p>
            <w:pPr>
              <w:spacing w:after="40"/>
            </w:pPr>
            <w:r>
              <w:rPr>
                <w:sz w:val="19"/>
              </w:rPr>
            </w:r>
            <w:r>
              <w:rPr>
                <w:b w:val="0"/>
                <w:sz w:val="19"/>
              </w:rPr>
              <w:t>Coffre-fort chiffré des identifiants</w:t>
            </w:r>
          </w:p>
        </w:tc>
        <w:tc>
          <w:tcPr>
            <w:tcW w:type="dxa" w:w="3137"/>
          </w:tcPr>
          <w:p>
            <w:pPr>
              <w:spacing w:after="40"/>
            </w:pPr>
            <w:r>
              <w:rPr>
                <w:sz w:val="19"/>
              </w:rPr>
            </w:r>
            <w:r>
              <w:rPr>
                <w:b w:val="0"/>
                <w:sz w:val="19"/>
              </w:rPr>
              <w:t>{{BITWARDEN_HEBERGEMENT}}</w:t>
            </w:r>
          </w:p>
        </w:tc>
      </w:tr>
      <w:tr>
        <w:tc>
          <w:tcPr>
            <w:tcW w:type="dxa" w:w="3137"/>
          </w:tcPr>
          <w:p>
            <w:pPr>
              <w:spacing w:after="40"/>
            </w:pPr>
            <w:r>
              <w:rPr>
                <w:sz w:val="19"/>
              </w:rPr>
            </w:r>
            <w:r>
              <w:rPr>
                <w:b w:val="0"/>
                <w:sz w:val="19"/>
              </w:rPr>
              <w:t>{{SERVICE_SCAN_NOM}}</w:t>
            </w:r>
          </w:p>
        </w:tc>
        <w:tc>
          <w:tcPr>
            <w:tcW w:type="dxa" w:w="3137"/>
          </w:tcPr>
          <w:p>
            <w:pPr>
              <w:spacing w:after="40"/>
            </w:pPr>
            <w:r>
              <w:rPr>
                <w:sz w:val="19"/>
              </w:rPr>
            </w:r>
            <w:r>
              <w:rPr>
                <w:b w:val="0"/>
                <w:sz w:val="19"/>
              </w:rPr>
              <w:t>Réception, numérisation et réexpédition du courrier</w:t>
            </w:r>
          </w:p>
        </w:tc>
        <w:tc>
          <w:tcPr>
            <w:tcW w:type="dxa" w:w="3137"/>
          </w:tcPr>
          <w:p>
            <w:pPr>
              <w:spacing w:after="40"/>
            </w:pPr>
            <w:r>
              <w:rPr>
                <w:sz w:val="19"/>
              </w:rPr>
            </w:r>
            <w:r>
              <w:rPr>
                <w:b w:val="0"/>
                <w:sz w:val="19"/>
              </w:rPr>
              <w:t>{{SERVICE_SCAN_HEBERGEMENT}}</w:t>
            </w:r>
          </w:p>
        </w:tc>
      </w:tr>
      <w:tr>
        <w:tc>
          <w:tcPr>
            <w:tcW w:type="dxa" w:w="3137"/>
          </w:tcPr>
          <w:p>
            <w:pPr>
              <w:spacing w:after="40"/>
            </w:pPr>
            <w:r>
              <w:rPr>
                <w:sz w:val="19"/>
              </w:rPr>
            </w:r>
            <w:r>
              <w:rPr>
                <w:b w:val="0"/>
                <w:sz w:val="19"/>
              </w:rPr>
              <w:t>{{TELEPHONIE_NOM}}</w:t>
            </w:r>
          </w:p>
        </w:tc>
        <w:tc>
          <w:tcPr>
            <w:tcW w:type="dxa" w:w="3137"/>
          </w:tcPr>
          <w:p>
            <w:pPr>
              <w:spacing w:after="40"/>
            </w:pPr>
            <w:r>
              <w:rPr>
                <w:sz w:val="19"/>
              </w:rPr>
            </w:r>
            <w:r>
              <w:rPr>
                <w:b w:val="0"/>
                <w:sz w:val="19"/>
              </w:rPr>
              <w:t>Ligne téléphonique dédiée et réception des codes de vérification</w:t>
            </w:r>
          </w:p>
        </w:tc>
        <w:tc>
          <w:tcPr>
            <w:tcW w:type="dxa" w:w="3137"/>
          </w:tcPr>
          <w:p>
            <w:pPr>
              <w:spacing w:after="40"/>
            </w:pPr>
            <w:r>
              <w:rPr>
                <w:sz w:val="19"/>
              </w:rPr>
            </w:r>
            <w:r>
              <w:rPr>
                <w:b w:val="0"/>
                <w:sz w:val="19"/>
              </w:rPr>
              <w:t>{{TELEPHONIE_HEBERGEMENT}}</w:t>
            </w:r>
          </w:p>
        </w:tc>
      </w:tr>
      <w:tr>
        <w:tc>
          <w:tcPr>
            <w:tcW w:type="dxa" w:w="3137"/>
          </w:tcPr>
          <w:p>
            <w:pPr>
              <w:spacing w:after="40"/>
            </w:pPr>
            <w:r>
              <w:rPr>
                <w:sz w:val="19"/>
              </w:rPr>
            </w:r>
            <w:r>
              <w:rPr>
                <w:b w:val="0"/>
                <w:sz w:val="19"/>
              </w:rPr>
              <w:t>{{MESSAGERIE_NOM}}</w:t>
            </w:r>
          </w:p>
        </w:tc>
        <w:tc>
          <w:tcPr>
            <w:tcW w:type="dxa" w:w="3137"/>
          </w:tcPr>
          <w:p>
            <w:pPr>
              <w:spacing w:after="40"/>
            </w:pPr>
            <w:r>
              <w:rPr>
                <w:sz w:val="19"/>
              </w:rPr>
            </w:r>
            <w:r>
              <w:rPr>
                <w:b w:val="0"/>
                <w:sz w:val="19"/>
              </w:rPr>
              <w:t>Messagerie électronique et envoi des rapports</w:t>
            </w:r>
          </w:p>
        </w:tc>
        <w:tc>
          <w:tcPr>
            <w:tcW w:type="dxa" w:w="3137"/>
          </w:tcPr>
          <w:p>
            <w:pPr>
              <w:spacing w:after="40"/>
            </w:pPr>
            <w:r>
              <w:rPr>
                <w:sz w:val="19"/>
              </w:rPr>
            </w:r>
            <w:r>
              <w:rPr>
                <w:b w:val="0"/>
                <w:sz w:val="19"/>
              </w:rPr>
              <w:t>{{MESSAGERIE_HEBERGEMENT}}</w:t>
            </w:r>
          </w:p>
        </w:tc>
      </w:tr>
      <w:tr>
        <w:tc>
          <w:tcPr>
            <w:tcW w:type="dxa" w:w="3137"/>
          </w:tcPr>
          <w:p>
            <w:pPr>
              <w:spacing w:after="40"/>
            </w:pPr>
            <w:r>
              <w:rPr>
                <w:sz w:val="19"/>
              </w:rPr>
            </w:r>
            <w:r>
              <w:rPr>
                <w:b w:val="0"/>
                <w:sz w:val="19"/>
              </w:rPr>
              <w:t>{{PAIEMENT_NOM}}</w:t>
            </w:r>
          </w:p>
        </w:tc>
        <w:tc>
          <w:tcPr>
            <w:tcW w:type="dxa" w:w="3137"/>
          </w:tcPr>
          <w:p>
            <w:pPr>
              <w:spacing w:after="40"/>
            </w:pPr>
            <w:r>
              <w:rPr>
                <w:sz w:val="19"/>
              </w:rPr>
            </w:r>
            <w:r>
              <w:rPr>
                <w:b w:val="0"/>
                <w:sz w:val="19"/>
              </w:rPr>
              <w:t>Encaissement des abonnements et forfaits</w:t>
            </w:r>
          </w:p>
        </w:tc>
        <w:tc>
          <w:tcPr>
            <w:tcW w:type="dxa" w:w="3137"/>
          </w:tcPr>
          <w:p>
            <w:pPr>
              <w:spacing w:after="40"/>
            </w:pPr>
            <w:r>
              <w:rPr>
                <w:sz w:val="19"/>
              </w:rPr>
            </w:r>
            <w:r>
              <w:rPr>
                <w:b w:val="0"/>
                <w:sz w:val="19"/>
              </w:rPr>
              <w:t>{{PAIEMENT_HEBERGEMENT}}</w:t>
            </w:r>
          </w:p>
        </w:tc>
      </w:tr>
      <w:tr>
        <w:tc>
          <w:tcPr>
            <w:tcW w:type="dxa" w:w="3137"/>
          </w:tcPr>
          <w:p>
            <w:pPr>
              <w:spacing w:after="40"/>
            </w:pPr>
            <w:r>
              <w:rPr>
                <w:sz w:val="19"/>
              </w:rPr>
            </w:r>
            <w:r>
              <w:rPr>
                <w:b w:val="0"/>
                <w:sz w:val="19"/>
              </w:rPr>
              <w:t>Formspree ({{FORMSPREE_ENTITE}})</w:t>
            </w:r>
          </w:p>
        </w:tc>
        <w:tc>
          <w:tcPr>
            <w:tcW w:type="dxa" w:w="3137"/>
          </w:tcPr>
          <w:p>
            <w:pPr>
              <w:spacing w:after="40"/>
            </w:pPr>
            <w:r>
              <w:rPr>
                <w:sz w:val="19"/>
              </w:rPr>
            </w:r>
            <w:r>
              <w:rPr>
                <w:b w:val="0"/>
                <w:sz w:val="19"/>
              </w:rPr>
              <w:t>Réception des messages du formulaire de contact</w:t>
            </w:r>
          </w:p>
        </w:tc>
        <w:tc>
          <w:tcPr>
            <w:tcW w:type="dxa" w:w="3137"/>
          </w:tcPr>
          <w:p>
            <w:pPr>
              <w:spacing w:after="40"/>
            </w:pPr>
            <w:r>
              <w:rPr>
                <w:sz w:val="19"/>
              </w:rPr>
            </w:r>
            <w:r>
              <w:rPr>
                <w:b w:val="0"/>
                <w:sz w:val="19"/>
              </w:rPr>
              <w:t>{{FORMSPREE_HEBERGEMENT}}</w:t>
            </w:r>
          </w:p>
        </w:tc>
      </w:tr>
    </w:tbl>
    <w:p/>
    <w:p>
      <w:pPr>
        <w:jc w:val="both"/>
      </w:pPr>
      <w:r>
        <w:rPr>
          <w:b w:val="0"/>
        </w:rPr>
        <w:t>Relais privilégie un hébergement dans l'Union européenne. Lorsque ce n'est pas le cas, les garanties de l'article « Transferts hors Union européenne » s'appliquent. La liste à jour des sous-traitants est communiquée sur simple demande.</w:t>
      </w:r>
    </w:p>
    <w:p>
      <w:pPr>
        <w:jc w:val="both"/>
      </w:pPr>
      <w:r>
        <w:rPr>
          <w:b w:val="0"/>
        </w:rPr>
        <w:t>Les données peuvent également être communiquées aux autorités compétentes lorsque la loi l'exige, au médiateur de la consommation en cas de litige, à l'assureur de responsabilité civile professionnelle en cas de sinistre, et aux conseils de Relais (expert-comptable, avocat) tenus au secret professionnel.</w:t>
      </w:r>
    </w:p>
    <w:p>
      <w:pPr>
        <w:pStyle w:val="Heading2"/>
      </w:pPr>
      <w:r>
        <w:t>Article 6 — Durées de conservation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8EEF5"/>
          </w:tcPr>
          <w:p>
            <w:pPr>
              <w:spacing w:after="40"/>
            </w:pPr>
            <w:r>
              <w:rPr>
                <w:sz w:val="19"/>
              </w:rPr>
            </w:r>
            <w:r>
              <w:rPr>
                <w:b/>
                <w:sz w:val="19"/>
              </w:rPr>
              <w:t>Données</w:t>
            </w:r>
          </w:p>
        </w:tc>
        <w:tc>
          <w:tcPr>
            <w:tcW w:type="dxa" w:w="4706"/>
            <w:shd w:val="clear" w:color="auto" w:fill="E8EEF5"/>
          </w:tcPr>
          <w:p>
            <w:pPr>
              <w:spacing w:after="40"/>
            </w:pPr>
            <w:r>
              <w:rPr>
                <w:sz w:val="19"/>
              </w:rPr>
            </w:r>
            <w:r>
              <w:rPr>
                <w:b/>
                <w:sz w:val="19"/>
              </w:rPr>
              <w:t>Durée</w:t>
            </w:r>
          </w:p>
        </w:tc>
      </w:tr>
      <w:tr>
        <w:tc>
          <w:tcPr>
            <w:tcW w:type="dxa" w:w="4706"/>
          </w:tcPr>
          <w:p>
            <w:pPr>
              <w:spacing w:after="40"/>
            </w:pPr>
            <w:r>
              <w:rPr>
                <w:sz w:val="19"/>
              </w:rPr>
            </w:r>
            <w:r>
              <w:rPr>
                <w:b w:val="0"/>
                <w:sz w:val="19"/>
              </w:rPr>
              <w:t>Dossier du bénéficiaire et du client (démarches, courriers, rapports)</w:t>
            </w:r>
          </w:p>
        </w:tc>
        <w:tc>
          <w:tcPr>
            <w:tcW w:type="dxa" w:w="4706"/>
          </w:tcPr>
          <w:p>
            <w:pPr>
              <w:spacing w:after="40"/>
            </w:pPr>
            <w:r>
              <w:rPr>
                <w:sz w:val="19"/>
              </w:rPr>
            </w:r>
            <w:r>
              <w:rPr>
                <w:b w:val="0"/>
                <w:sz w:val="19"/>
              </w:rPr>
              <w:t>Durée du mandat, puis trois (3) ans à compter de sa fin, à titre de preuve</w:t>
            </w:r>
          </w:p>
        </w:tc>
      </w:tr>
      <w:tr>
        <w:tc>
          <w:tcPr>
            <w:tcW w:type="dxa" w:w="4706"/>
          </w:tcPr>
          <w:p>
            <w:pPr>
              <w:spacing w:after="40"/>
            </w:pPr>
            <w:r>
              <w:rPr>
                <w:sz w:val="19"/>
              </w:rPr>
            </w:r>
            <w:r>
              <w:rPr>
                <w:b w:val="0"/>
                <w:sz w:val="19"/>
              </w:rPr>
              <w:t>Identifiants des comptes en ligne</w:t>
            </w:r>
          </w:p>
        </w:tc>
        <w:tc>
          <w:tcPr>
            <w:tcW w:type="dxa" w:w="4706"/>
          </w:tcPr>
          <w:p>
            <w:pPr>
              <w:spacing w:after="40"/>
            </w:pPr>
            <w:r>
              <w:rPr>
                <w:sz w:val="19"/>
              </w:rPr>
            </w:r>
            <w:r>
              <w:rPr>
                <w:b w:val="0"/>
                <w:sz w:val="19"/>
              </w:rPr>
              <w:t>Durée du mandat ; suppression du coffre dans les quinze (15) jours suivant la fin du mandat</w:t>
            </w:r>
          </w:p>
        </w:tc>
      </w:tr>
      <w:tr>
        <w:tc>
          <w:tcPr>
            <w:tcW w:type="dxa" w:w="4706"/>
          </w:tcPr>
          <w:p>
            <w:pPr>
              <w:spacing w:after="40"/>
            </w:pPr>
            <w:r>
              <w:rPr>
                <w:sz w:val="19"/>
              </w:rPr>
            </w:r>
            <w:r>
              <w:rPr>
                <w:b w:val="0"/>
                <w:sz w:val="19"/>
              </w:rPr>
              <w:t>Journaux d'accès</w:t>
            </w:r>
          </w:p>
        </w:tc>
        <w:tc>
          <w:tcPr>
            <w:tcW w:type="dxa" w:w="4706"/>
          </w:tcPr>
          <w:p>
            <w:pPr>
              <w:spacing w:after="40"/>
            </w:pPr>
            <w:r>
              <w:rPr>
                <w:sz w:val="19"/>
              </w:rPr>
            </w:r>
            <w:r>
              <w:rPr>
                <w:b w:val="0"/>
                <w:sz w:val="19"/>
              </w:rPr>
              <w:t>Un (1) an</w:t>
            </w:r>
          </w:p>
        </w:tc>
      </w:tr>
      <w:tr>
        <w:tc>
          <w:tcPr>
            <w:tcW w:type="dxa" w:w="4706"/>
          </w:tcPr>
          <w:p>
            <w:pPr>
              <w:spacing w:after="40"/>
            </w:pPr>
            <w:r>
              <w:rPr>
                <w:sz w:val="19"/>
              </w:rPr>
            </w:r>
            <w:r>
              <w:rPr>
                <w:b w:val="0"/>
                <w:sz w:val="19"/>
              </w:rPr>
              <w:t>Données de santé</w:t>
            </w:r>
          </w:p>
        </w:tc>
        <w:tc>
          <w:tcPr>
            <w:tcW w:type="dxa" w:w="4706"/>
          </w:tcPr>
          <w:p>
            <w:pPr>
              <w:spacing w:after="40"/>
            </w:pPr>
            <w:r>
              <w:rPr>
                <w:sz w:val="19"/>
              </w:rPr>
            </w:r>
            <w:r>
              <w:rPr>
                <w:b w:val="0"/>
                <w:sz w:val="19"/>
              </w:rPr>
              <w:t>Durée strictement nécessaire à la démarche concernée, et au plus la durée du mandat ; les pièces médicales sont supprimées dès que la démarche est close</w:t>
            </w:r>
          </w:p>
        </w:tc>
      </w:tr>
      <w:tr>
        <w:tc>
          <w:tcPr>
            <w:tcW w:type="dxa" w:w="4706"/>
          </w:tcPr>
          <w:p>
            <w:pPr>
              <w:spacing w:after="40"/>
            </w:pPr>
            <w:r>
              <w:rPr>
                <w:sz w:val="19"/>
              </w:rPr>
            </w:r>
            <w:r>
              <w:rPr>
                <w:b w:val="0"/>
                <w:sz w:val="19"/>
              </w:rPr>
              <w:t>Factures et pièces comptables</w:t>
            </w:r>
          </w:p>
        </w:tc>
        <w:tc>
          <w:tcPr>
            <w:tcW w:type="dxa" w:w="4706"/>
          </w:tcPr>
          <w:p>
            <w:pPr>
              <w:spacing w:after="40"/>
            </w:pPr>
            <w:r>
              <w:rPr>
                <w:sz w:val="19"/>
              </w:rPr>
            </w:r>
            <w:r>
              <w:rPr>
                <w:b w:val="0"/>
                <w:sz w:val="19"/>
              </w:rPr>
              <w:t>Dix (10) ans (article L. 123-22 du Code de commerce)</w:t>
            </w:r>
          </w:p>
        </w:tc>
      </w:tr>
      <w:tr>
        <w:tc>
          <w:tcPr>
            <w:tcW w:type="dxa" w:w="4706"/>
          </w:tcPr>
          <w:p>
            <w:pPr>
              <w:spacing w:after="40"/>
            </w:pPr>
            <w:r>
              <w:rPr>
                <w:sz w:val="19"/>
              </w:rPr>
            </w:r>
            <w:r>
              <w:rPr>
                <w:b w:val="0"/>
                <w:sz w:val="19"/>
              </w:rPr>
              <w:t>Données des prospects n'ayant pas souscrit</w:t>
            </w:r>
          </w:p>
        </w:tc>
        <w:tc>
          <w:tcPr>
            <w:tcW w:type="dxa" w:w="4706"/>
          </w:tcPr>
          <w:p>
            <w:pPr>
              <w:spacing w:after="40"/>
            </w:pPr>
            <w:r>
              <w:rPr>
                <w:sz w:val="19"/>
              </w:rPr>
            </w:r>
            <w:r>
              <w:rPr>
                <w:b w:val="0"/>
                <w:sz w:val="19"/>
              </w:rPr>
              <w:t>Trois (3) ans à compter du dernier contact</w:t>
            </w:r>
          </w:p>
        </w:tc>
      </w:tr>
      <w:tr>
        <w:tc>
          <w:tcPr>
            <w:tcW w:type="dxa" w:w="4706"/>
          </w:tcPr>
          <w:p>
            <w:pPr>
              <w:spacing w:after="40"/>
            </w:pPr>
            <w:r>
              <w:rPr>
                <w:sz w:val="19"/>
              </w:rPr>
            </w:r>
            <w:r>
              <w:rPr>
                <w:b w:val="0"/>
                <w:sz w:val="19"/>
              </w:rPr>
              <w:t>Candidatures non retenues</w:t>
            </w:r>
          </w:p>
        </w:tc>
        <w:tc>
          <w:tcPr>
            <w:tcW w:type="dxa" w:w="4706"/>
          </w:tcPr>
          <w:p>
            <w:pPr>
              <w:spacing w:after="40"/>
            </w:pPr>
            <w:r>
              <w:rPr>
                <w:sz w:val="19"/>
              </w:rPr>
            </w:r>
            <w:r>
              <w:rPr>
                <w:b w:val="0"/>
                <w:sz w:val="19"/>
              </w:rPr>
              <w:t>Deux (2) ans à compter du dernier contact, sauf opposition</w:t>
            </w:r>
          </w:p>
        </w:tc>
      </w:tr>
      <w:tr>
        <w:tc>
          <w:tcPr>
            <w:tcW w:type="dxa" w:w="4706"/>
          </w:tcPr>
          <w:p>
            <w:pPr>
              <w:spacing w:after="40"/>
            </w:pPr>
            <w:r>
              <w:rPr>
                <w:sz w:val="19"/>
              </w:rPr>
            </w:r>
            <w:r>
              <w:rPr>
                <w:b w:val="0"/>
                <w:sz w:val="19"/>
              </w:rPr>
              <w:t>Pièces d'identité</w:t>
            </w:r>
          </w:p>
        </w:tc>
        <w:tc>
          <w:tcPr>
            <w:tcW w:type="dxa" w:w="4706"/>
          </w:tcPr>
          <w:p>
            <w:pPr>
              <w:spacing w:after="40"/>
            </w:pPr>
            <w:r>
              <w:rPr>
                <w:sz w:val="19"/>
              </w:rPr>
            </w:r>
            <w:r>
              <w:rPr>
                <w:b w:val="0"/>
                <w:sz w:val="19"/>
              </w:rPr>
              <w:t>Durée du mandat, puis suppression ; la copie transmise à un organisme relève de la conservation propre à cet organisme</w:t>
            </w:r>
          </w:p>
        </w:tc>
      </w:tr>
    </w:tbl>
    <w:p/>
    <w:p>
      <w:pPr>
        <w:jc w:val="both"/>
      </w:pPr>
      <w:r>
        <w:rPr>
          <w:b w:val="0"/>
        </w:rPr>
        <w:t>À l'issue de ces durées, les données sont supprimées ou anonymisées. Les données pouvant être nécessaires à la défense d'un droit en justice sont archivées de manière restreinte jusqu'à l'expiration de la prescription applicable.</w:t>
      </w:r>
    </w:p>
    <w:p>
      <w:pPr>
        <w:pStyle w:val="Heading2"/>
      </w:pPr>
      <w:r>
        <w:t>Article 7 — Sécurité</w:t>
      </w:r>
    </w:p>
    <w:p>
      <w:pPr>
        <w:jc w:val="both"/>
      </w:pPr>
      <w:r>
        <w:rPr>
          <w:b w:val="0"/>
        </w:rPr>
        <w:t>Relais met en œuvre les mesures suivantes : coffre-fort d'identifiants chiffré de bout en bout avec accès nominatifs et authentification à deux facteurs pour les opérateurs ; interdiction de transmettre un identifiant par courriel ou messagerie ; journal d'accès conservé un an ; chiffrement des échanges (TLS) ; sauvegardes ; sensibilisation et engagement de confidentialité de chaque opérateur ; révocation immédiate des accès d'un opérateur quittant le service ; procédure de notification des violations de données à la CNIL sous 72 heures et aux personnes concernées lorsque la violation présente un risque élevé.</w:t>
      </w:r>
    </w:p>
    <w:p>
      <w:pPr>
        <w:pStyle w:val="Heading2"/>
      </w:pPr>
      <w:r>
        <w:t>Article 8 — Droits des personnes</w:t>
      </w:r>
    </w:p>
    <w:p>
      <w:pPr>
        <w:jc w:val="both"/>
      </w:pPr>
      <w:r>
        <w:rPr>
          <w:b w:val="0"/>
        </w:rPr>
        <w:t>Chaque personne concernée dispose des droits suivants : accès, rectification, effacement, limitation du traitement, portabilité des données qu'elle a fournies, opposition pour les traitements fondés sur l'intérêt légitime, retrait du consentement à tout moment pour les traitements fondés sur celui-ci, et droit de définir des directives relatives au sort de ses données après son décès.</w:t>
      </w:r>
    </w:p>
    <w:p>
      <w:pPr>
        <w:jc w:val="both"/>
      </w:pPr>
      <w:r>
        <w:rPr>
          <w:b w:val="0"/>
        </w:rPr>
        <w:t>Le bénéficiaire exerce lui-même ses droits. Le client ne peut exercer les droits du bénéficiaire qu'avec son accord écrit ou dans les cas prévus par la loi.</w:t>
      </w:r>
    </w:p>
    <w:p>
      <w:pPr>
        <w:jc w:val="both"/>
      </w:pPr>
      <w:r>
        <w:rPr>
          <w:b w:val="0"/>
        </w:rPr>
        <w:t>Les demandes sont adressées à {{DPO_EMAIL}} ou par courrier à l'adresse du siège. Une réponse est apportée dans un délai d'un mois, prolongeable de deux mois en cas de demande complexe. En cas de doute sur l'identité du demandeur, une pièce justificative peut être demandée.</w:t>
      </w:r>
    </w:p>
    <w:p>
      <w:pPr>
        <w:jc w:val="both"/>
      </w:pPr>
      <w:r>
        <w:rPr>
          <w:b w:val="0"/>
        </w:rPr>
        <w:t>Toute personne peut introduire une réclamation auprès de la Commission nationale de l'informatique et des libertés (CNIL), 3 place de Fontenoy, TSA 80715, 75334 Paris Cedex 07, www.cnil.fr.</w:t>
      </w:r>
    </w:p>
    <w:p>
      <w:pPr>
        <w:pStyle w:val="Heading2"/>
      </w:pPr>
      <w:r>
        <w:t>Article 9 — Référent protection des données</w:t>
      </w:r>
    </w:p>
    <w:p>
      <w:pPr>
        <w:jc w:val="both"/>
      </w:pPr>
      <w:r>
        <w:rPr>
          <w:b w:val="0"/>
        </w:rPr>
        <w:t>Compte tenu de la nature des données traitées, Relais a désigné un référent protection des données joignable à {{DPO_EMAIL}}. Relais tient un registre des activités de traitement conformément à l'article 30 du RGPD et réalise une analyse d'impact relative à la protection des données pour le traitement des données de santé et des identifiants.</w:t>
      </w:r>
    </w:p>
    <w:p>
      <w:pPr>
        <w:pStyle w:val="Heading2"/>
      </w:pPr>
      <w:r>
        <w:t>Article 10 — Transferts hors Union européenne</w:t>
      </w:r>
    </w:p>
    <w:p>
      <w:pPr>
        <w:jc w:val="both"/>
      </w:pPr>
      <w:r>
        <w:rPr>
          <w:b w:val="0"/>
        </w:rPr>
        <w:t>Le client réside généralement hors de l'Union européenne. Les rapports et alertes lui sont adressés par courriel dans son pays de résidence, ce qui constitue un transfert nécessaire à l'exécution du contrat conclu avec lui (article 49.1.b RGPD).</w:t>
      </w:r>
    </w:p>
    <w:p>
      <w:pPr>
        <w:jc w:val="both"/>
      </w:pPr>
      <w:r>
        <w:rPr>
          <w:b w:val="0"/>
        </w:rPr>
        <w:t>Lorsqu'un sous-traitant héberge ou accède à des données depuis un pays situé hors de l'Union européenne, Relais s'assure de l'existence d'une décision d'adéquation de la Commission européenne ou de la signature des clauses contractuelles types adoptées par la Commission, complétées le cas échéant par des mesures supplémentaires. Les données de santé et les identifiants sont, dans toute la mesure du possible, hébergés dans l'Union européenne.</w:t>
      </w:r>
    </w:p>
    <w:p>
      <w:pPr>
        <w:pStyle w:val="Heading2"/>
      </w:pPr>
      <w:r>
        <w:t>Article 11 — Cookies</w:t>
      </w:r>
    </w:p>
    <w:p>
      <w:pPr>
        <w:jc w:val="both"/>
      </w:pPr>
      <w:r>
        <w:rPr>
          <w:b w:val="0"/>
        </w:rPr>
        <w:t>Le site {{SITE_URL}} ne dépose aucun cookie ni traceur non essentiel. Aucun outil de mesure d'audience ni de publicité n'est activé. Si des traceurs venaient à être ajoutés, un bandeau de recueil du consentement serait mis en place au préalable et la présente politique serait mise à jour.</w:t>
      </w:r>
    </w:p>
    <w:p>
      <w:pPr>
        <w:pStyle w:val="Heading2"/>
      </w:pPr>
      <w:r>
        <w:t>Article 12 — Mise à jour</w:t>
      </w:r>
    </w:p>
    <w:p>
      <w:pPr>
        <w:jc w:val="both"/>
      </w:pPr>
      <w:r>
        <w:rPr>
          <w:b w:val="0"/>
        </w:rPr>
        <w:t>La présente politique peut être modifiée pour tenir compte des évolutions du service ou de la réglementation. La version en vigueur est datée en tête du document et publiée sur {{SITE_URL}}. Toute modification substantielle est notifiée au client et au bénéficiaire par courriel.</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r>
    <w:r>
      <w:rPr>
        <w:sz w:val="18"/>
      </w:rPr>
      <w:t xml:space="preserve">Page </w:t>
    </w:r>
    <w:r>
      <w:rPr>
        <w:sz w:val="18"/>
      </w:rPr>
      <w:fldChar w:fldCharType="begin"/>
      <w:instrText xml:space="preserve">PAGE</w:instrText>
      <w:fldChar w:fldCharType="separate"/>
      <w:t>1</w:t>
      <w:fldChar w:fldCharType="end"/>
    </w:r>
    <w:r>
      <w:rPr>
        <w:sz w:val="18"/>
      </w:rPr>
      <w:t xml:space="preserve"> / </w:t>
    </w:r>
    <w:r>
      <w:rPr>
        <w:sz w:val="18"/>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b/>
        <w:color w:val="1F3A5F"/>
        <w:sz w:val="22"/>
      </w:rPr>
      <w:t>RELAIS</w:t>
    </w:r>
    <w:r>
      <w:rPr>
        <w:sz w:val="18"/>
      </w:rPr>
      <w:t xml:space="preserve">   ·   Politique de confidentialité du service Relais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8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3A5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