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de poste — Gestionnaire de dossiers administratifs à distance</w:t>
      </w:r>
    </w:p>
    <w:tbl>
      <w:tblPr>
        <w:tblW w:type="auto" w:w="0"/>
        <w:jc w:val="center"/>
        <w:tblLook w:firstColumn="1" w:firstRow="1" w:lastColumn="0" w:lastRow="0" w:noHBand="0" w:noVBand="1" w:val="04A0"/>
      </w:tblPr>
      <w:tblGrid>
        <w:gridCol w:w="9412"/>
      </w:tblGrid>
      <w:tr>
        <w:tc>
          <w:tcPr>
            <w:tcW w:type="dxa" w:w="9412"/>
            <w:shd w:val="clear" w:color="auto" w:fill="FFF4D6"/>
            <w:tcBorders>
              <w:top w:val="single" w:sz="16" w:space="0" w:color="C77700"/>
              <w:left w:val="single" w:sz="16" w:space="0" w:color="C77700"/>
              <w:bottom w:val="single" w:sz="16" w:space="0" w:color="C77700"/>
              <w:right w:val="single" w:sz="16" w:space="0" w:color="C77700"/>
            </w:tcBorders>
          </w:tcPr>
          <w:p>
            <w:pPr>
              <w:spacing w:before="120" w:after="120"/>
              <w:jc w:val="center"/>
            </w:pPr>
            <w:r>
              <w:rPr>
                <w:b/>
                <w:color w:val="8A4B00"/>
                <w:sz w:val="24"/>
              </w:rPr>
              <w:t>Document à faire valider par un avocat avant utilisation.</w:t>
            </w:r>
          </w:p>
        </w:tc>
      </w:tr>
    </w:tbl>
    <w:p/>
    <w:p>
      <w:pPr>
        <w:jc w:val="both"/>
      </w:pPr>
      <w:r>
        <w:rPr>
          <w:b w:val="0"/>
        </w:rPr>
        <w:t>Service Relais — {{MANDATAIRE_RAISON_SOCIALE}} — version du {{DATE_FICHE_POSTE}}</w:t>
      </w:r>
    </w:p>
    <w:p>
      <w:pPr>
        <w:pStyle w:val="Heading2"/>
      </w:pPr>
      <w:r>
        <w:t>1. Le service et le poste</w:t>
      </w:r>
    </w:p>
    <w:p>
      <w:pPr>
        <w:jc w:val="both"/>
      </w:pPr>
      <w:r>
        <w:rPr>
          <w:b w:val="0"/>
        </w:rPr>
        <w:t>Relais prend en charge, sous mandat écrit, l'administratif quotidien de personnes âgées vivant en France, pour le compte de leurs enfants installés à l'étranger : réception et traitement du courrier, gestion des comptes en ligne (Assurance Maladie, retraite, impôts, mutuelle, énergie, télécom, banque en consultation), demandes d'aides, résiliations, réclamations, prise de rendez-vous. Chaque courrier est traité sous 48 heures ouvrées ; l'enfant reçoit un rapport mensuel.</w:t>
      </w:r>
    </w:p>
    <w:p>
      <w:pPr>
        <w:jc w:val="both"/>
      </w:pPr>
      <w:r>
        <w:rPr>
          <w:b w:val="0"/>
        </w:rPr>
        <w:t>Le ou la gestionnaire de dossiers administratifs à distance (« opérateur » dans nos procédures) est l'interlocuteur unique d'un portefeuille de parents et de leurs enfants. Il ou elle fait avancer les dossiers, rend compte, et alerte. Le poste s'exerce entièrement à distance, depuis la France ou l'étranger, aux horaires ouvrés français.</w:t>
      </w:r>
    </w:p>
    <w:p>
      <w:pPr>
        <w:pStyle w:val="Heading2"/>
      </w:pPr>
      <w:r>
        <w:t>2. Missions</w:t>
      </w:r>
    </w:p>
    <w:p>
      <w:pPr>
        <w:pStyle w:val="ListBullet"/>
        <w:jc w:val="both"/>
      </w:pPr>
      <w:r>
        <w:rPr>
          <w:b w:val="0"/>
        </w:rPr>
        <w:t>Traiter chaque jour la file du courrier (vue « Courrier non traité ») : lire, classer, créer ou mettre à jour la démarche correspondante, engager l'action, dans un délai de 48 heures ouvrées après réception.</w:t>
      </w:r>
    </w:p>
    <w:p>
      <w:pPr>
        <w:pStyle w:val="ListBullet"/>
        <w:jc w:val="both"/>
      </w:pPr>
      <w:r>
        <w:rPr>
          <w:b w:val="0"/>
        </w:rPr>
        <w:t>Conduire les démarches de bout en bout selon les fiches de procédure (FranceConnect, Ameli, retraite, impôts, APA, aides au logement, ANTS, mutuelle, énergie et télécom, banque en consultation, copropriété, décès) : constituer les dossiers, déposer, relancer, vérifier le résultat, enregistrer la preuve.</w:t>
      </w:r>
    </w:p>
    <w:p>
      <w:pPr>
        <w:pStyle w:val="ListBullet"/>
        <w:jc w:val="both"/>
      </w:pPr>
      <w:r>
        <w:rPr>
          <w:b w:val="0"/>
        </w:rPr>
        <w:t>Tenir la base de gestion à jour le jour même : statut, échéance, prochaine étape, montant en jeu et obtenu, pièces jointes ; aucun identifiant hors du coffre-fort chiffré.</w:t>
      </w:r>
    </w:p>
    <w:p>
      <w:pPr>
        <w:pStyle w:val="ListBullet"/>
        <w:jc w:val="both"/>
      </w:pPr>
      <w:r>
        <w:rPr>
          <w:b w:val="0"/>
        </w:rPr>
        <w:t>Assurer la ligne téléphonique dédiée aux parents aux horaires convenus : répondre avec patience et clarté, expliquer ce qui est fait, ne jamais infantiliser, noter chaque échange.</w:t>
      </w:r>
    </w:p>
    <w:p>
      <w:pPr>
        <w:pStyle w:val="ListBullet"/>
        <w:jc w:val="both"/>
      </w:pPr>
      <w:r>
        <w:rPr>
          <w:b w:val="0"/>
        </w:rPr>
        <w:t>Organiser les appels à trois (opérateur, parent, organisme) lorsqu'un organisme exige la présence du titulaire, et préparer le parent avant l'appel.</w:t>
      </w:r>
    </w:p>
    <w:p>
      <w:pPr>
        <w:pStyle w:val="ListBullet"/>
        <w:jc w:val="both"/>
      </w:pPr>
      <w:r>
        <w:rPr>
          <w:b w:val="0"/>
        </w:rPr>
        <w:t>Préparer les éléments de paiement (montant, bénéficiaire, référence, échéance) et les transmettre à l'enfant ou au parent : l'opérateur n'effectue jamais un paiement, un virement, un retrait ni une opération sur un compte.</w:t>
      </w:r>
    </w:p>
    <w:p>
      <w:pPr>
        <w:pStyle w:val="ListBullet"/>
        <w:jc w:val="both"/>
      </w:pPr>
      <w:r>
        <w:rPr>
          <w:b w:val="0"/>
        </w:rPr>
        <w:t>Alerter immédiatement le responsable du service et l'enfant en cas d'urgence : mise en demeure, suspension de droits, convocation, hospitalisation, signe de fragilité ou de sollicitation abusive du parent.</w:t>
      </w:r>
    </w:p>
    <w:p>
      <w:pPr>
        <w:pStyle w:val="ListBullet"/>
        <w:jc w:val="both"/>
      </w:pPr>
      <w:r>
        <w:rPr>
          <w:b w:val="0"/>
        </w:rPr>
        <w:t>Contribuer au rapport mensuel : résultats rédigés en français clair, montants obtenus, décisions à soumettre à l'enfant, points d'attention.</w:t>
      </w:r>
    </w:p>
    <w:p>
      <w:pPr>
        <w:pStyle w:val="ListBullet"/>
        <w:jc w:val="both"/>
      </w:pPr>
      <w:r>
        <w:rPr>
          <w:b w:val="0"/>
        </w:rPr>
        <w:t>Enrichir les fiches de procédure à partir des cas rencontrés (exigence particulière d'un organisme, délai constaté, modèle de courrier qui a fonctionné).</w:t>
      </w:r>
    </w:p>
    <w:p>
      <w:pPr>
        <w:pStyle w:val="ListBullet"/>
        <w:jc w:val="both"/>
      </w:pPr>
      <w:r>
        <w:rPr>
          <w:b w:val="0"/>
        </w:rPr>
        <w:t>Orienter vers un professionnel (avocat, notaire, travailleur social, conseiller) toute question qui dépasse le mandat : aucun conseil juridique, fiscal ou patrimonial n'est donné.</w:t>
      </w:r>
    </w:p>
    <w:p>
      <w:pPr>
        <w:pStyle w:val="Heading2"/>
      </w:pPr>
      <w:r>
        <w:t>3. Profil recherché</w:t>
      </w:r>
    </w:p>
    <w:p>
      <w:pPr>
        <w:pStyle w:val="ListBullet"/>
        <w:jc w:val="both"/>
      </w:pPr>
      <w:r>
        <w:rPr>
          <w:b w:val="0"/>
        </w:rPr>
        <w:t>Expérience d'au moins trois ans en gestion de dossiers dans un organisme social, une caisse ou un établissement financier : CAF, CPAM, caisse de retraite, mutuelle, banque, assurance, service social d'un hôpital ou d'une collectivité. Une expérience en accueil du public âgé est un atout.</w:t>
      </w:r>
    </w:p>
    <w:p>
      <w:pPr>
        <w:pStyle w:val="ListBullet"/>
        <w:jc w:val="both"/>
      </w:pPr>
      <w:r>
        <w:rPr>
          <w:b w:val="0"/>
        </w:rPr>
        <w:t>Connaissance concrète des organismes français, de leurs espaces en ligne, de leurs délais et de leurs pièces habituelles.</w:t>
      </w:r>
    </w:p>
    <w:p>
      <w:pPr>
        <w:pStyle w:val="ListBullet"/>
        <w:jc w:val="both"/>
      </w:pPr>
      <w:r>
        <w:rPr>
          <w:b w:val="0"/>
        </w:rPr>
        <w:t>Français écrit irréprochable : courriers administratifs sans faute, ton sobre et précis.</w:t>
      </w:r>
    </w:p>
    <w:p>
      <w:pPr>
        <w:pStyle w:val="ListBullet"/>
        <w:jc w:val="both"/>
      </w:pPr>
      <w:r>
        <w:rPr>
          <w:b w:val="0"/>
        </w:rPr>
        <w:t>Rigueur : aucune démarche sans preuve, aucune échéance sans rappel, aucune information hors de la base.</w:t>
      </w:r>
    </w:p>
    <w:p>
      <w:pPr>
        <w:pStyle w:val="ListBullet"/>
        <w:jc w:val="both"/>
      </w:pPr>
      <w:r>
        <w:rPr>
          <w:b w:val="0"/>
        </w:rPr>
        <w:t>Empathie et patience avec les personnes âgées ; capacité à expliquer simplement sans décider à leur place.</w:t>
      </w:r>
    </w:p>
    <w:p>
      <w:pPr>
        <w:pStyle w:val="ListBullet"/>
        <w:jc w:val="both"/>
      </w:pPr>
      <w:r>
        <w:rPr>
          <w:b w:val="0"/>
        </w:rPr>
        <w:t>Aisance avec les outils en ligne : espaces des organismes, FranceConnect, base Airtable, gestionnaire de mots de passe, visioconférence, numérisation.</w:t>
      </w:r>
    </w:p>
    <w:p>
      <w:pPr>
        <w:pStyle w:val="ListBullet"/>
        <w:jc w:val="both"/>
      </w:pPr>
      <w:r>
        <w:rPr>
          <w:b w:val="0"/>
        </w:rPr>
        <w:t>Discrétion absolue : données de santé, situation financière et familiale des personnes ; engagement de confidentialité signé à l'embauche.</w:t>
      </w:r>
    </w:p>
    <w:p>
      <w:pPr>
        <w:pStyle w:val="ListBullet"/>
        <w:jc w:val="both"/>
      </w:pPr>
      <w:r>
        <w:rPr>
          <w:b w:val="0"/>
        </w:rPr>
        <w:t>Autonomie dans l'organisation d'une journée à distance, et goût pour le compte rendu.</w:t>
      </w:r>
    </w:p>
    <w:p>
      <w:pPr>
        <w:pStyle w:val="ListBullet"/>
        <w:jc w:val="both"/>
      </w:pPr>
      <w:r>
        <w:rPr>
          <w:b w:val="0"/>
        </w:rPr>
        <w:t>Casier judiciaire vierge (bulletin n° 3 demandé) et absence de conflit d'intérêts avec les organismes ou les familles suivies.</w:t>
      </w:r>
    </w:p>
    <w:p>
      <w:pPr>
        <w:pStyle w:val="Heading2"/>
      </w:pPr>
      <w:r>
        <w:t>4. Compétences évaluées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5"/>
          </w:tcPr>
          <w:p>
            <w:pPr>
              <w:spacing w:after="40"/>
            </w:pPr>
            <w:r>
              <w:rPr>
                <w:sz w:val="19"/>
              </w:rPr>
            </w:r>
            <w:r>
              <w:rPr>
                <w:b/>
                <w:sz w:val="19"/>
              </w:rPr>
              <w:t>Compétence</w:t>
            </w:r>
          </w:p>
        </w:tc>
        <w:tc>
          <w:tcPr>
            <w:tcW w:type="dxa" w:w="4706"/>
            <w:shd w:val="clear" w:color="auto" w:fill="E8EEF5"/>
          </w:tcPr>
          <w:p>
            <w:pPr>
              <w:spacing w:after="40"/>
            </w:pPr>
            <w:r>
              <w:rPr>
                <w:sz w:val="19"/>
              </w:rPr>
            </w:r>
            <w:r>
              <w:rPr>
                <w:b/>
                <w:sz w:val="19"/>
              </w:rPr>
              <w:t>Ce que nous vérifions</w:t>
            </w:r>
          </w:p>
        </w:tc>
      </w:tr>
      <w:tr>
        <w:tc>
          <w:tcPr>
            <w:tcW w:type="dxa" w:w="4706"/>
          </w:tcPr>
          <w:p>
            <w:pPr>
              <w:spacing w:after="40"/>
            </w:pPr>
            <w:r>
              <w:rPr>
                <w:sz w:val="19"/>
              </w:rPr>
            </w:r>
            <w:r>
              <w:rPr>
                <w:b w:val="0"/>
                <w:sz w:val="19"/>
              </w:rPr>
              <w:t>Lecture d'un courrier administratif</w:t>
            </w:r>
          </w:p>
        </w:tc>
        <w:tc>
          <w:tcPr>
            <w:tcW w:type="dxa" w:w="4706"/>
          </w:tcPr>
          <w:p>
            <w:pPr>
              <w:spacing w:after="40"/>
            </w:pPr>
            <w:r>
              <w:rPr>
                <w:sz w:val="19"/>
              </w:rPr>
            </w:r>
            <w:r>
              <w:rPr>
                <w:b w:val="0"/>
                <w:sz w:val="19"/>
              </w:rPr>
              <w:t>Identifier l'organisme, le type, la date limite, le montant, la référence, le niveau d'urgence, en moins de cinq minutes</w:t>
            </w:r>
          </w:p>
        </w:tc>
      </w:tr>
      <w:tr>
        <w:tc>
          <w:tcPr>
            <w:tcW w:type="dxa" w:w="4706"/>
          </w:tcPr>
          <w:p>
            <w:pPr>
              <w:spacing w:after="40"/>
            </w:pPr>
            <w:r>
              <w:rPr>
                <w:sz w:val="19"/>
              </w:rPr>
            </w:r>
            <w:r>
              <w:rPr>
                <w:b w:val="0"/>
                <w:sz w:val="19"/>
              </w:rPr>
              <w:t>Conduite d'une démarche</w:t>
            </w:r>
          </w:p>
        </w:tc>
        <w:tc>
          <w:tcPr>
            <w:tcW w:type="dxa" w:w="4706"/>
          </w:tcPr>
          <w:p>
            <w:pPr>
              <w:spacing w:after="40"/>
            </w:pPr>
            <w:r>
              <w:rPr>
                <w:sz w:val="19"/>
              </w:rPr>
            </w:r>
            <w:r>
              <w:rPr>
                <w:b w:val="0"/>
                <w:sz w:val="19"/>
              </w:rPr>
              <w:t>Choisir la bonne procédure, lister les pièces, respecter les délais légaux, savoir relancer et escalader (médiateur, recours)</w:t>
            </w:r>
          </w:p>
        </w:tc>
      </w:tr>
      <w:tr>
        <w:tc>
          <w:tcPr>
            <w:tcW w:type="dxa" w:w="4706"/>
          </w:tcPr>
          <w:p>
            <w:pPr>
              <w:spacing w:after="40"/>
            </w:pPr>
            <w:r>
              <w:rPr>
                <w:sz w:val="19"/>
              </w:rPr>
            </w:r>
            <w:r>
              <w:rPr>
                <w:b w:val="0"/>
                <w:sz w:val="19"/>
              </w:rPr>
              <w:t>Rédaction</w:t>
            </w:r>
          </w:p>
        </w:tc>
        <w:tc>
          <w:tcPr>
            <w:tcW w:type="dxa" w:w="4706"/>
          </w:tcPr>
          <w:p>
            <w:pPr>
              <w:spacing w:after="40"/>
            </w:pPr>
            <w:r>
              <w:rPr>
                <w:sz w:val="19"/>
              </w:rPr>
            </w:r>
            <w:r>
              <w:rPr>
                <w:b w:val="0"/>
                <w:sz w:val="19"/>
              </w:rPr>
              <w:t>Courrier de réclamation ou de résiliation prêt à envoyer, sans faute, avec les références et le rappel du mandat</w:t>
            </w:r>
          </w:p>
        </w:tc>
      </w:tr>
      <w:tr>
        <w:tc>
          <w:tcPr>
            <w:tcW w:type="dxa" w:w="4706"/>
          </w:tcPr>
          <w:p>
            <w:pPr>
              <w:spacing w:after="40"/>
            </w:pPr>
            <w:r>
              <w:rPr>
                <w:sz w:val="19"/>
              </w:rPr>
            </w:r>
            <w:r>
              <w:rPr>
                <w:b w:val="0"/>
                <w:sz w:val="19"/>
              </w:rPr>
              <w:t>Relation avec le parent</w:t>
            </w:r>
          </w:p>
        </w:tc>
        <w:tc>
          <w:tcPr>
            <w:tcW w:type="dxa" w:w="4706"/>
          </w:tcPr>
          <w:p>
            <w:pPr>
              <w:spacing w:after="40"/>
            </w:pPr>
            <w:r>
              <w:rPr>
                <w:sz w:val="19"/>
              </w:rPr>
            </w:r>
            <w:r>
              <w:rPr>
                <w:b w:val="0"/>
                <w:sz w:val="19"/>
              </w:rPr>
              <w:t>Reformuler, rassurer, vérifier la compréhension, ne pas contourner l'accord du parent</w:t>
            </w:r>
          </w:p>
        </w:tc>
      </w:tr>
      <w:tr>
        <w:tc>
          <w:tcPr>
            <w:tcW w:type="dxa" w:w="4706"/>
          </w:tcPr>
          <w:p>
            <w:pPr>
              <w:spacing w:after="40"/>
            </w:pPr>
            <w:r>
              <w:rPr>
                <w:sz w:val="19"/>
              </w:rPr>
            </w:r>
            <w:r>
              <w:rPr>
                <w:b w:val="0"/>
                <w:sz w:val="19"/>
              </w:rPr>
              <w:t>Traçabilité</w:t>
            </w:r>
          </w:p>
        </w:tc>
        <w:tc>
          <w:tcPr>
            <w:tcW w:type="dxa" w:w="4706"/>
          </w:tcPr>
          <w:p>
            <w:pPr>
              <w:spacing w:after="40"/>
            </w:pPr>
            <w:r>
              <w:rPr>
                <w:sz w:val="19"/>
              </w:rPr>
            </w:r>
            <w:r>
              <w:rPr>
                <w:b w:val="0"/>
                <w:sz w:val="19"/>
              </w:rPr>
              <w:t>Saisie complète et immédiate dans la base, preuve jointe, identifiants dans le coffre uniquement</w:t>
            </w:r>
          </w:p>
        </w:tc>
      </w:tr>
      <w:tr>
        <w:tc>
          <w:tcPr>
            <w:tcW w:type="dxa" w:w="4706"/>
          </w:tcPr>
          <w:p>
            <w:pPr>
              <w:spacing w:after="40"/>
            </w:pPr>
            <w:r>
              <w:rPr>
                <w:sz w:val="19"/>
              </w:rPr>
            </w:r>
            <w:r>
              <w:rPr>
                <w:b w:val="0"/>
                <w:sz w:val="19"/>
              </w:rPr>
              <w:t>Périmètre</w:t>
            </w:r>
          </w:p>
        </w:tc>
        <w:tc>
          <w:tcPr>
            <w:tcW w:type="dxa" w:w="4706"/>
          </w:tcPr>
          <w:p>
            <w:pPr>
              <w:spacing w:after="40"/>
            </w:pPr>
            <w:r>
              <w:rPr>
                <w:sz w:val="19"/>
              </w:rPr>
            </w:r>
            <w:r>
              <w:rPr>
                <w:b w:val="0"/>
                <w:sz w:val="19"/>
              </w:rPr>
              <w:t>Reconnaître ce qui sort du mandat (opération financière, conseil juridique, présence physique) et le dire</w:t>
            </w:r>
          </w:p>
        </w:tc>
      </w:tr>
    </w:tbl>
    <w:p/>
    <w:p>
      <w:pPr>
        <w:pStyle w:val="Heading2"/>
      </w:pPr>
      <w:r>
        <w:t>5. Conditions</w:t>
      </w:r>
    </w:p>
    <w:p>
      <w:pPr>
        <w:pStyle w:val="ListBullet"/>
        <w:jc w:val="both"/>
      </w:pPr>
      <w:r>
        <w:rPr>
          <w:b/>
        </w:rPr>
        <w:t>Statut</w:t>
      </w:r>
      <w:r>
        <w:rPr>
          <w:b w:val="0"/>
        </w:rPr>
        <w:t xml:space="preserve"> : indépendant (micro-entreprise ou société) sous contrat de prestation, ou salarié à temps partiel selon l'évolution du service ; le statut est précisé dans le contrat.</w:t>
      </w:r>
    </w:p>
    <w:p>
      <w:pPr>
        <w:pStyle w:val="ListBullet"/>
        <w:jc w:val="both"/>
      </w:pPr>
      <w:r>
        <w:rPr>
          <w:b/>
        </w:rPr>
        <w:t>Charge</w:t>
      </w:r>
      <w:r>
        <w:rPr>
          <w:b w:val="0"/>
        </w:rPr>
        <w:t xml:space="preserve"> : un portefeuille cible de 40 dossiers en régime de croisière, soit environ 4 heures de travail par dossier et par mois ; montée en charge progressive sur trois mois.</w:t>
      </w:r>
    </w:p>
    <w:p>
      <w:pPr>
        <w:pStyle w:val="ListBullet"/>
        <w:jc w:val="both"/>
      </w:pPr>
      <w:r>
        <w:rPr>
          <w:b/>
        </w:rPr>
        <w:t>Rémunération</w:t>
      </w:r>
      <w:r>
        <w:rPr>
          <w:b w:val="0"/>
        </w:rPr>
        <w:t xml:space="preserve"> : de 900 à 1 200 € par mois pour 40 dossiers, selon l'expérience et la qualité mesurée (délai de traitement, taux de démarches closes dans le délai, satisfaction des parents et des enfants) ; rémunération proportionnelle pendant la montée en charge.</w:t>
      </w:r>
    </w:p>
    <w:p>
      <w:pPr>
        <w:pStyle w:val="ListBullet"/>
        <w:jc w:val="both"/>
      </w:pPr>
      <w:r>
        <w:rPr>
          <w:b/>
        </w:rPr>
        <w:t>Lieu</w:t>
      </w:r>
      <w:r>
        <w:rPr>
          <w:b w:val="0"/>
        </w:rPr>
        <w:t xml:space="preserve"> : 100 % à distance ; France ou étranger. Poste de travail personnel sécurisé (ordinateur à jour, session verrouillée, réseau de confiance), casque et connexion stable fournis par le prestataire.</w:t>
      </w:r>
    </w:p>
    <w:p>
      <w:pPr>
        <w:pStyle w:val="ListBullet"/>
        <w:jc w:val="both"/>
      </w:pPr>
      <w:r>
        <w:rPr>
          <w:b/>
        </w:rPr>
        <w:t>Horaires</w:t>
      </w:r>
      <w:r>
        <w:rPr>
          <w:b w:val="0"/>
        </w:rPr>
        <w:t xml:space="preserve"> : disponibilité aux heures ouvrées françaises pour la ligne dédiée et les appels aux organismes (créneaux convenus, en général 9 h à 12 h 30 et 14 h à 17 h 30, heure de Paris) ; organisation libre du reste.</w:t>
      </w:r>
    </w:p>
    <w:p>
      <w:pPr>
        <w:pStyle w:val="ListBullet"/>
        <w:jc w:val="both"/>
      </w:pPr>
      <w:r>
        <w:rPr>
          <w:b/>
        </w:rPr>
        <w:t>Outils fournis</w:t>
      </w:r>
      <w:r>
        <w:rPr>
          <w:b w:val="0"/>
        </w:rPr>
        <w:t xml:space="preserve"> : accès nominatif à la base Airtable, au coffre Bitwarden (une collection par client), à la ligne téléphonique et à la messagerie Relais, aux fiches de procédure ; formation initiale de deux jours.</w:t>
      </w:r>
    </w:p>
    <w:p>
      <w:pPr>
        <w:pStyle w:val="ListBullet"/>
        <w:jc w:val="both"/>
      </w:pPr>
      <w:r>
        <w:rPr>
          <w:b/>
        </w:rPr>
        <w:t>Assurance et cadre</w:t>
      </w:r>
      <w:r>
        <w:rPr>
          <w:b w:val="0"/>
        </w:rPr>
        <w:t xml:space="preserve"> : l'activité est couverte par l'assurance de responsabilité civile professionnelle de Relais dans le cadre du contrat ; engagement de confidentialité et charte des accès signés avant tout accès.</w:t>
      </w:r>
    </w:p>
    <w:p>
      <w:pPr>
        <w:pStyle w:val="Heading2"/>
      </w:pPr>
      <w:r>
        <w:t>6. Processus de recrutement</w:t>
      </w:r>
    </w:p>
    <w:p>
      <w:pPr>
        <w:jc w:val="both"/>
      </w:pPr>
      <w:r>
        <w:rPr>
          <w:b w:val="0"/>
        </w:rPr>
        <w:t>1. Candidature : curriculum vitae et un courriel de motivation de dix lignes au plus, adressés à {{EMAIL_RECRUTEMENT}}. 2. Entretien de 30 minutes en visioconférence : parcours, connaissance des organismes, rapport aux personnes âgées, organisation à distance. 3. Test pratique à distance (annexe 1) : traiter trois courriers fictifs en 90 minutes, avec accès aux fiches de procédure ; les réponses sont notées sur la grille de l'annexe 2. 4. Entretien de restitution de 20 minutes : retour sur le test, questions sur le périmètre du mandat, conditions. 5. Vérifications : références professionnelles (deux contacts), bulletin n° 3 du casier judiciaire, pièce d'identité, justificatif de statut. 6. Décision sous une semaine après le test ; formation initiale de deux jours ; signature de l'engagement de confidentialité et de la charte des accès.</w:t>
      </w:r>
    </w:p>
    <w:p>
      <w:pPr>
        <w:pStyle w:val="Heading2"/>
      </w:pPr>
      <w:r>
        <w:t>7. Période de double contrôle</w:t>
      </w:r>
    </w:p>
    <w:p>
      <w:pPr>
        <w:jc w:val="both"/>
      </w:pPr>
      <w:r>
        <w:rPr>
          <w:b w:val="0"/>
        </w:rPr>
        <w:t>Pendant le premier mois, chaque action de l'opérateur est relue avant envoi par le responsable du service (ou par un opérateur confirmé) : courriers, dépôts en ligne, saisies dans la base, réponses aux parents. Un point de 30 minutes a lieu chaque semaine sur les dossiers traités. À l'issue du mois, le responsable confirme l'autonomie sur la base de quatre critères : aucune démarche hors périmètre, délai de 48 heures respecté sur plus de 90 % des courriers, base à jour au contrôle, retours positifs des parents appelés. Le double contrôle est prolongé d'un mois si l'un des critères n'est pas atteint.</w:t>
      </w:r>
    </w:p>
    <w:p>
      <w:pPr>
        <w:pStyle w:val="Heading2"/>
      </w:pPr>
      <w:r>
        <w:t>8. Ce que l'opérateur ne fait jamais</w:t>
      </w:r>
    </w:p>
    <w:p>
      <w:pPr>
        <w:pStyle w:val="ListBullet"/>
        <w:jc w:val="both"/>
      </w:pPr>
      <w:r>
        <w:rPr>
          <w:b w:val="0"/>
        </w:rPr>
        <w:t>Aucune opération financière : pas de virement, de paiement, de retrait, de procuration bancaire, même à la demande du parent ou de l'enfant.</w:t>
      </w:r>
    </w:p>
    <w:p>
      <w:pPr>
        <w:pStyle w:val="ListBullet"/>
        <w:jc w:val="both"/>
      </w:pPr>
      <w:r>
        <w:rPr>
          <w:b w:val="0"/>
        </w:rPr>
        <w:t>Aucun acte de disposition, aucun engagement de crédit, aucune souscription d'assurance-vie ou de placement.</w:t>
      </w:r>
    </w:p>
    <w:p>
      <w:pPr>
        <w:pStyle w:val="ListBullet"/>
        <w:jc w:val="both"/>
      </w:pPr>
      <w:r>
        <w:rPr>
          <w:b w:val="0"/>
        </w:rPr>
        <w:t>Aucun conseil juridique, fiscal, patrimonial ou médical.</w:t>
      </w:r>
    </w:p>
    <w:p>
      <w:pPr>
        <w:pStyle w:val="ListBullet"/>
        <w:jc w:val="both"/>
      </w:pPr>
      <w:r>
        <w:rPr>
          <w:b w:val="0"/>
        </w:rPr>
        <w:t>Aucune présence physique au domicile ; aucun déplacement.</w:t>
      </w:r>
    </w:p>
    <w:p>
      <w:pPr>
        <w:pStyle w:val="ListBullet"/>
        <w:jc w:val="both"/>
      </w:pPr>
      <w:r>
        <w:rPr>
          <w:b w:val="0"/>
        </w:rPr>
        <w:t>Aucune transmission d'identifiant par courriel, messagerie ou téléphone ; aucune connexion en dehors du coffre.</w:t>
      </w:r>
    </w:p>
    <w:p>
      <w:pPr>
        <w:pStyle w:val="ListBullet"/>
        <w:jc w:val="both"/>
      </w:pPr>
      <w:r>
        <w:rPr>
          <w:b w:val="0"/>
        </w:rPr>
        <w:t>Aucune démarche pour un organisme non coché dans le mandat sans avenant signé.</w:t>
      </w:r>
    </w:p>
    <w:p>
      <w:pPr>
        <w:pStyle w:val="ListBullet"/>
        <w:jc w:val="both"/>
      </w:pPr>
      <w:r>
        <w:rPr>
          <w:b w:val="0"/>
        </w:rPr>
        <w:t>Aucune décision à la place du parent : il reste décisionnaire ; l'opérateur explique, prépare, propose.</w:t>
      </w:r>
    </w:p>
    <w:p>
      <w:r>
        <w:br w:type="page"/>
      </w:r>
    </w:p>
    <w:p>
      <w:pPr>
        <w:pStyle w:val="Heading1"/>
      </w:pPr>
      <w:r>
        <w:t>Annexe 1 — Test pratique : trois courriers fictifs à traiter</w:t>
      </w:r>
    </w:p>
    <w:p>
      <w:pPr>
        <w:jc w:val="both"/>
      </w:pPr>
      <w:r>
        <w:rPr>
          <w:b w:val="0"/>
        </w:rPr>
        <w:t>Consignes données au candidat : « Vous êtes l'opérateur en charge du dossier « Durand — Sarcelles » (Monique Durand, 77 ans, Sarcelles ; sa fille Sarah vit à Tel Aviv) et du dossier « Martin — Lyon » (Robert Martin, 81 ans, Lyon ; son fils Julien vit à Montréal). Les mandats couvrent tous les organismes cités. Pour chacun des trois courriers reçus ce jour, rédigez : (a) la fiche de classement : organisme, type, date limite, montant, référence, niveau d'urgence de 1 à 4 et pourquoi ; (b) le plan d'action en étapes numérotées, avec qui fait quoi (vous, le parent, l'enfant) et les délais ; (c) le courrier ou le message à envoyer, prêt à partir ; (d) ce que vous notez dans la base et ce qui figurera dans le rapport mensuel. Vous disposez de 90 minutes et des fiches de procédure. » Les courriers sont extraits du corpus de test du service (outils/courrier/tests/corpus, textes inventés).</w:t>
      </w:r>
    </w:p>
    <w:p>
      <w:pPr>
        <w:pStyle w:val="Heading3"/>
      </w:pPr>
      <w:r>
        <w:t>Courrier 1 — Orange, dossier Martin (reçu le 16 septembre 2026)</w:t>
      </w:r>
    </w:p>
    <w:tbl>
      <w:tblPr>
        <w:tblW w:type="auto" w:w="0"/>
        <w:jc w:val="center"/>
        <w:tblLook w:firstColumn="1" w:firstRow="1" w:lastColumn="0" w:lastRow="0" w:noHBand="0" w:noVBand="1" w:val="04A0"/>
      </w:tblPr>
      <w:tblGrid>
        <w:gridCol w:w="9412"/>
      </w:tblGrid>
      <w:tr>
        <w:tc>
          <w:tcPr>
            <w:tcW w:type="dxa" w:w="9412"/>
            <w:shd w:val="clear" w:color="auto" w:fill="F3F6FA"/>
            <w:tcBorders>
              <w:top w:val="single" w:sz="8" w:space="0" w:color="1F3A5F"/>
              <w:left w:val="single" w:sz="8" w:space="0" w:color="1F3A5F"/>
              <w:bottom w:val="single" w:sz="8" w:space="0" w:color="1F3A5F"/>
              <w:right w:val="single" w:sz="8" w:space="0" w:color="1F3A5F"/>
            </w:tcBorders>
          </w:tcPr>
          <w:p>
            <w:pPr>
              <w:spacing w:before="120" w:after="120"/>
              <w:jc w:val="left"/>
            </w:pPr>
            <w:r>
              <w:rPr>
                <w:b w:val="0"/>
              </w:rPr>
              <w:t>Orange SA — Service Recouvrement — 78 rue Olivier de Serres — 75015 Paris — orange.fr — 3900. Paris, le 14 septembre 2026. Monsieur Robert MARTIN, 3 place Bellecour, 69002 LYON. Référence client : 0470001234. N° de contrat : LB-77-23456 (Livebox et ligne fixe). Objet : MISE EN DEMEURE — factures impayées. Monsieur, sauf erreur de notre part, nous n'avons pas enregistré le règlement de vos factures des mois de juin, juillet et août 2026, pour un montant total de 134,97 €. Nous vous mettons en demeure de régulariser cette somme sous 10 jours à compter de la réception de la présente. À défaut, votre ligne sera suspendue et votre dossier transmis à notre service de recouvrement contentieux, avec application de pénalités de retard. Veuillez agréer, Monsieur, nos salutations distinguées.</w:t>
            </w:r>
          </w:p>
        </w:tc>
      </w:tr>
    </w:tbl>
    <w:p/>
    <w:p>
      <w:pPr>
        <w:jc w:val="both"/>
      </w:pPr>
      <w:r>
        <w:rPr>
          <w:b w:val="0"/>
        </w:rPr>
        <w:t>Élément de contexte : Robert Martin a été hospitalisé du 12 au 25 août 2026 ; ses prélèvements ont été rejetés pendant cette période. La box internet n'a jamais été branchée.</w:t>
      </w:r>
    </w:p>
    <w:p>
      <w:pPr>
        <w:pStyle w:val="Heading3"/>
      </w:pPr>
      <w:r>
        <w:t>Courrier 2 — CPAM du Val-d'Oise, dossier Durand (reçu le 16 septembre 2026)</w:t>
      </w:r>
    </w:p>
    <w:tbl>
      <w:tblPr>
        <w:tblW w:type="auto" w:w="0"/>
        <w:jc w:val="center"/>
        <w:tblLook w:firstColumn="1" w:firstRow="1" w:lastColumn="0" w:lastRow="0" w:noHBand="0" w:noVBand="1" w:val="04A0"/>
      </w:tblPr>
      <w:tblGrid>
        <w:gridCol w:w="9412"/>
      </w:tblGrid>
      <w:tr>
        <w:tc>
          <w:tcPr>
            <w:tcW w:type="dxa" w:w="9412"/>
            <w:shd w:val="clear" w:color="auto" w:fill="F3F6FA"/>
            <w:tcBorders>
              <w:top w:val="single" w:sz="8" w:space="0" w:color="1F3A5F"/>
              <w:left w:val="single" w:sz="8" w:space="0" w:color="1F3A5F"/>
              <w:bottom w:val="single" w:sz="8" w:space="0" w:color="1F3A5F"/>
              <w:right w:val="single" w:sz="8" w:space="0" w:color="1F3A5F"/>
            </w:tcBorders>
          </w:tcPr>
          <w:p>
            <w:pPr>
              <w:spacing w:before="120" w:after="120"/>
              <w:jc w:val="left"/>
            </w:pPr>
            <w:r>
              <w:rPr>
                <w:b w:val="0"/>
              </w:rPr>
              <w:t>Assurance Maladie — Caisse primaire d'assurance maladie du Val-d'Oise — 2 rue des Chauffours — 95017 Cergy-Pontoise Cedex — 3646. Cergy, le 3 septembre 2026. Madame Monique DURAND, 14 rue des Lilas, 95200 SARCELLES. N° de sécurité sociale : 2 49 03 75 116 234 56. Votre référence : 95-DUR-001. Objet : demande de pièces justificatives. Madame, pour procéder au remboursement de vos soins du 12 août 2026, nous vous remercions de nous retourner les documents suivants : un relevé d'identité bancaire à votre nom et les feuilles de soins originales. Sans réponse de votre part avant le 15 octobre 2026, votre dossier sera classé sans suite. Nous vous prions d'agréer, Madame, nos salutations distinguées.</w:t>
            </w:r>
          </w:p>
        </w:tc>
      </w:tr>
    </w:tbl>
    <w:p/>
    <w:p>
      <w:pPr>
        <w:jc w:val="both"/>
      </w:pPr>
      <w:r>
        <w:rPr>
          <w:b w:val="0"/>
        </w:rPr>
        <w:t>Élément de contexte : Monique Durand a changé de banque en juin 2026 ; les feuilles de soins sont chez elle, dans une pochette sur la table de la cuisine.</w:t>
      </w:r>
    </w:p>
    <w:p>
      <w:pPr>
        <w:pStyle w:val="Heading3"/>
      </w:pPr>
      <w:r>
        <w:t>Courrier 3 — Foncia, dossier Martin (reçu le 16 septembre 2026)</w:t>
      </w:r>
    </w:p>
    <w:tbl>
      <w:tblPr>
        <w:tblW w:type="auto" w:w="0"/>
        <w:jc w:val="center"/>
        <w:tblLook w:firstColumn="1" w:firstRow="1" w:lastColumn="0" w:lastRow="0" w:noHBand="0" w:noVBand="1" w:val="04A0"/>
      </w:tblPr>
      <w:tblGrid>
        <w:gridCol w:w="9412"/>
      </w:tblGrid>
      <w:tr>
        <w:tc>
          <w:tcPr>
            <w:tcW w:type="dxa" w:w="9412"/>
            <w:shd w:val="clear" w:color="auto" w:fill="F3F6FA"/>
            <w:tcBorders>
              <w:top w:val="single" w:sz="8" w:space="0" w:color="1F3A5F"/>
              <w:left w:val="single" w:sz="8" w:space="0" w:color="1F3A5F"/>
              <w:bottom w:val="single" w:sz="8" w:space="0" w:color="1F3A5F"/>
              <w:right w:val="single" w:sz="8" w:space="0" w:color="1F3A5F"/>
            </w:tcBorders>
          </w:tcPr>
          <w:p>
            <w:pPr>
              <w:spacing w:before="120" w:after="120"/>
              <w:jc w:val="left"/>
            </w:pPr>
            <w:r>
              <w:rPr>
                <w:b w:val="0"/>
              </w:rPr>
              <w:t>FONCIA Lyon Bellecour — Syndic de copropriété — 12 rue de la République — 69002 Lyon — myfoncia.fr. Lyon, le 12 septembre 2026. Monsieur Robert MARTIN — Lot n° 12 (245 tantièmes) — Résidence Bellecour. CONVOCATION À L'ASSEMBLÉE GÉNÉRALE ORDINAIRE. Vous êtes convoqué à l'assemblée générale des copropriétaires qui se tiendra le 6 octobre 2026 à 18 h 30, salle de réunion du syndic. Ordre du jour : 1. Approbation des comptes de l'exercice 2025. 2. Vote du budget prévisionnel 2027. 3. Travaux de remplacement de l'ascenseur — devis retenu 340 000 € TTC, quote-part du lot 12 : 3 400,00 €. 4. Élection du conseil syndical. Le formulaire de vote par correspondance doit être reçu au plus tard le 03/10/2026. Un pouvoir peut être donné à tout copropriétaire.</w:t>
            </w:r>
          </w:p>
        </w:tc>
      </w:tr>
    </w:tbl>
    <w:p/>
    <w:p>
      <w:pPr>
        <w:jc w:val="both"/>
      </w:pPr>
      <w:r>
        <w:rPr>
          <w:b w:val="0"/>
        </w:rPr>
        <w:t>Élément de contexte : Robert Martin se déplace difficilement depuis son opération ; Julien Martin n'a pas encore donné sa position sur les travaux.</w:t>
      </w:r>
    </w:p>
    <w:p>
      <w:r>
        <w:br w:type="page"/>
      </w:r>
    </w:p>
    <w:p>
      <w:pPr>
        <w:pStyle w:val="Heading1"/>
      </w:pPr>
      <w:r>
        <w:t>Annexe 2 — Grille de notation du test pratique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5"/>
          </w:tcPr>
          <w:p>
            <w:pPr>
              <w:spacing w:after="40"/>
            </w:pPr>
            <w:r>
              <w:rPr>
                <w:sz w:val="19"/>
              </w:rPr>
            </w:r>
            <w:r>
              <w:rPr>
                <w:b/>
                <w:sz w:val="19"/>
              </w:rPr>
              <w:t>Critère</w:t>
            </w:r>
          </w:p>
        </w:tc>
        <w:tc>
          <w:tcPr>
            <w:tcW w:type="dxa" w:w="3137"/>
            <w:shd w:val="clear" w:color="auto" w:fill="E8EEF5"/>
          </w:tcPr>
          <w:p>
            <w:pPr>
              <w:spacing w:after="40"/>
            </w:pPr>
            <w:r>
              <w:rPr>
                <w:sz w:val="19"/>
              </w:rPr>
            </w:r>
            <w:r>
              <w:rPr>
                <w:b/>
                <w:sz w:val="19"/>
              </w:rPr>
              <w:t>Points</w:t>
            </w:r>
          </w:p>
        </w:tc>
        <w:tc>
          <w:tcPr>
            <w:tcW w:type="dxa" w:w="3137"/>
            <w:shd w:val="clear" w:color="auto" w:fill="E8EEF5"/>
          </w:tcPr>
          <w:p>
            <w:pPr>
              <w:spacing w:after="40"/>
            </w:pPr>
            <w:r>
              <w:rPr>
                <w:sz w:val="19"/>
              </w:rPr>
            </w:r>
            <w:r>
              <w:rPr>
                <w:b/>
                <w:sz w:val="19"/>
              </w:rPr>
              <w:t>Réponse attendue</w:t>
            </w:r>
          </w:p>
        </w:tc>
      </w:tr>
      <w:tr>
        <w:tc>
          <w:tcPr>
            <w:tcW w:type="dxa" w:w="3137"/>
          </w:tcPr>
          <w:p>
            <w:pPr>
              <w:spacing w:after="40"/>
            </w:pPr>
            <w:r>
              <w:rPr>
                <w:sz w:val="19"/>
              </w:rPr>
            </w:r>
            <w:r>
              <w:rPr>
                <w:b w:val="0"/>
                <w:sz w:val="19"/>
              </w:rPr>
              <w:t>Classement du courrier 1</w:t>
            </w:r>
          </w:p>
        </w:tc>
        <w:tc>
          <w:tcPr>
            <w:tcW w:type="dxa" w:w="3137"/>
          </w:tcPr>
          <w:p>
            <w:pPr>
              <w:spacing w:after="40"/>
            </w:pPr>
            <w:r>
              <w:rPr>
                <w:sz w:val="19"/>
              </w:rPr>
            </w:r>
            <w:r>
              <w:rPr>
                <w:b w:val="0"/>
                <w:sz w:val="19"/>
              </w:rPr>
              <w:t>10</w:t>
            </w:r>
          </w:p>
        </w:tc>
        <w:tc>
          <w:tcPr>
            <w:tcW w:type="dxa" w:w="3137"/>
          </w:tcPr>
          <w:p>
            <w:pPr>
              <w:spacing w:after="40"/>
            </w:pPr>
            <w:r>
              <w:rPr>
                <w:sz w:val="19"/>
              </w:rPr>
            </w:r>
            <w:r>
              <w:rPr>
                <w:b w:val="0"/>
                <w:sz w:val="19"/>
              </w:rPr>
              <w:t>Orange, mise en demeure, délai de 10 jours à compter de la réception (échéance le 26 septembre 2026), 134,97 €, référence client et n° de contrat relevés, urgence 4 (mise en demeure, menace de suspension)</w:t>
            </w:r>
          </w:p>
        </w:tc>
      </w:tr>
      <w:tr>
        <w:tc>
          <w:tcPr>
            <w:tcW w:type="dxa" w:w="3137"/>
          </w:tcPr>
          <w:p>
            <w:pPr>
              <w:spacing w:after="40"/>
            </w:pPr>
            <w:r>
              <w:rPr>
                <w:sz w:val="19"/>
              </w:rPr>
            </w:r>
            <w:r>
              <w:rPr>
                <w:b w:val="0"/>
                <w:sz w:val="19"/>
              </w:rPr>
              <w:t>Plan d'action du courrier 1</w:t>
            </w:r>
          </w:p>
        </w:tc>
        <w:tc>
          <w:tcPr>
            <w:tcW w:type="dxa" w:w="3137"/>
          </w:tcPr>
          <w:p>
            <w:pPr>
              <w:spacing w:after="40"/>
            </w:pPr>
            <w:r>
              <w:rPr>
                <w:sz w:val="19"/>
              </w:rPr>
            </w:r>
            <w:r>
              <w:rPr>
                <w:b w:val="0"/>
                <w:sz w:val="19"/>
              </w:rPr>
              <w:t>15</w:t>
            </w:r>
          </w:p>
        </w:tc>
        <w:tc>
          <w:tcPr>
            <w:tcW w:type="dxa" w:w="3137"/>
          </w:tcPr>
          <w:p>
            <w:pPr>
              <w:spacing w:after="40"/>
            </w:pPr>
            <w:r>
              <w:rPr>
                <w:sz w:val="19"/>
              </w:rPr>
            </w:r>
            <w:r>
              <w:rPr>
                <w:b w:val="0"/>
                <w:sz w:val="19"/>
              </w:rPr>
              <w:t>Préparer le paiement pour Julien ou Robert (l'opérateur ne paie pas), demander par écrit à Orange la suspension du recouvrement et l'annulation des pénalités au motif de l'hospitalisation (justificatif), vérifier le RIB et le prélèvement, proposer à Julien la résiliation de la box inutilisée (RIO, appel à trois), noter l'échéance et alerter Julien immédiatement</w:t>
            </w:r>
          </w:p>
        </w:tc>
      </w:tr>
      <w:tr>
        <w:tc>
          <w:tcPr>
            <w:tcW w:type="dxa" w:w="3137"/>
          </w:tcPr>
          <w:p>
            <w:pPr>
              <w:spacing w:after="40"/>
            </w:pPr>
            <w:r>
              <w:rPr>
                <w:sz w:val="19"/>
              </w:rPr>
            </w:r>
            <w:r>
              <w:rPr>
                <w:b w:val="0"/>
                <w:sz w:val="19"/>
              </w:rPr>
              <w:t>Classement du courrier 2</w:t>
            </w:r>
          </w:p>
        </w:tc>
        <w:tc>
          <w:tcPr>
            <w:tcW w:type="dxa" w:w="3137"/>
          </w:tcPr>
          <w:p>
            <w:pPr>
              <w:spacing w:after="40"/>
            </w:pPr>
            <w:r>
              <w:rPr>
                <w:sz w:val="19"/>
              </w:rPr>
            </w:r>
            <w:r>
              <w:rPr>
                <w:b w:val="0"/>
                <w:sz w:val="19"/>
              </w:rPr>
              <w:t>10</w:t>
            </w:r>
          </w:p>
        </w:tc>
        <w:tc>
          <w:tcPr>
            <w:tcW w:type="dxa" w:w="3137"/>
          </w:tcPr>
          <w:p>
            <w:pPr>
              <w:spacing w:after="40"/>
            </w:pPr>
            <w:r>
              <w:rPr>
                <w:sz w:val="19"/>
              </w:rPr>
            </w:r>
            <w:r>
              <w:rPr>
                <w:b w:val="0"/>
                <w:sz w:val="19"/>
              </w:rPr>
              <w:t>CPAM, demande de pièces, échéance le 15 octobre 2026, pas de montant, référence 95-DUR-001, urgence 3</w:t>
            </w:r>
          </w:p>
        </w:tc>
      </w:tr>
      <w:tr>
        <w:tc>
          <w:tcPr>
            <w:tcW w:type="dxa" w:w="3137"/>
          </w:tcPr>
          <w:p>
            <w:pPr>
              <w:spacing w:after="40"/>
            </w:pPr>
            <w:r>
              <w:rPr>
                <w:sz w:val="19"/>
              </w:rPr>
            </w:r>
            <w:r>
              <w:rPr>
                <w:b w:val="0"/>
                <w:sz w:val="19"/>
              </w:rPr>
              <w:t>Plan d'action du courrier 2</w:t>
            </w:r>
          </w:p>
        </w:tc>
        <w:tc>
          <w:tcPr>
            <w:tcW w:type="dxa" w:w="3137"/>
          </w:tcPr>
          <w:p>
            <w:pPr>
              <w:spacing w:after="40"/>
            </w:pPr>
            <w:r>
              <w:rPr>
                <w:sz w:val="19"/>
              </w:rPr>
            </w:r>
            <w:r>
              <w:rPr>
                <w:b w:val="0"/>
                <w:sz w:val="19"/>
              </w:rPr>
              <w:t>15</w:t>
            </w:r>
          </w:p>
        </w:tc>
        <w:tc>
          <w:tcPr>
            <w:tcW w:type="dxa" w:w="3137"/>
          </w:tcPr>
          <w:p>
            <w:pPr>
              <w:spacing w:after="40"/>
            </w:pPr>
            <w:r>
              <w:rPr>
                <w:sz w:val="19"/>
              </w:rPr>
            </w:r>
            <w:r>
              <w:rPr>
                <w:b w:val="0"/>
                <w:sz w:val="19"/>
              </w:rPr>
              <w:t>Mettre à jour le RIB dans le compte ameli (nouvelle banque), récupérer les feuilles de soins (appel à Monique, envoi par un proche ou réexpédition), envoyer les originaux à la CPAM avec un courrier de transmission et copie du mandat, contrôler « Mes paiements » à J+30, noter le remboursement attendu dans le rapport</w:t>
            </w:r>
          </w:p>
        </w:tc>
      </w:tr>
      <w:tr>
        <w:tc>
          <w:tcPr>
            <w:tcW w:type="dxa" w:w="3137"/>
          </w:tcPr>
          <w:p>
            <w:pPr>
              <w:spacing w:after="40"/>
            </w:pPr>
            <w:r>
              <w:rPr>
                <w:sz w:val="19"/>
              </w:rPr>
            </w:r>
            <w:r>
              <w:rPr>
                <w:b w:val="0"/>
                <w:sz w:val="19"/>
              </w:rPr>
              <w:t>Classement du courrier 3</w:t>
            </w:r>
          </w:p>
        </w:tc>
        <w:tc>
          <w:tcPr>
            <w:tcW w:type="dxa" w:w="3137"/>
          </w:tcPr>
          <w:p>
            <w:pPr>
              <w:spacing w:after="40"/>
            </w:pPr>
            <w:r>
              <w:rPr>
                <w:sz w:val="19"/>
              </w:rPr>
            </w:r>
            <w:r>
              <w:rPr>
                <w:b w:val="0"/>
                <w:sz w:val="19"/>
              </w:rPr>
              <w:t>10</w:t>
            </w:r>
          </w:p>
        </w:tc>
        <w:tc>
          <w:tcPr>
            <w:tcW w:type="dxa" w:w="3137"/>
          </w:tcPr>
          <w:p>
            <w:pPr>
              <w:spacing w:after="40"/>
            </w:pPr>
            <w:r>
              <w:rPr>
                <w:sz w:val="19"/>
              </w:rPr>
            </w:r>
            <w:r>
              <w:rPr>
                <w:b w:val="0"/>
                <w:sz w:val="19"/>
              </w:rPr>
              <w:t>Foncia, convocation, échéance d'action le 3 octobre 2026 (vote par correspondance), 3 400 € de quote-part (et non 340 000 €), lot 12, urgence 3</w:t>
            </w:r>
          </w:p>
        </w:tc>
      </w:tr>
      <w:tr>
        <w:tc>
          <w:tcPr>
            <w:tcW w:type="dxa" w:w="3137"/>
          </w:tcPr>
          <w:p>
            <w:pPr>
              <w:spacing w:after="40"/>
            </w:pPr>
            <w:r>
              <w:rPr>
                <w:sz w:val="19"/>
              </w:rPr>
            </w:r>
            <w:r>
              <w:rPr>
                <w:b w:val="0"/>
                <w:sz w:val="19"/>
              </w:rPr>
              <w:t>Plan d'action du courrier 3</w:t>
            </w:r>
          </w:p>
        </w:tc>
        <w:tc>
          <w:tcPr>
            <w:tcW w:type="dxa" w:w="3137"/>
          </w:tcPr>
          <w:p>
            <w:pPr>
              <w:spacing w:after="40"/>
            </w:pPr>
            <w:r>
              <w:rPr>
                <w:sz w:val="19"/>
              </w:rPr>
            </w:r>
            <w:r>
              <w:rPr>
                <w:b w:val="0"/>
                <w:sz w:val="19"/>
              </w:rPr>
              <w:t>15</w:t>
            </w:r>
          </w:p>
        </w:tc>
        <w:tc>
          <w:tcPr>
            <w:tcW w:type="dxa" w:w="3137"/>
          </w:tcPr>
          <w:p>
            <w:pPr>
              <w:spacing w:after="40"/>
            </w:pPr>
            <w:r>
              <w:rPr>
                <w:sz w:val="19"/>
              </w:rPr>
            </w:r>
            <w:r>
              <w:rPr>
                <w:b w:val="0"/>
                <w:sz w:val="19"/>
              </w:rPr>
              <w:t>Résumer l'ordre du jour à Julien et Robert, recueillir leurs consignes de vote résolution par résolution, choisir vote par correspondance (formulaire réglementaire signé par Robert) ou pouvoir nominatif, envoyer 7 jours avant l'AG, prévoir l'appel de fonds de 3 400 € dans le rapport, suivre le procès-verbal et le délai de contestation de deux mois</w:t>
            </w:r>
          </w:p>
        </w:tc>
      </w:tr>
      <w:tr>
        <w:tc>
          <w:tcPr>
            <w:tcW w:type="dxa" w:w="3137"/>
          </w:tcPr>
          <w:p>
            <w:pPr>
              <w:spacing w:after="40"/>
            </w:pPr>
            <w:r>
              <w:rPr>
                <w:sz w:val="19"/>
              </w:rPr>
            </w:r>
            <w:r>
              <w:rPr>
                <w:b w:val="0"/>
                <w:sz w:val="19"/>
              </w:rPr>
              <w:t>Rédaction des courriers</w:t>
            </w:r>
          </w:p>
        </w:tc>
        <w:tc>
          <w:tcPr>
            <w:tcW w:type="dxa" w:w="3137"/>
          </w:tcPr>
          <w:p>
            <w:pPr>
              <w:spacing w:after="40"/>
            </w:pPr>
            <w:r>
              <w:rPr>
                <w:sz w:val="19"/>
              </w:rPr>
            </w:r>
            <w:r>
              <w:rPr>
                <w:b w:val="0"/>
                <w:sz w:val="19"/>
              </w:rPr>
              <w:t>15</w:t>
            </w:r>
          </w:p>
        </w:tc>
        <w:tc>
          <w:tcPr>
            <w:tcW w:type="dxa" w:w="3137"/>
          </w:tcPr>
          <w:p>
            <w:pPr>
              <w:spacing w:after="40"/>
            </w:pPr>
            <w:r>
              <w:rPr>
                <w:sz w:val="19"/>
              </w:rPr>
            </w:r>
            <w:r>
              <w:rPr>
                <w:b w:val="0"/>
                <w:sz w:val="19"/>
              </w:rPr>
              <w:t>Sans faute, références rappelées, demande précise, mention du mandat, formule de politesse, signature « Pour M./Mme X, en vertu du mandat de représentation administrative du … »</w:t>
            </w:r>
          </w:p>
        </w:tc>
      </w:tr>
      <w:tr>
        <w:tc>
          <w:tcPr>
            <w:tcW w:type="dxa" w:w="3137"/>
          </w:tcPr>
          <w:p>
            <w:pPr>
              <w:spacing w:after="40"/>
            </w:pPr>
            <w:r>
              <w:rPr>
                <w:sz w:val="19"/>
              </w:rPr>
            </w:r>
            <w:r>
              <w:rPr>
                <w:b w:val="0"/>
                <w:sz w:val="19"/>
              </w:rPr>
              <w:t>Périmètre et posture</w:t>
            </w:r>
          </w:p>
        </w:tc>
        <w:tc>
          <w:tcPr>
            <w:tcW w:type="dxa" w:w="3137"/>
          </w:tcPr>
          <w:p>
            <w:pPr>
              <w:spacing w:after="40"/>
            </w:pPr>
            <w:r>
              <w:rPr>
                <w:sz w:val="19"/>
              </w:rPr>
            </w:r>
            <w:r>
              <w:rPr>
                <w:b w:val="0"/>
                <w:sz w:val="19"/>
              </w:rPr>
              <w:t>10</w:t>
            </w:r>
          </w:p>
        </w:tc>
        <w:tc>
          <w:tcPr>
            <w:tcW w:type="dxa" w:w="3137"/>
          </w:tcPr>
          <w:p>
            <w:pPr>
              <w:spacing w:after="40"/>
            </w:pPr>
            <w:r>
              <w:rPr>
                <w:sz w:val="19"/>
              </w:rPr>
            </w:r>
            <w:r>
              <w:rPr>
                <w:b w:val="0"/>
                <w:sz w:val="19"/>
              </w:rPr>
              <w:t>Aucun paiement effectué par l'opérateur, aucune décision prise à la place de Robert ou Monique, aucun conseil juridique sur les travaux ou la contestation, alerte de l'enfant sur l'urgence 4</w:t>
            </w:r>
          </w:p>
        </w:tc>
      </w:tr>
      <w:tr>
        <w:tc>
          <w:tcPr>
            <w:tcW w:type="dxa" w:w="3137"/>
          </w:tcPr>
          <w:p>
            <w:pPr>
              <w:spacing w:after="40"/>
            </w:pPr>
            <w:r>
              <w:rPr>
                <w:sz w:val="19"/>
              </w:rPr>
            </w:r>
            <w:r>
              <w:rPr>
                <w:b/>
                <w:sz w:val="19"/>
              </w:rPr>
              <w:t>Total</w:t>
            </w:r>
          </w:p>
        </w:tc>
        <w:tc>
          <w:tcPr>
            <w:tcW w:type="dxa" w:w="3137"/>
          </w:tcPr>
          <w:p>
            <w:pPr>
              <w:spacing w:after="40"/>
            </w:pPr>
            <w:r>
              <w:rPr>
                <w:sz w:val="19"/>
              </w:rPr>
            </w:r>
            <w:r>
              <w:rPr>
                <w:b/>
                <w:sz w:val="19"/>
              </w:rPr>
              <w:t>100</w:t>
            </w:r>
          </w:p>
        </w:tc>
        <w:tc>
          <w:tcPr>
            <w:tcW w:type="dxa" w:w="3137"/>
          </w:tcPr>
          <w:p>
            <w:pPr>
              <w:spacing w:after="40"/>
            </w:pPr>
            <w:r>
              <w:rPr>
                <w:sz w:val="19"/>
              </w:rPr>
            </w:r>
            <w:r>
              <w:rPr>
                <w:b/>
                <w:sz w:val="19"/>
              </w:rPr>
              <w:t>Seuil de réussite : 70 points, avec au moins 8 sur 10 au critère « Périmètre et posture »</w:t>
            </w:r>
          </w:p>
        </w:tc>
      </w:tr>
    </w:tbl>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r>
      <w:rPr>
        <w:sz w:val="18"/>
      </w:rPr>
      <w:t xml:space="preserve">Page </w:t>
    </w:r>
    <w:r>
      <w:rPr>
        <w:sz w:val="18"/>
      </w:rPr>
      <w:fldChar w:fldCharType="begin"/>
      <w:instrText xml:space="preserve">PAGE</w:instrText>
      <w:fldChar w:fldCharType="separate"/>
      <w:t>1</w:t>
      <w:fldChar w:fldCharType="end"/>
    </w:r>
    <w:r>
      <w:rPr>
        <w:sz w:val="18"/>
      </w:rPr>
      <w:t xml:space="preserve"> / </w:t>
    </w:r>
    <w:r>
      <w:rPr>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b/>
        <w:color w:val="1F3A5F"/>
        <w:sz w:val="22"/>
      </w:rPr>
      <w:t>RELAIS</w:t>
    </w:r>
    <w:r>
      <w:rPr>
        <w:sz w:val="18"/>
      </w:rPr>
      <w:t xml:space="preserve">   ·   Fiche de poste — Gestionnaire de dossiers administratifs à distance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